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9625A9">
      <w:pPr>
        <w:keepNext w:val="0"/>
        <w:keepLines w:val="0"/>
        <w:pageBreakBefore w:val="0"/>
        <w:widowControl w:val="0"/>
        <w:kinsoku/>
        <w:wordWrap/>
        <w:overflowPunct/>
        <w:topLinePunct w:val="0"/>
        <w:autoSpaceDE/>
        <w:autoSpaceDN/>
        <w:bidi w:val="0"/>
        <w:adjustRightInd/>
        <w:snapToGrid/>
        <w:spacing w:line="700" w:lineRule="exact"/>
        <w:ind w:firstLine="0"/>
        <w:jc w:val="center"/>
        <w:textAlignment w:val="auto"/>
        <w:outlineLvl w:val="0"/>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lang w:val="en-US" w:eastAsia="zh-CN"/>
        </w:rPr>
        <w:t>池州市</w:t>
      </w:r>
      <w:r>
        <w:rPr>
          <w:rFonts w:hint="eastAsia" w:ascii="方正小标宋简体" w:hAnsi="方正小标宋简体" w:eastAsia="方正小标宋简体" w:cs="方正小标宋简体"/>
          <w:sz w:val="44"/>
          <w:szCs w:val="44"/>
        </w:rPr>
        <w:t>生态环境局</w:t>
      </w:r>
      <w:r>
        <w:rPr>
          <w:rFonts w:hint="eastAsia" w:ascii="方正小标宋简体" w:hAnsi="方正小标宋简体" w:eastAsia="方正小标宋简体" w:cs="方正小标宋简体"/>
          <w:sz w:val="44"/>
          <w:szCs w:val="44"/>
          <w:lang w:val="en-US" w:eastAsia="zh-CN"/>
        </w:rPr>
        <w:t>建设项目</w:t>
      </w:r>
      <w:r>
        <w:rPr>
          <w:rFonts w:hint="eastAsia" w:ascii="方正小标宋简体" w:hAnsi="方正小标宋简体" w:eastAsia="方正小标宋简体" w:cs="方正小标宋简体"/>
          <w:sz w:val="44"/>
          <w:szCs w:val="44"/>
        </w:rPr>
        <w:t>环境影响</w:t>
      </w:r>
    </w:p>
    <w:p w14:paraId="5131874E">
      <w:pPr>
        <w:keepNext w:val="0"/>
        <w:keepLines w:val="0"/>
        <w:pageBreakBefore w:val="0"/>
        <w:widowControl w:val="0"/>
        <w:kinsoku/>
        <w:wordWrap/>
        <w:overflowPunct/>
        <w:topLinePunct w:val="0"/>
        <w:autoSpaceDE/>
        <w:autoSpaceDN/>
        <w:bidi w:val="0"/>
        <w:adjustRightInd/>
        <w:snapToGrid/>
        <w:spacing w:line="700" w:lineRule="exact"/>
        <w:ind w:firstLine="0"/>
        <w:jc w:val="center"/>
        <w:textAlignment w:val="auto"/>
        <w:outlineLvl w:val="0"/>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报告书（表）审批流程</w:t>
      </w:r>
      <w:r>
        <w:rPr>
          <w:rFonts w:hint="eastAsia" w:ascii="方正小标宋简体" w:hAnsi="方正小标宋简体" w:eastAsia="方正小标宋简体" w:cs="方正小标宋简体"/>
          <w:sz w:val="44"/>
          <w:szCs w:val="44"/>
        </w:rPr>
        <w:t>规定</w:t>
      </w:r>
    </w:p>
    <w:bookmarkEnd w:id="0"/>
    <w:p w14:paraId="0AAC3A74">
      <w:pPr>
        <w:keepNext w:val="0"/>
        <w:keepLines w:val="0"/>
        <w:pageBreakBefore w:val="0"/>
        <w:widowControl w:val="0"/>
        <w:kinsoku/>
        <w:wordWrap/>
        <w:overflowPunct w:val="0"/>
        <w:topLinePunct w:val="0"/>
        <w:autoSpaceDE/>
        <w:autoSpaceDN/>
        <w:bidi w:val="0"/>
        <w:adjustRightInd/>
        <w:snapToGrid/>
        <w:spacing w:before="313" w:beforeLines="100" w:after="313" w:afterLines="100" w:line="580" w:lineRule="exact"/>
        <w:ind w:left="0" w:leftChars="0" w:right="0" w:rightChars="0"/>
        <w:jc w:val="center"/>
        <w:textAlignment w:val="auto"/>
        <w:outlineLvl w:val="0"/>
        <w:rPr>
          <w:rFonts w:hint="default" w:ascii="黑体" w:eastAsia="黑体"/>
          <w:color w:val="auto"/>
          <w:sz w:val="32"/>
          <w:szCs w:val="32"/>
          <w:lang w:val="en-US" w:eastAsia="zh-CN"/>
        </w:rPr>
      </w:pPr>
      <w:r>
        <w:rPr>
          <w:rFonts w:hint="eastAsia" w:ascii="黑体" w:eastAsia="黑体"/>
          <w:color w:val="auto"/>
          <w:sz w:val="32"/>
          <w:szCs w:val="32"/>
          <w:lang w:val="en-US" w:eastAsia="zh-CN"/>
        </w:rPr>
        <w:t>第一章 总则</w:t>
      </w:r>
    </w:p>
    <w:p w14:paraId="61E50F2C">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sz w:val="32"/>
          <w:szCs w:val="32"/>
          <w:u w:val="none"/>
        </w:rPr>
      </w:pPr>
      <w:r>
        <w:rPr>
          <w:rFonts w:hint="eastAsia" w:ascii="仿宋_GB2312" w:eastAsia="仿宋_GB2312"/>
          <w:sz w:val="32"/>
          <w:szCs w:val="32"/>
          <w:u w:val="none"/>
        </w:rPr>
        <w:t>为规范建设项目环境影响报告书（表）审批行为，落实深化“放管服”改革</w:t>
      </w:r>
      <w:r>
        <w:rPr>
          <w:rFonts w:hint="eastAsia" w:ascii="仿宋_GB2312" w:eastAsia="仿宋_GB2312"/>
          <w:sz w:val="32"/>
          <w:szCs w:val="32"/>
          <w:u w:val="none"/>
          <w:lang w:val="en-US" w:eastAsia="zh-CN"/>
        </w:rPr>
        <w:t>和</w:t>
      </w:r>
      <w:r>
        <w:rPr>
          <w:rFonts w:hint="eastAsia" w:ascii="仿宋_GB2312" w:eastAsia="仿宋_GB2312"/>
          <w:sz w:val="32"/>
          <w:szCs w:val="32"/>
          <w:u w:val="none"/>
        </w:rPr>
        <w:t>优化营商环境要求，提高审批效能，提升审批质量，防范廉政风险，根据《中华人民共和国行政许可法》《中华人民共和国环境影响评价法》《建设项目环境保护管理条例》，以及生态环境保护相关法律法规，制定本规定。</w:t>
      </w:r>
    </w:p>
    <w:p w14:paraId="2A9AF1C7">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sz w:val="32"/>
          <w:szCs w:val="32"/>
          <w:u w:val="none"/>
        </w:rPr>
      </w:pPr>
      <w:r>
        <w:rPr>
          <w:rFonts w:hint="eastAsia" w:ascii="仿宋_GB2312" w:eastAsia="仿宋_GB2312"/>
          <w:sz w:val="32"/>
          <w:szCs w:val="32"/>
          <w:u w:val="none"/>
        </w:rPr>
        <w:t>本规定适用于市生态环境局审批的一般建设项目、核与辐射类建设项目环境影响报告书（表）。各县（区）生态环境分局</w:t>
      </w:r>
      <w:r>
        <w:rPr>
          <w:rFonts w:hint="eastAsia" w:ascii="仿宋_GB2312" w:eastAsia="仿宋_GB2312"/>
          <w:sz w:val="32"/>
          <w:szCs w:val="32"/>
          <w:u w:val="none"/>
          <w:lang w:eastAsia="zh-CN"/>
        </w:rPr>
        <w:t>、</w:t>
      </w:r>
      <w:r>
        <w:rPr>
          <w:rFonts w:hint="eastAsia" w:ascii="仿宋_GB2312" w:eastAsia="仿宋_GB2312"/>
          <w:sz w:val="32"/>
          <w:szCs w:val="32"/>
          <w:u w:val="none"/>
        </w:rPr>
        <w:t>受我局委托的皖江江南新兴产业集中区生态环境局</w:t>
      </w:r>
      <w:r>
        <w:rPr>
          <w:rFonts w:hint="eastAsia" w:ascii="仿宋_GB2312" w:eastAsia="仿宋_GB2312"/>
          <w:sz w:val="32"/>
          <w:szCs w:val="32"/>
          <w:u w:val="none"/>
          <w:lang w:eastAsia="zh-CN"/>
        </w:rPr>
        <w:t>、</w:t>
      </w:r>
      <w:r>
        <w:rPr>
          <w:rFonts w:hint="eastAsia" w:ascii="仿宋_GB2312" w:eastAsia="仿宋_GB2312"/>
          <w:sz w:val="32"/>
          <w:szCs w:val="32"/>
          <w:u w:val="none"/>
        </w:rPr>
        <w:t>池州经济技术开发区生态环境局等</w:t>
      </w:r>
      <w:r>
        <w:rPr>
          <w:rFonts w:hint="eastAsia" w:ascii="仿宋_GB2312" w:eastAsia="仿宋_GB2312"/>
          <w:sz w:val="32"/>
          <w:szCs w:val="32"/>
          <w:u w:val="none"/>
          <w:lang w:val="en-US" w:eastAsia="zh-CN"/>
        </w:rPr>
        <w:t>审批部门</w:t>
      </w:r>
      <w:r>
        <w:rPr>
          <w:rFonts w:hint="eastAsia" w:ascii="仿宋_GB2312" w:eastAsia="仿宋_GB2312"/>
          <w:sz w:val="32"/>
          <w:szCs w:val="32"/>
          <w:u w:val="none"/>
        </w:rPr>
        <w:t>参照执行。</w:t>
      </w:r>
    </w:p>
    <w:p w14:paraId="5DD4AC5D">
      <w:pPr>
        <w:keepNext w:val="0"/>
        <w:keepLines w:val="0"/>
        <w:pageBreakBefore w:val="0"/>
        <w:widowControl w:val="0"/>
        <w:kinsoku/>
        <w:wordWrap/>
        <w:overflowPunct w:val="0"/>
        <w:topLinePunct w:val="0"/>
        <w:autoSpaceDE/>
        <w:autoSpaceDN/>
        <w:bidi w:val="0"/>
        <w:adjustRightInd/>
        <w:snapToGrid/>
        <w:spacing w:before="313" w:beforeLines="100" w:after="313" w:afterLines="100" w:line="580" w:lineRule="exact"/>
        <w:ind w:left="0" w:leftChars="0" w:right="0" w:rightChars="0"/>
        <w:jc w:val="center"/>
        <w:textAlignment w:val="auto"/>
        <w:outlineLvl w:val="0"/>
        <w:rPr>
          <w:rFonts w:hint="eastAsia" w:ascii="黑体" w:eastAsia="黑体"/>
          <w:color w:val="auto"/>
          <w:sz w:val="32"/>
          <w:szCs w:val="32"/>
          <w:lang w:val="en-US" w:eastAsia="zh-CN"/>
        </w:rPr>
      </w:pPr>
      <w:r>
        <w:rPr>
          <w:rFonts w:hint="eastAsia" w:ascii="黑体" w:eastAsia="黑体"/>
          <w:color w:val="auto"/>
          <w:sz w:val="32"/>
          <w:szCs w:val="32"/>
          <w:lang w:val="en-US" w:eastAsia="zh-CN"/>
        </w:rPr>
        <w:t>第二章 工作机构与职责</w:t>
      </w:r>
    </w:p>
    <w:p w14:paraId="49818FD4">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仿宋_GB2312" w:eastAsia="仿宋_GB2312" w:cs="仿宋_GB2312"/>
          <w:color w:val="auto"/>
          <w:w w:val="100"/>
          <w:sz w:val="32"/>
          <w:szCs w:val="32"/>
          <w:highlight w:val="none"/>
          <w:lang w:val="en-US" w:eastAsia="zh-CN"/>
        </w:rPr>
      </w:pPr>
      <w:r>
        <w:rPr>
          <w:rFonts w:hint="eastAsia"/>
          <w:color w:val="auto"/>
          <w:sz w:val="32"/>
          <w:szCs w:val="32"/>
          <w:lang w:val="en-US" w:eastAsia="zh-CN"/>
        </w:rPr>
        <w:t>1.驻</w:t>
      </w:r>
      <w:r>
        <w:rPr>
          <w:rFonts w:hint="eastAsia" w:ascii="仿宋_GB2312" w:eastAsia="仿宋_GB2312"/>
          <w:sz w:val="32"/>
          <w:szCs w:val="32"/>
          <w:lang w:val="en-US" w:eastAsia="zh-CN"/>
        </w:rPr>
        <w:t>市</w:t>
      </w:r>
      <w:r>
        <w:rPr>
          <w:rFonts w:hint="eastAsia"/>
          <w:sz w:val="32"/>
          <w:szCs w:val="32"/>
          <w:lang w:val="en-US" w:eastAsia="zh-CN"/>
        </w:rPr>
        <w:t>政务服务中心生态环境</w:t>
      </w:r>
      <w:r>
        <w:rPr>
          <w:rFonts w:hint="eastAsia" w:ascii="仿宋_GB2312" w:eastAsia="仿宋_GB2312"/>
          <w:sz w:val="32"/>
          <w:szCs w:val="32"/>
        </w:rPr>
        <w:t>窗口（以下简称“窗口”）</w:t>
      </w:r>
      <w:r>
        <w:rPr>
          <w:rFonts w:hint="eastAsia" w:ascii="仿宋_GB2312" w:hAnsi="仿宋_GB2312" w:eastAsia="仿宋_GB2312" w:cs="仿宋_GB2312"/>
          <w:color w:val="auto"/>
          <w:w w:val="100"/>
          <w:sz w:val="32"/>
          <w:szCs w:val="32"/>
          <w:highlight w:val="none"/>
          <w:lang w:val="en-US" w:eastAsia="zh-CN"/>
        </w:rPr>
        <w:t>负责市生态环境局审批职责范围内建设项目环境影响报告书（表）的接收、规范性审查、受理、行政审批决定文书送达等工作。</w:t>
      </w:r>
    </w:p>
    <w:p w14:paraId="44255B12">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lang w:val="en-US" w:eastAsia="zh-CN"/>
        </w:rPr>
        <w:t>2</w:t>
      </w:r>
      <w:r>
        <w:rPr>
          <w:rFonts w:hint="eastAsia" w:ascii="仿宋_GB2312" w:eastAsia="仿宋_GB2312"/>
          <w:sz w:val="32"/>
          <w:szCs w:val="32"/>
        </w:rPr>
        <w:t>.市局</w:t>
      </w:r>
      <w:r>
        <w:rPr>
          <w:rFonts w:hint="eastAsia" w:ascii="仿宋_GB2312" w:eastAsia="仿宋_GB2312"/>
          <w:sz w:val="32"/>
          <w:szCs w:val="32"/>
          <w:lang w:val="en-US" w:eastAsia="zh-CN"/>
        </w:rPr>
        <w:t>环境影响评价与排放管理科</w:t>
      </w:r>
      <w:r>
        <w:rPr>
          <w:rFonts w:hint="eastAsia" w:ascii="仿宋_GB2312" w:eastAsia="仿宋_GB2312"/>
          <w:sz w:val="32"/>
          <w:szCs w:val="32"/>
        </w:rPr>
        <w:t>（</w:t>
      </w:r>
      <w:r>
        <w:rPr>
          <w:rFonts w:hint="eastAsia" w:ascii="仿宋_GB2312" w:eastAsia="仿宋_GB2312"/>
          <w:color w:val="auto"/>
          <w:sz w:val="32"/>
          <w:szCs w:val="32"/>
          <w:lang w:val="en-US" w:eastAsia="zh-CN"/>
        </w:rPr>
        <w:t>以下统称“经办科室”</w:t>
      </w:r>
      <w:r>
        <w:rPr>
          <w:rFonts w:hint="eastAsia" w:ascii="仿宋_GB2312" w:eastAsia="仿宋_GB2312"/>
          <w:sz w:val="32"/>
          <w:szCs w:val="32"/>
        </w:rPr>
        <w:t>）负责审批职责范围内一般建设项目环境影响报告书（表）的政策把关、审查、受理公示与审批公示、审批意见文书制作、信息公开与上报、材料归档等工作。</w:t>
      </w:r>
    </w:p>
    <w:p w14:paraId="6D8B5983">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lang w:val="en-US" w:eastAsia="zh-CN"/>
        </w:rPr>
      </w:pPr>
      <w:r>
        <w:rPr>
          <w:rFonts w:hint="eastAsia" w:ascii="仿宋_GB2312" w:eastAsia="仿宋_GB2312"/>
          <w:color w:val="auto"/>
          <w:sz w:val="32"/>
          <w:szCs w:val="32"/>
          <w:lang w:val="en-US" w:eastAsia="zh-CN"/>
        </w:rPr>
        <w:t>3.</w:t>
      </w:r>
      <w:r>
        <w:rPr>
          <w:rFonts w:hint="eastAsia" w:ascii="仿宋_GB2312" w:eastAsia="仿宋_GB2312"/>
          <w:sz w:val="32"/>
          <w:szCs w:val="32"/>
        </w:rPr>
        <w:t>市局</w:t>
      </w:r>
      <w:r>
        <w:rPr>
          <w:rFonts w:hint="eastAsia" w:ascii="仿宋_GB2312" w:eastAsia="仿宋_GB2312"/>
          <w:color w:val="auto"/>
          <w:sz w:val="32"/>
          <w:szCs w:val="32"/>
          <w:lang w:val="en-US" w:eastAsia="zh-CN"/>
        </w:rPr>
        <w:t>核与辐射安全管理科（以下统称“经办科室”）负责涉辐射类建设项目环境影响报告书（表）的规范性审查、政策把关、受理公示与审批公示、审批意见文书制作、信息公开与上报、材料归档等工作。</w:t>
      </w:r>
    </w:p>
    <w:p w14:paraId="130F8521">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color w:val="auto"/>
          <w:sz w:val="32"/>
          <w:szCs w:val="32"/>
        </w:rPr>
      </w:pPr>
      <w:r>
        <w:rPr>
          <w:rFonts w:hint="eastAsia" w:ascii="仿宋_GB2312" w:eastAsia="仿宋_GB2312"/>
          <w:color w:val="auto"/>
          <w:sz w:val="32"/>
          <w:szCs w:val="32"/>
          <w:lang w:val="en-US" w:eastAsia="zh-CN"/>
        </w:rPr>
        <w:t>4</w:t>
      </w:r>
      <w:r>
        <w:rPr>
          <w:rFonts w:hint="eastAsia" w:ascii="仿宋_GB2312" w:eastAsia="仿宋_GB2312"/>
          <w:color w:val="auto"/>
          <w:sz w:val="32"/>
          <w:szCs w:val="32"/>
        </w:rPr>
        <w:t>.市环境</w:t>
      </w:r>
      <w:r>
        <w:rPr>
          <w:rFonts w:hint="eastAsia" w:ascii="仿宋_GB2312" w:eastAsia="仿宋_GB2312"/>
          <w:color w:val="auto"/>
          <w:sz w:val="32"/>
          <w:szCs w:val="32"/>
          <w:lang w:val="en-US" w:eastAsia="zh-CN"/>
        </w:rPr>
        <w:t>科学研究院</w:t>
      </w:r>
      <w:r>
        <w:rPr>
          <w:rFonts w:hint="eastAsia" w:ascii="仿宋_GB2312" w:eastAsia="仿宋_GB2312"/>
          <w:sz w:val="32"/>
          <w:szCs w:val="32"/>
        </w:rPr>
        <w:t>（以下简称“</w:t>
      </w:r>
      <w:r>
        <w:rPr>
          <w:rFonts w:hint="eastAsia" w:ascii="仿宋_GB2312" w:eastAsia="仿宋_GB2312"/>
          <w:sz w:val="32"/>
          <w:szCs w:val="32"/>
          <w:lang w:val="en-US" w:eastAsia="zh-CN"/>
        </w:rPr>
        <w:t>环科院</w:t>
      </w:r>
      <w:r>
        <w:rPr>
          <w:rFonts w:hint="eastAsia" w:ascii="仿宋_GB2312" w:eastAsia="仿宋_GB2312"/>
          <w:sz w:val="32"/>
          <w:szCs w:val="32"/>
        </w:rPr>
        <w:t>”）</w:t>
      </w:r>
      <w:r>
        <w:rPr>
          <w:rFonts w:hint="eastAsia" w:ascii="仿宋_GB2312" w:eastAsia="仿宋_GB2312"/>
          <w:color w:val="auto"/>
          <w:sz w:val="32"/>
          <w:szCs w:val="32"/>
        </w:rPr>
        <w:t>为建设项目环境影响报告书（表）审批技术支持单位，负责组织评审会议、现场踏勘、技术审核、技术评估把关并出具评估报告等工作。</w:t>
      </w:r>
    </w:p>
    <w:p w14:paraId="0B89B141">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5.</w:t>
      </w:r>
      <w:r>
        <w:rPr>
          <w:rFonts w:hint="eastAsia" w:ascii="仿宋_GB2312" w:eastAsia="仿宋_GB2312"/>
          <w:sz w:val="32"/>
          <w:szCs w:val="32"/>
        </w:rPr>
        <w:t>市局</w:t>
      </w:r>
      <w:r>
        <w:rPr>
          <w:rFonts w:hint="eastAsia" w:ascii="仿宋_GB2312" w:eastAsia="仿宋_GB2312"/>
          <w:sz w:val="32"/>
          <w:szCs w:val="32"/>
          <w:lang w:val="en-US" w:eastAsia="zh-CN"/>
        </w:rPr>
        <w:t>综合科、</w:t>
      </w:r>
      <w:r>
        <w:rPr>
          <w:rFonts w:hint="eastAsia" w:ascii="仿宋_GB2312" w:eastAsia="仿宋_GB2312"/>
          <w:color w:val="auto"/>
          <w:sz w:val="32"/>
          <w:szCs w:val="32"/>
          <w:lang w:val="en-US" w:eastAsia="zh-CN"/>
        </w:rPr>
        <w:t>大气环境科、水生态环境科、生态科等科室（以下统称“总量审核部门”）负责其职责范围内建设项目主要污染物新增排放总量指标审核确认等工作。</w:t>
      </w:r>
    </w:p>
    <w:p w14:paraId="0657DBD4">
      <w:pPr>
        <w:keepNext w:val="0"/>
        <w:keepLines w:val="0"/>
        <w:pageBreakBefore w:val="0"/>
        <w:widowControl w:val="0"/>
        <w:kinsoku/>
        <w:wordWrap/>
        <w:overflowPunct w:val="0"/>
        <w:topLinePunct w:val="0"/>
        <w:autoSpaceDE/>
        <w:autoSpaceDN/>
        <w:bidi w:val="0"/>
        <w:adjustRightInd/>
        <w:snapToGrid/>
        <w:spacing w:before="313" w:beforeLines="100" w:after="313" w:afterLines="100" w:line="580" w:lineRule="exact"/>
        <w:ind w:left="0" w:leftChars="0" w:right="0" w:rightChars="0"/>
        <w:jc w:val="center"/>
        <w:textAlignment w:val="auto"/>
        <w:outlineLvl w:val="0"/>
        <w:rPr>
          <w:rFonts w:hint="default" w:ascii="黑体" w:eastAsia="黑体"/>
          <w:color w:val="auto"/>
          <w:sz w:val="32"/>
          <w:szCs w:val="32"/>
          <w:lang w:val="en-US" w:eastAsia="zh-CN"/>
        </w:rPr>
      </w:pPr>
      <w:r>
        <w:rPr>
          <w:rFonts w:hint="eastAsia" w:ascii="黑体" w:eastAsia="黑体"/>
          <w:color w:val="auto"/>
          <w:sz w:val="32"/>
          <w:szCs w:val="32"/>
          <w:lang w:val="en-US" w:eastAsia="zh-CN"/>
        </w:rPr>
        <w:t>第三章 受理</w:t>
      </w:r>
    </w:p>
    <w:p w14:paraId="1E90D590">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环境影响报告书（表）审批申请材料由窗口统一受理。鼓励建设单位通过安徽政务服务网（全国建设项目环评统一申报系统）在线申报；也可通过现场或信函、电报、电传、传真和电子邮件提交申请材料。</w:t>
      </w:r>
    </w:p>
    <w:p w14:paraId="29060487">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窗口工作人员对申请人提交的环境影响报告书（表）审批申请材料作出处理，并进行编制规范性、是否在限批范围内等相关检查。</w:t>
      </w:r>
    </w:p>
    <w:p w14:paraId="5675858B">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rPr>
      </w:pPr>
      <w:r>
        <w:rPr>
          <w:rFonts w:hint="eastAsia"/>
        </w:rPr>
        <w:t>申请事项属于市生态环境局职权范围，申请材料齐全、符合法定形式的，予以受理；依法不需要审批或不属于市生态环境局职权范围的，应当即时作出不予受理的决定；申请材料存在可以当场更正的错误的，应当允许申请人当场更正；申请材料不齐全或者不符合法定形式的，在5个工作日内一次告知申请人需要补正的全部内容；受理行政许可申请的，应当出具书面通知</w:t>
      </w:r>
      <w:r>
        <w:rPr>
          <w:rFonts w:hint="eastAsia"/>
          <w:lang w:eastAsia="zh-CN"/>
        </w:rPr>
        <w:t>；</w:t>
      </w:r>
      <w:r>
        <w:rPr>
          <w:rFonts w:hint="eastAsia"/>
        </w:rPr>
        <w:t>不予受理的应告知申请人理由或有权受理的行政机关等信息。</w:t>
      </w:r>
    </w:p>
    <w:p w14:paraId="003E6ED9">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对在线申报的，窗口工作人员受理后，应当在1个工作日内通过全国建设项目环评统一申报系统将环境影响报告书（表）按项目类别转交</w:t>
      </w:r>
      <w:r>
        <w:rPr>
          <w:rFonts w:hint="eastAsia" w:ascii="仿宋_GB2312" w:eastAsia="仿宋_GB2312"/>
          <w:sz w:val="32"/>
          <w:szCs w:val="32"/>
          <w:lang w:val="en-US" w:eastAsia="zh-CN"/>
        </w:rPr>
        <w:t>经办科室</w:t>
      </w:r>
      <w:r>
        <w:rPr>
          <w:rFonts w:hint="eastAsia" w:ascii="仿宋_GB2312" w:hAnsi="Times New Roman" w:eastAsia="仿宋_GB2312" w:cs="Times New Roman"/>
          <w:kern w:val="2"/>
          <w:sz w:val="32"/>
          <w:szCs w:val="24"/>
          <w:lang w:val="en-US" w:eastAsia="zh-CN" w:bidi="ar-SA"/>
        </w:rPr>
        <w:t>进行审查。</w:t>
      </w:r>
    </w:p>
    <w:p w14:paraId="180DD751">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楷体_GB2312" w:eastAsia="楷体_GB2312"/>
          <w:color w:val="auto"/>
          <w:sz w:val="32"/>
          <w:szCs w:val="32"/>
        </w:rPr>
      </w:pPr>
      <w:r>
        <w:rPr>
          <w:rFonts w:hint="eastAsia"/>
          <w:lang w:val="en-US" w:eastAsia="zh-CN"/>
        </w:rPr>
        <w:t>经办科室</w:t>
      </w:r>
      <w:r>
        <w:rPr>
          <w:rFonts w:hint="eastAsia"/>
        </w:rPr>
        <w:t>收到受理报批的建设项目环境影响报告书（表）后，原则上在3个工作日内按照《环境影响评价公众参与办法》的规定，公开环境影响报告书（表）、公众参与说明、公众提出意见的方式和途径。环境影响报告书的公开期限不得少于10个工作日，环境影响报告表的公开期限不得少于5个工作日。</w:t>
      </w:r>
    </w:p>
    <w:p w14:paraId="2F75B6C2">
      <w:pPr>
        <w:keepNext w:val="0"/>
        <w:keepLines w:val="0"/>
        <w:pageBreakBefore w:val="0"/>
        <w:widowControl w:val="0"/>
        <w:kinsoku/>
        <w:wordWrap/>
        <w:overflowPunct w:val="0"/>
        <w:topLinePunct w:val="0"/>
        <w:autoSpaceDE/>
        <w:autoSpaceDN/>
        <w:bidi w:val="0"/>
        <w:adjustRightInd/>
        <w:snapToGrid/>
        <w:spacing w:before="313" w:beforeLines="100" w:after="313" w:afterLines="100" w:line="580" w:lineRule="exact"/>
        <w:ind w:left="0" w:leftChars="0" w:right="0" w:rightChars="0"/>
        <w:jc w:val="center"/>
        <w:textAlignment w:val="auto"/>
        <w:outlineLvl w:val="0"/>
        <w:rPr>
          <w:rFonts w:hint="default" w:ascii="楷体_GB2312" w:hAnsi="楷体_GB2312" w:eastAsia="黑体" w:cs="楷体_GB2312"/>
          <w:b/>
          <w:bCs/>
          <w:color w:val="auto"/>
          <w:kern w:val="2"/>
          <w:sz w:val="32"/>
          <w:szCs w:val="32"/>
          <w:lang w:val="en-US" w:eastAsia="zh-CN" w:bidi="ar-SA"/>
        </w:rPr>
      </w:pPr>
      <w:r>
        <w:rPr>
          <w:rFonts w:hint="eastAsia" w:ascii="黑体" w:eastAsia="黑体"/>
          <w:color w:val="auto"/>
          <w:sz w:val="32"/>
          <w:szCs w:val="32"/>
          <w:lang w:val="en-US" w:eastAsia="zh-CN"/>
        </w:rPr>
        <w:t>第四章 技术评估</w:t>
      </w:r>
    </w:p>
    <w:p w14:paraId="5CF174EA">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需要对环境影响报告书（表）进行技术评估的，经办科室应当在收到环境影响报告书（表）后1个工作日内，通过全国建设项目环评统一申报系统转交环科院开展技术评估。</w:t>
      </w:r>
    </w:p>
    <w:p w14:paraId="78E459D1">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环科院可根据项目实际情况，采取现场踏勘或观看影像资料（包括航拍影像、现场影像、实时视频直播）等方式对项目进行踏勘。同时可根据项目实际情况确定开展技术评审的形式，如召开专家评审会（含线上或线下）、函审或内部评审等。需邀请专家参与评审的，应当从省、市级环评专家库内随机抽取，专家人数、类别不能满足技术评审要求时，可从省外高校、科研院所特邀专家，特邀专家人数一般不得超过２人，最终参会专家人数一般不得超过７人。</w:t>
      </w:r>
    </w:p>
    <w:p w14:paraId="54D9985D">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评审会议可邀请与建设项目环境管理相关的市直部门、局机关有关科室、直属单位等部门及项目所在的县（区）生态环境分局参会。</w:t>
      </w:r>
    </w:p>
    <w:p w14:paraId="3BFD3F2B">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cs="Times New Roman"/>
          <w:kern w:val="2"/>
          <w:sz w:val="32"/>
          <w:szCs w:val="24"/>
          <w:lang w:val="en-US" w:eastAsia="zh-CN" w:bidi="ar-SA"/>
        </w:rPr>
      </w:pPr>
      <w:r>
        <w:rPr>
          <w:rFonts w:hint="eastAsia" w:ascii="仿宋_GB2312" w:eastAsia="仿宋_GB2312" w:cs="Times New Roman"/>
          <w:kern w:val="2"/>
          <w:sz w:val="32"/>
          <w:szCs w:val="24"/>
          <w:lang w:val="en-US" w:eastAsia="zh-CN" w:bidi="ar-SA"/>
        </w:rPr>
        <w:t>技术评审应当对环境影响报告书（表）进行质量评分。评分采用百分制，计算平均评分。得分较差的（60-69分），环科院应当提请对环境影响报告书（表）编制单位进行帮扶指导；不合格的（低于60分），环科院应当根据技术评审意见书面提出不予许可及信用记分处理建议，并说明理由。</w:t>
      </w:r>
    </w:p>
    <w:p w14:paraId="20456994">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cs="Times New Roman"/>
          <w:kern w:val="2"/>
          <w:sz w:val="32"/>
          <w:szCs w:val="24"/>
          <w:lang w:val="en-US" w:eastAsia="zh-CN" w:bidi="ar-SA"/>
        </w:rPr>
      </w:pPr>
      <w:r>
        <w:rPr>
          <w:rFonts w:hint="eastAsia" w:ascii="仿宋_GB2312" w:eastAsia="仿宋_GB2312" w:cs="Times New Roman"/>
          <w:kern w:val="2"/>
          <w:sz w:val="32"/>
          <w:szCs w:val="24"/>
          <w:lang w:val="en-US" w:eastAsia="zh-CN" w:bidi="ar-SA"/>
        </w:rPr>
        <w:t>环科院应当将修改意见一次性告知环境影响报告书（表）编制单位，督促编制单位报告书类项目原则上在10个工作日内修改完善环评文件，报告表类项目原则上在5个工作日内修改完善环评文件。同时应当结合技术审查及修改完善情况对环境影响报告书（表）进行审核。经审核，环境影响报告书（表）出现《建设项目环境保护管理条例》第十一条情况的，环科院应当书面提出不予许可及信用记分处理建议，并说明理由。</w:t>
      </w:r>
    </w:p>
    <w:p w14:paraId="08A7A2FF">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cs="Times New Roman"/>
          <w:kern w:val="2"/>
          <w:sz w:val="32"/>
          <w:szCs w:val="24"/>
          <w:lang w:val="en-US" w:eastAsia="zh-CN" w:bidi="ar-SA"/>
        </w:rPr>
      </w:pPr>
      <w:r>
        <w:rPr>
          <w:rFonts w:hint="eastAsia" w:ascii="仿宋_GB2312" w:eastAsia="仿宋_GB2312" w:cs="Times New Roman"/>
          <w:kern w:val="2"/>
          <w:sz w:val="32"/>
          <w:szCs w:val="24"/>
          <w:lang w:val="en-US" w:eastAsia="zh-CN" w:bidi="ar-SA"/>
        </w:rPr>
        <w:t>环科院应当在收到环境影响报告书15个工作日内、报告表10个工作日内，反馈评估报告（含通过评审和未通过评审的）。因特殊原因造成无法按时提交评估报告的，经办科室同意后可延期提交，最长不超过5个工作日。如建设单位和编制单位无法按时提交修改完成的环评文件（指经专家审查确认后的环评文件），环科院可向经办科室出具予以退回的书面意见。</w:t>
      </w:r>
    </w:p>
    <w:p w14:paraId="7BA5A1DA">
      <w:pPr>
        <w:keepNext w:val="0"/>
        <w:keepLines w:val="0"/>
        <w:pageBreakBefore w:val="0"/>
        <w:widowControl w:val="0"/>
        <w:kinsoku/>
        <w:wordWrap/>
        <w:overflowPunct w:val="0"/>
        <w:topLinePunct w:val="0"/>
        <w:autoSpaceDE/>
        <w:autoSpaceDN/>
        <w:bidi w:val="0"/>
        <w:adjustRightInd/>
        <w:snapToGrid/>
        <w:spacing w:before="313" w:beforeLines="100" w:after="313" w:afterLines="100" w:line="580" w:lineRule="exact"/>
        <w:ind w:left="0" w:leftChars="0" w:right="0" w:rightChars="0"/>
        <w:jc w:val="center"/>
        <w:textAlignment w:val="auto"/>
        <w:outlineLvl w:val="0"/>
        <w:rPr>
          <w:rFonts w:hint="default" w:ascii="黑体" w:eastAsia="黑体"/>
          <w:color w:val="auto"/>
          <w:sz w:val="32"/>
          <w:szCs w:val="32"/>
          <w:lang w:val="en-US" w:eastAsia="zh-CN"/>
        </w:rPr>
      </w:pPr>
      <w:r>
        <w:rPr>
          <w:rFonts w:hint="eastAsia" w:ascii="黑体" w:eastAsia="黑体"/>
          <w:color w:val="auto"/>
          <w:sz w:val="32"/>
          <w:szCs w:val="32"/>
          <w:lang w:val="en-US" w:eastAsia="zh-CN"/>
        </w:rPr>
        <w:t>第五章 审查与决定</w:t>
      </w:r>
    </w:p>
    <w:p w14:paraId="0E4915DE">
      <w:pPr>
        <w:keepNext w:val="0"/>
        <w:keepLines w:val="0"/>
        <w:pageBreakBefore w:val="0"/>
        <w:widowControl w:val="0"/>
        <w:numPr>
          <w:ilvl w:val="0"/>
          <w:numId w:val="0"/>
        </w:numPr>
        <w:kinsoku/>
        <w:wordWrap/>
        <w:overflowPunct w:val="0"/>
        <w:topLinePunct w:val="0"/>
        <w:autoSpaceDE/>
        <w:autoSpaceDN/>
        <w:bidi w:val="0"/>
        <w:adjustRightInd/>
        <w:snapToGrid/>
        <w:spacing w:line="580" w:lineRule="exact"/>
        <w:ind w:left="0" w:leftChars="0" w:firstLine="640" w:firstLineChars="200"/>
        <w:jc w:val="both"/>
        <w:rPr>
          <w:rFonts w:hint="eastAsia" w:ascii="仿宋_GB2312" w:eastAsia="仿宋_GB2312" w:cs="Times New Roman"/>
          <w:kern w:val="2"/>
          <w:sz w:val="32"/>
          <w:szCs w:val="24"/>
          <w:lang w:val="en-US" w:eastAsia="zh-CN" w:bidi="ar-SA"/>
        </w:rPr>
      </w:pPr>
      <w:r>
        <w:rPr>
          <w:rFonts w:hint="eastAsia" w:ascii="仿宋_GB2312" w:eastAsia="仿宋_GB2312" w:cs="Times New Roman"/>
          <w:kern w:val="2"/>
          <w:sz w:val="32"/>
          <w:szCs w:val="24"/>
          <w:lang w:val="en-US" w:eastAsia="zh-CN" w:bidi="ar-SA"/>
        </w:rPr>
        <w:t>经办科室可在技术评估期间，根据建设项目具体情况，同步征求局内外有关部门意见。需要征求局内科室、直属单位意见的，经办科室应当将环境影响报告书（表）送达有关部门，有关部门应当结合职责提出意见，并在3个工作日内予以回复；逾期未回复的，视为无意见。</w:t>
      </w:r>
    </w:p>
    <w:p w14:paraId="014A86C1">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cs="Times New Roman"/>
          <w:kern w:val="2"/>
          <w:sz w:val="32"/>
          <w:szCs w:val="24"/>
          <w:lang w:val="en-US" w:eastAsia="zh-CN" w:bidi="ar-SA"/>
        </w:rPr>
      </w:pPr>
      <w:r>
        <w:rPr>
          <w:rFonts w:hint="eastAsia" w:ascii="仿宋_GB2312" w:eastAsia="仿宋_GB2312" w:cs="Times New Roman"/>
          <w:kern w:val="2"/>
          <w:sz w:val="32"/>
          <w:szCs w:val="24"/>
          <w:lang w:val="en-US" w:eastAsia="zh-CN" w:bidi="ar-SA"/>
        </w:rPr>
        <w:t>对涉及污染物排放总量替代指标审核的，在确保建设项目能够落实替代来源的前提下（含总量承诺制审批项目），总量指标确认意见（含总量承诺文件）可在技术评估阶段同步办理。环境影响报告书（表）经专家评审会议通过后，经办科室应及时通知建设单位向总量审核部门申领污染物总量指标，各分局和总量审核部门应及时开展总量指标来源确认审核有关工作，原则上在环科院出具评估意见前完成总量指标确认审核。</w:t>
      </w:r>
    </w:p>
    <w:p w14:paraId="2C806621">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cs="Times New Roman"/>
          <w:kern w:val="2"/>
          <w:sz w:val="32"/>
          <w:szCs w:val="24"/>
          <w:lang w:val="en-US" w:eastAsia="zh-CN" w:bidi="ar-SA"/>
        </w:rPr>
      </w:pPr>
      <w:r>
        <w:rPr>
          <w:rFonts w:hint="eastAsia" w:ascii="仿宋_GB2312" w:eastAsia="仿宋_GB2312" w:cs="Times New Roman"/>
          <w:kern w:val="2"/>
          <w:sz w:val="32"/>
          <w:szCs w:val="24"/>
          <w:lang w:val="en-US" w:eastAsia="zh-CN" w:bidi="ar-SA"/>
        </w:rPr>
        <w:t>经办科室收到技术评估意见后，原则上5个工作日内对完善后的环评文件提出拟办意见。对符合审批要求的，应当向社会公开建设项目和环境影响报告书（表）基本情况等信息，并同步告知建设单位和利害关系人享有要求听证的权利，公示期不少于5个工作日。</w:t>
      </w:r>
    </w:p>
    <w:p w14:paraId="0129B6AF">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市生态环境局召开听证会的，依照环境保护行政许可听证有关规定执行。</w:t>
      </w:r>
    </w:p>
    <w:p w14:paraId="15E7A0EF">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cs="Times New Roman"/>
          <w:kern w:val="2"/>
          <w:sz w:val="32"/>
          <w:szCs w:val="24"/>
          <w:lang w:val="en-US" w:eastAsia="zh-CN" w:bidi="ar-SA"/>
        </w:rPr>
      </w:pPr>
      <w:r>
        <w:rPr>
          <w:rFonts w:hint="eastAsia" w:ascii="仿宋_GB2312" w:eastAsia="仿宋_GB2312" w:cs="Times New Roman"/>
          <w:kern w:val="2"/>
          <w:sz w:val="32"/>
          <w:szCs w:val="24"/>
          <w:lang w:val="en-US" w:eastAsia="zh-CN" w:bidi="ar-SA"/>
        </w:rPr>
        <w:t>环境影响报告书类项目、对涉及产生重大生态环境影响、重大环境风险、特殊敏感类的建设项目以及“两高”项目等行政审批事项，经局领导同意，提请局长办公会议集体研究决定。</w:t>
      </w:r>
    </w:p>
    <w:p w14:paraId="4DF55CAD">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default" w:ascii="仿宋_GB2312" w:eastAsia="仿宋_GB2312" w:cs="Times New Roman"/>
          <w:kern w:val="2"/>
          <w:sz w:val="32"/>
          <w:szCs w:val="24"/>
          <w:lang w:val="en-US" w:eastAsia="zh-CN" w:bidi="ar-SA"/>
        </w:rPr>
      </w:pPr>
      <w:r>
        <w:rPr>
          <w:rFonts w:hint="eastAsia" w:ascii="仿宋_GB2312" w:eastAsia="仿宋_GB2312" w:cs="Times New Roman"/>
          <w:kern w:val="2"/>
          <w:sz w:val="32"/>
          <w:szCs w:val="24"/>
          <w:lang w:val="en-US" w:eastAsia="zh-CN" w:bidi="ar-SA"/>
        </w:rPr>
        <w:t>其他环境影响报告表类项目行政审批，经办科室提出审批建议后报分管领导研究决定。</w:t>
      </w:r>
    </w:p>
    <w:p w14:paraId="4F00CCF8">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eastAsia="仿宋_GB2312"/>
          <w:lang w:val="en-US" w:eastAsia="zh-CN"/>
        </w:rPr>
      </w:pPr>
      <w:r>
        <w:rPr>
          <w:rFonts w:hint="eastAsia"/>
        </w:rPr>
        <w:t>提交局长办公会的，由</w:t>
      </w:r>
      <w:r>
        <w:rPr>
          <w:rFonts w:hint="eastAsia"/>
          <w:lang w:val="en-US" w:eastAsia="zh-CN"/>
        </w:rPr>
        <w:t>环科院</w:t>
      </w:r>
      <w:r>
        <w:rPr>
          <w:rFonts w:hint="eastAsia"/>
        </w:rPr>
        <w:t>汇报技术评估情况，</w:t>
      </w:r>
      <w:r>
        <w:rPr>
          <w:rFonts w:hint="eastAsia"/>
          <w:lang w:eastAsia="zh-CN"/>
        </w:rPr>
        <w:t>经办科室</w:t>
      </w:r>
      <w:r>
        <w:rPr>
          <w:rFonts w:hint="eastAsia"/>
        </w:rPr>
        <w:t>汇报审查情况、提出审批建议，根据项目情况组织相关科室及直属单位列席参会。</w:t>
      </w:r>
      <w:r>
        <w:rPr>
          <w:rFonts w:hint="eastAsia"/>
          <w:lang w:val="en-US" w:eastAsia="zh-CN"/>
        </w:rPr>
        <w:t xml:space="preserve"> </w:t>
      </w:r>
    </w:p>
    <w:p w14:paraId="6FEE7D9E">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rPr>
      </w:pPr>
      <w:r>
        <w:rPr>
          <w:rFonts w:hint="eastAsia"/>
          <w:lang w:eastAsia="zh-CN"/>
        </w:rPr>
        <w:t>经办科室</w:t>
      </w:r>
      <w:r>
        <w:rPr>
          <w:rFonts w:hint="eastAsia"/>
        </w:rPr>
        <w:t>应当根据集体审查意见，起草审批决定文件，报局领导签发。审批决定文件根据涉及事项由</w:t>
      </w:r>
      <w:r>
        <w:rPr>
          <w:rFonts w:hint="eastAsia"/>
          <w:lang w:eastAsia="zh-CN"/>
        </w:rPr>
        <w:t>经办科室</w:t>
      </w:r>
      <w:r>
        <w:rPr>
          <w:rFonts w:hint="eastAsia"/>
        </w:rPr>
        <w:t>抄送行业主管部门、属地生态环境部门等，提醒落实事中事后监管。对经审查依法作出的审批决定，应当自审批决定作出之日起3个工作日内办结文书，转交窗口。</w:t>
      </w:r>
    </w:p>
    <w:p w14:paraId="3D8D9DAF">
      <w:pPr>
        <w:keepNext w:val="0"/>
        <w:keepLines w:val="0"/>
        <w:pageBreakBefore w:val="0"/>
        <w:widowControl w:val="0"/>
        <w:kinsoku/>
        <w:wordWrap/>
        <w:overflowPunct w:val="0"/>
        <w:topLinePunct w:val="0"/>
        <w:autoSpaceDE/>
        <w:autoSpaceDN/>
        <w:bidi w:val="0"/>
        <w:adjustRightInd/>
        <w:snapToGrid/>
        <w:spacing w:before="313" w:beforeLines="100" w:after="313" w:afterLines="100" w:line="580" w:lineRule="exact"/>
        <w:ind w:left="0" w:leftChars="0" w:right="0" w:rightChars="0"/>
        <w:jc w:val="center"/>
        <w:textAlignment w:val="auto"/>
        <w:outlineLvl w:val="0"/>
        <w:rPr>
          <w:rFonts w:hint="default" w:ascii="黑体" w:eastAsia="黑体"/>
          <w:color w:val="auto"/>
          <w:sz w:val="32"/>
          <w:szCs w:val="32"/>
          <w:lang w:val="en-US" w:eastAsia="zh-CN"/>
        </w:rPr>
      </w:pPr>
      <w:r>
        <w:rPr>
          <w:rFonts w:hint="eastAsia" w:ascii="黑体" w:eastAsia="黑体"/>
          <w:color w:val="auto"/>
          <w:sz w:val="32"/>
          <w:szCs w:val="32"/>
          <w:lang w:val="en-US" w:eastAsia="zh-CN"/>
        </w:rPr>
        <w:t>第六章 公示及送达</w:t>
      </w:r>
    </w:p>
    <w:p w14:paraId="4F08D4F0">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窗口应当在收到行政许可文书7个工作日内，依据申请采用现场领取或邮寄的方式送达建设单位。</w:t>
      </w:r>
    </w:p>
    <w:p w14:paraId="2FE06130">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Times New Roman" w:eastAsia="仿宋_GB2312" w:cs="Times New Roman"/>
          <w:kern w:val="2"/>
          <w:sz w:val="32"/>
          <w:szCs w:val="24"/>
          <w:lang w:val="en-US" w:eastAsia="zh-CN" w:bidi="ar-SA"/>
        </w:rPr>
      </w:pPr>
      <w:r>
        <w:rPr>
          <w:rFonts w:hint="eastAsia" w:cs="Times New Roman"/>
          <w:kern w:val="2"/>
          <w:sz w:val="32"/>
          <w:szCs w:val="24"/>
          <w:lang w:val="en-US" w:eastAsia="zh-CN" w:bidi="ar-SA"/>
        </w:rPr>
        <w:t>经办科室</w:t>
      </w:r>
      <w:r>
        <w:rPr>
          <w:rFonts w:hint="eastAsia" w:ascii="仿宋_GB2312" w:hAnsi="Times New Roman" w:eastAsia="仿宋_GB2312" w:cs="Times New Roman"/>
          <w:kern w:val="2"/>
          <w:sz w:val="32"/>
          <w:szCs w:val="24"/>
          <w:lang w:val="en-US" w:eastAsia="zh-CN" w:bidi="ar-SA"/>
        </w:rPr>
        <w:t>应当自环境影响报告书（表）审批决定作出之日起7个工作日内，在市生态环境局网站公开审批决定全文，依法告知建设单位提起行政复议和行政诉讼的权利和期限</w:t>
      </w:r>
      <w:r>
        <w:rPr>
          <w:rFonts w:hint="eastAsia" w:cs="Times New Roman"/>
          <w:kern w:val="2"/>
          <w:sz w:val="32"/>
          <w:szCs w:val="24"/>
          <w:lang w:val="en-US" w:eastAsia="zh-CN" w:bidi="ar-SA"/>
        </w:rPr>
        <w:t>；并</w:t>
      </w:r>
      <w:r>
        <w:rPr>
          <w:rFonts w:hint="eastAsia" w:ascii="仿宋_GB2312" w:hAnsi="Times New Roman" w:eastAsia="仿宋_GB2312" w:cs="Times New Roman"/>
          <w:kern w:val="2"/>
          <w:sz w:val="32"/>
          <w:szCs w:val="24"/>
          <w:lang w:val="en-US" w:eastAsia="zh-CN" w:bidi="ar-SA"/>
        </w:rPr>
        <w:t>将审批相关信息推送池州市公共信用信息共享服务平台。</w:t>
      </w:r>
    </w:p>
    <w:p w14:paraId="62C3A72E">
      <w:pPr>
        <w:keepNext w:val="0"/>
        <w:keepLines w:val="0"/>
        <w:pageBreakBefore w:val="0"/>
        <w:widowControl w:val="0"/>
        <w:kinsoku/>
        <w:wordWrap/>
        <w:overflowPunct w:val="0"/>
        <w:topLinePunct w:val="0"/>
        <w:autoSpaceDE/>
        <w:autoSpaceDN/>
        <w:bidi w:val="0"/>
        <w:adjustRightInd/>
        <w:snapToGrid/>
        <w:spacing w:before="313" w:beforeLines="100" w:after="313" w:afterLines="100" w:line="580" w:lineRule="exact"/>
        <w:ind w:left="0" w:leftChars="0" w:right="0" w:rightChars="0"/>
        <w:jc w:val="center"/>
        <w:textAlignment w:val="auto"/>
        <w:outlineLvl w:val="0"/>
        <w:rPr>
          <w:rFonts w:hint="default" w:ascii="黑体" w:eastAsia="黑体"/>
          <w:color w:val="auto"/>
          <w:sz w:val="32"/>
          <w:szCs w:val="32"/>
          <w:lang w:val="en-US" w:eastAsia="zh-CN"/>
        </w:rPr>
      </w:pPr>
      <w:r>
        <w:rPr>
          <w:rFonts w:hint="eastAsia" w:ascii="黑体" w:eastAsia="黑体"/>
          <w:color w:val="auto"/>
          <w:sz w:val="32"/>
          <w:szCs w:val="32"/>
          <w:lang w:val="en-US" w:eastAsia="zh-CN"/>
        </w:rPr>
        <w:t>第七章 附则</w:t>
      </w:r>
    </w:p>
    <w:p w14:paraId="500B71A8">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1.建设项目环境影响报告书（表）审批（查）办理的各部门、单位要严格遵照法律法规及本规定要求，坚持“依法、科学、公开、廉洁、高效”原则，发扬“科学、严谨、规范”作风，按照“严、真、细、实、快”要求，各环节压茬推进、并联同步开展，切实提高工作效率，压缩审批时限，自觉接受纪检、效能、法制等方面监督。</w:t>
      </w:r>
    </w:p>
    <w:p w14:paraId="1AE355D6">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Times New Roman" w:eastAsia="仿宋_GB2312" w:cs="Times New Roman"/>
          <w:kern w:val="2"/>
          <w:sz w:val="32"/>
          <w:szCs w:val="24"/>
          <w:lang w:val="en-US" w:eastAsia="zh-CN" w:bidi="ar-SA"/>
        </w:rPr>
      </w:pPr>
      <w:r>
        <w:rPr>
          <w:rFonts w:hint="eastAsia" w:ascii="仿宋_GB2312" w:hAnsi="Times New Roman" w:eastAsia="仿宋_GB2312" w:cs="Times New Roman"/>
          <w:kern w:val="2"/>
          <w:sz w:val="32"/>
          <w:szCs w:val="24"/>
          <w:lang w:val="en-US" w:eastAsia="zh-CN" w:bidi="ar-SA"/>
        </w:rPr>
        <w:t>2.市生态环境局及各</w:t>
      </w:r>
      <w:r>
        <w:rPr>
          <w:rFonts w:hint="eastAsia" w:cs="Times New Roman"/>
          <w:kern w:val="2"/>
          <w:sz w:val="32"/>
          <w:szCs w:val="24"/>
          <w:lang w:val="en-US" w:eastAsia="zh-CN" w:bidi="ar-SA"/>
        </w:rPr>
        <w:t>经办科室</w:t>
      </w:r>
      <w:r>
        <w:rPr>
          <w:rFonts w:hint="eastAsia" w:ascii="仿宋_GB2312" w:hAnsi="Times New Roman" w:eastAsia="仿宋_GB2312" w:cs="Times New Roman"/>
          <w:kern w:val="2"/>
          <w:sz w:val="32"/>
          <w:szCs w:val="24"/>
          <w:lang w:val="en-US" w:eastAsia="zh-CN" w:bidi="ar-SA"/>
        </w:rPr>
        <w:t>应落实国家、省和市有关“放管服”和政务服务改革要求，按规定使用“全国建设项目环评统一申报系统”。</w:t>
      </w:r>
    </w:p>
    <w:p w14:paraId="47C0650A">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lang w:val="en-US" w:eastAsia="zh-CN"/>
        </w:rPr>
      </w:pPr>
      <w:r>
        <w:rPr>
          <w:rFonts w:hint="eastAsia" w:ascii="仿宋_GB2312" w:hAnsi="Times New Roman" w:eastAsia="仿宋_GB2312" w:cs="Times New Roman"/>
          <w:kern w:val="2"/>
          <w:sz w:val="32"/>
          <w:szCs w:val="24"/>
          <w:lang w:val="en-US" w:eastAsia="zh-CN" w:bidi="ar-SA"/>
        </w:rPr>
        <w:t>3.各</w:t>
      </w:r>
      <w:r>
        <w:rPr>
          <w:rFonts w:hint="eastAsia" w:ascii="仿宋_GB2312" w:eastAsia="仿宋_GB2312" w:cs="Times New Roman"/>
          <w:kern w:val="2"/>
          <w:sz w:val="32"/>
          <w:szCs w:val="24"/>
          <w:lang w:val="en-US" w:eastAsia="zh-CN" w:bidi="ar-SA"/>
        </w:rPr>
        <w:t>经办科室</w:t>
      </w:r>
      <w:r>
        <w:rPr>
          <w:rFonts w:hint="eastAsia" w:ascii="仿宋_GB2312" w:hAnsi="Times New Roman" w:eastAsia="仿宋_GB2312" w:cs="Times New Roman"/>
          <w:kern w:val="2"/>
          <w:sz w:val="32"/>
          <w:szCs w:val="24"/>
          <w:lang w:val="en-US" w:eastAsia="zh-CN" w:bidi="ar-SA"/>
        </w:rPr>
        <w:t>和</w:t>
      </w:r>
      <w:r>
        <w:rPr>
          <w:rFonts w:hint="eastAsia" w:ascii="仿宋_GB2312" w:eastAsia="仿宋_GB2312" w:cs="Times New Roman"/>
          <w:kern w:val="2"/>
          <w:sz w:val="32"/>
          <w:szCs w:val="24"/>
          <w:lang w:val="en-US" w:eastAsia="zh-CN" w:bidi="ar-SA"/>
        </w:rPr>
        <w:t>环科院</w:t>
      </w:r>
      <w:r>
        <w:rPr>
          <w:rFonts w:hint="eastAsia" w:ascii="仿宋_GB2312" w:hAnsi="Times New Roman" w:eastAsia="仿宋_GB2312" w:cs="Times New Roman"/>
          <w:kern w:val="2"/>
          <w:sz w:val="32"/>
          <w:szCs w:val="24"/>
          <w:lang w:val="en-US" w:eastAsia="zh-CN" w:bidi="ar-SA"/>
        </w:rPr>
        <w:t>可以根据建设单位、建设项目环境影响报告书（表）编制单位或者有关部门提供的信息，提前指导，主动服务，规范受理前咨询服务行为，建立咨询服务台账。</w:t>
      </w:r>
    </w:p>
    <w:p w14:paraId="2FE48F7E">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Times New Roman" w:eastAsia="仿宋_GB2312" w:cs="Times New Roman"/>
          <w:kern w:val="2"/>
          <w:sz w:val="32"/>
          <w:szCs w:val="24"/>
          <w:lang w:val="en-US" w:eastAsia="zh-CN" w:bidi="ar-SA"/>
        </w:rPr>
      </w:pPr>
      <w:r>
        <w:rPr>
          <w:rFonts w:hint="eastAsia" w:ascii="仿宋_GB2312" w:eastAsia="仿宋_GB2312" w:cs="Times New Roman"/>
          <w:kern w:val="2"/>
          <w:sz w:val="32"/>
          <w:szCs w:val="24"/>
          <w:lang w:val="en-US" w:eastAsia="zh-CN" w:bidi="ar-SA"/>
        </w:rPr>
        <w:t>4</w:t>
      </w:r>
      <w:r>
        <w:rPr>
          <w:rFonts w:hint="eastAsia" w:ascii="仿宋_GB2312" w:hAnsi="Times New Roman" w:eastAsia="仿宋_GB2312" w:cs="Times New Roman"/>
          <w:kern w:val="2"/>
          <w:sz w:val="32"/>
          <w:szCs w:val="24"/>
          <w:lang w:val="en-US" w:eastAsia="zh-CN" w:bidi="ar-SA"/>
        </w:rPr>
        <w:t>.建设项目环境影响报告书（表）审批办理过程中有关公示要求，必须严格按照有关规定执行，涉及国家秘密、商业秘密、个人隐私的，依法不得公开。</w:t>
      </w:r>
    </w:p>
    <w:p w14:paraId="1958DA9E">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hAnsi="Times New Roman" w:eastAsia="仿宋_GB2312" w:cs="Times New Roman"/>
          <w:kern w:val="2"/>
          <w:sz w:val="32"/>
          <w:szCs w:val="24"/>
          <w:lang w:val="en-US" w:eastAsia="zh-CN" w:bidi="ar-SA"/>
        </w:rPr>
      </w:pPr>
      <w:r>
        <w:rPr>
          <w:rFonts w:hint="eastAsia" w:cs="Times New Roman"/>
          <w:kern w:val="2"/>
          <w:sz w:val="32"/>
          <w:szCs w:val="24"/>
          <w:lang w:val="en-US" w:eastAsia="zh-CN" w:bidi="ar-SA"/>
        </w:rPr>
        <w:t>5</w:t>
      </w:r>
      <w:r>
        <w:rPr>
          <w:rFonts w:hint="eastAsia" w:ascii="仿宋_GB2312" w:hAnsi="Times New Roman" w:eastAsia="仿宋_GB2312" w:cs="Times New Roman"/>
          <w:kern w:val="2"/>
          <w:sz w:val="32"/>
          <w:szCs w:val="24"/>
          <w:lang w:val="en-US" w:eastAsia="zh-CN" w:bidi="ar-SA"/>
        </w:rPr>
        <w:t>.实行告知承诺制的建设项目，建设项目环境影响报告书（表）审批程序，</w:t>
      </w:r>
      <w:r>
        <w:rPr>
          <w:rFonts w:hint="eastAsia" w:cs="Times New Roman"/>
          <w:kern w:val="2"/>
          <w:sz w:val="32"/>
          <w:szCs w:val="24"/>
          <w:lang w:val="en-US" w:eastAsia="zh-CN" w:bidi="ar-SA"/>
        </w:rPr>
        <w:t>按照《池州市生态环境局关于实施建设项目环评告知承诺制审批的通知》等要求</w:t>
      </w:r>
      <w:r>
        <w:rPr>
          <w:rFonts w:hint="eastAsia" w:ascii="仿宋_GB2312" w:hAnsi="Times New Roman" w:eastAsia="仿宋_GB2312" w:cs="Times New Roman"/>
          <w:kern w:val="2"/>
          <w:sz w:val="32"/>
          <w:szCs w:val="24"/>
          <w:lang w:val="en-US" w:eastAsia="zh-CN" w:bidi="ar-SA"/>
        </w:rPr>
        <w:t>办理。</w:t>
      </w:r>
    </w:p>
    <w:p w14:paraId="768A2C70">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lang w:val="en-US" w:eastAsia="zh-CN"/>
        </w:rPr>
      </w:pPr>
      <w:r>
        <w:rPr>
          <w:rFonts w:hint="eastAsia"/>
          <w:lang w:val="en-US" w:eastAsia="zh-CN"/>
        </w:rPr>
        <w:t>6.建设项目环境影响报告书（表）受理后，建设单位因建设计划调整、暂停实施等情形申请撤回环境影响报告书（表）审批申请的，市生态环境局可终止该建设项目环境影响报告书（表）审批，并可以由建设单位或其受委托人取回全部申请材料。</w:t>
      </w:r>
    </w:p>
    <w:p w14:paraId="6E551D16">
      <w:pPr>
        <w:pStyle w:val="5"/>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lang w:val="en-US" w:eastAsia="zh-CN"/>
        </w:rPr>
      </w:pPr>
      <w:r>
        <w:rPr>
          <w:rFonts w:hint="eastAsia" w:cs="Times New Roman"/>
          <w:kern w:val="2"/>
          <w:sz w:val="32"/>
          <w:szCs w:val="24"/>
          <w:lang w:val="en-US" w:eastAsia="zh-CN" w:bidi="ar-SA"/>
        </w:rPr>
        <w:t>7</w:t>
      </w:r>
      <w:r>
        <w:rPr>
          <w:rFonts w:hint="eastAsia" w:ascii="仿宋_GB2312" w:hAnsi="Times New Roman" w:eastAsia="仿宋_GB2312" w:cs="Times New Roman"/>
          <w:kern w:val="2"/>
          <w:sz w:val="32"/>
          <w:szCs w:val="24"/>
          <w:lang w:val="en-US" w:eastAsia="zh-CN" w:bidi="ar-SA"/>
        </w:rPr>
        <w:t>.受理、技术评估、集体审议、送达等环节应当按规定进行全过程记录，实现可回溯管理，对现场踏勘、技术评估会议等涉及活动可进行必要的音像记录。审批中发现建设单位存在涉嫌违法开工建设等环境违法行为的，应当将违法线索及时移交生态环境执法部门依法调查处理。</w:t>
      </w:r>
    </w:p>
    <w:p w14:paraId="421DA574">
      <w:pPr>
        <w:keepNext w:val="0"/>
        <w:keepLines w:val="0"/>
        <w:pageBreakBefore w:val="0"/>
        <w:widowControl w:val="0"/>
        <w:kinsoku/>
        <w:wordWrap/>
        <w:overflowPunct w:val="0"/>
        <w:topLinePunct w:val="0"/>
        <w:autoSpaceDE/>
        <w:autoSpaceDN/>
        <w:bidi w:val="0"/>
        <w:adjustRightInd/>
        <w:snapToGrid/>
        <w:spacing w:line="580" w:lineRule="exact"/>
        <w:ind w:firstLine="640" w:firstLineChars="200"/>
        <w:jc w:val="both"/>
        <w:rPr>
          <w:rFonts w:hint="eastAsia" w:ascii="仿宋_GB2312" w:eastAsia="仿宋_GB2312" w:cs="Times New Roman"/>
          <w:kern w:val="2"/>
          <w:sz w:val="32"/>
          <w:szCs w:val="24"/>
          <w:lang w:val="en-US" w:eastAsia="zh-CN" w:bidi="ar-SA"/>
        </w:rPr>
      </w:pPr>
      <w:r>
        <w:rPr>
          <w:rFonts w:hint="eastAsia" w:ascii="仿宋_GB2312" w:eastAsia="仿宋_GB2312" w:cs="Times New Roman"/>
          <w:kern w:val="2"/>
          <w:sz w:val="32"/>
          <w:szCs w:val="24"/>
          <w:lang w:val="en-US" w:eastAsia="zh-CN" w:bidi="ar-SA"/>
        </w:rPr>
        <w:t>8</w:t>
      </w:r>
      <w:r>
        <w:rPr>
          <w:rFonts w:hint="eastAsia" w:ascii="仿宋_GB2312" w:hAnsi="Times New Roman" w:eastAsia="仿宋_GB2312" w:cs="Times New Roman"/>
          <w:kern w:val="2"/>
          <w:sz w:val="32"/>
          <w:szCs w:val="24"/>
          <w:lang w:val="en-US" w:eastAsia="zh-CN" w:bidi="ar-SA"/>
        </w:rPr>
        <w:t>.</w:t>
      </w:r>
      <w:r>
        <w:rPr>
          <w:rFonts w:hint="eastAsia" w:ascii="仿宋_GB2312" w:eastAsia="仿宋_GB2312" w:cs="Times New Roman"/>
          <w:kern w:val="2"/>
          <w:sz w:val="32"/>
          <w:szCs w:val="24"/>
          <w:lang w:val="en-US" w:eastAsia="zh-CN" w:bidi="ar-SA"/>
        </w:rPr>
        <w:t>经办科室</w:t>
      </w:r>
      <w:r>
        <w:rPr>
          <w:rFonts w:hint="eastAsia" w:ascii="仿宋_GB2312" w:hAnsi="Times New Roman" w:eastAsia="仿宋_GB2312" w:cs="Times New Roman"/>
          <w:kern w:val="2"/>
          <w:sz w:val="32"/>
          <w:szCs w:val="24"/>
          <w:lang w:val="en-US" w:eastAsia="zh-CN" w:bidi="ar-SA"/>
        </w:rPr>
        <w:t>、</w:t>
      </w:r>
      <w:r>
        <w:rPr>
          <w:rFonts w:hint="eastAsia" w:ascii="仿宋_GB2312" w:eastAsia="仿宋_GB2312" w:cs="Times New Roman"/>
          <w:kern w:val="2"/>
          <w:sz w:val="32"/>
          <w:szCs w:val="24"/>
          <w:lang w:val="en-US" w:eastAsia="zh-CN" w:bidi="ar-SA"/>
        </w:rPr>
        <w:t>环科院</w:t>
      </w:r>
      <w:r>
        <w:rPr>
          <w:rFonts w:hint="eastAsia" w:ascii="仿宋_GB2312" w:hAnsi="Times New Roman" w:eastAsia="仿宋_GB2312" w:cs="Times New Roman"/>
          <w:kern w:val="2"/>
          <w:sz w:val="32"/>
          <w:szCs w:val="24"/>
          <w:lang w:val="en-US" w:eastAsia="zh-CN" w:bidi="ar-SA"/>
        </w:rPr>
        <w:t>应对行政许可各环节产生的相关文件材</w:t>
      </w:r>
      <w:r>
        <w:rPr>
          <w:rFonts w:hint="eastAsia" w:ascii="仿宋_GB2312" w:eastAsia="仿宋_GB2312" w:cs="Times New Roman"/>
          <w:kern w:val="2"/>
          <w:sz w:val="32"/>
          <w:szCs w:val="24"/>
          <w:lang w:val="en-US" w:eastAsia="zh-CN" w:bidi="ar-SA"/>
        </w:rPr>
        <w:t>料进行收集、整理、归档，确保文件材料齐全、完整。经办科室收集的纸质文件档案应当在局档案室保存，环科院收集的纸质文件档案应当在环科院档案室保存。</w:t>
      </w:r>
    </w:p>
    <w:p w14:paraId="2B45D511">
      <w:pPr>
        <w:pStyle w:val="5"/>
        <w:keepNext w:val="0"/>
        <w:keepLines w:val="0"/>
        <w:pageBreakBefore w:val="0"/>
        <w:widowControl w:val="0"/>
        <w:kinsoku/>
        <w:wordWrap/>
        <w:overflowPunct w:val="0"/>
        <w:topLinePunct w:val="0"/>
        <w:autoSpaceDE/>
        <w:autoSpaceDN/>
        <w:bidi w:val="0"/>
        <w:adjustRightInd/>
        <w:snapToGrid/>
        <w:spacing w:line="580" w:lineRule="exact"/>
        <w:ind w:left="0" w:leftChars="0" w:firstLine="640" w:firstLineChars="200"/>
        <w:jc w:val="both"/>
        <w:rPr>
          <w:rFonts w:hint="eastAsia" w:cs="Times New Roman"/>
          <w:kern w:val="2"/>
          <w:sz w:val="32"/>
          <w:szCs w:val="24"/>
          <w:lang w:val="en-US" w:eastAsia="zh-CN" w:bidi="ar-SA"/>
        </w:rPr>
      </w:pPr>
      <w:r>
        <w:rPr>
          <w:rFonts w:hint="eastAsia" w:ascii="仿宋_GB2312" w:eastAsia="仿宋_GB2312" w:cs="Times New Roman"/>
          <w:kern w:val="2"/>
          <w:sz w:val="32"/>
          <w:szCs w:val="24"/>
          <w:lang w:val="en-US" w:eastAsia="zh-CN" w:bidi="ar-SA"/>
        </w:rPr>
        <w:t>9</w:t>
      </w:r>
      <w:r>
        <w:rPr>
          <w:rFonts w:hint="eastAsia" w:cs="Times New Roman"/>
          <w:kern w:val="2"/>
          <w:sz w:val="32"/>
          <w:szCs w:val="24"/>
          <w:lang w:val="en-US" w:eastAsia="zh-CN" w:bidi="ar-SA"/>
        </w:rPr>
        <w:t>.本规定自发布之日执行。国家、省有新规定的,从其规定。</w:t>
      </w:r>
    </w:p>
    <w:p w14:paraId="19D0A7C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7428CC"/>
    <w:rsid w:val="217428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ind w:firstLine="810"/>
    </w:pPr>
    <w:rPr>
      <w:sz w:val="32"/>
      <w:szCs w:val="24"/>
    </w:rPr>
  </w:style>
  <w:style w:type="paragraph" w:customStyle="1" w:styleId="5">
    <w:name w:val="BodyTextIndent2"/>
    <w:basedOn w:val="1"/>
    <w:next w:val="1"/>
    <w:qFormat/>
    <w:uiPriority w:val="0"/>
    <w:pPr>
      <w:ind w:firstLine="640" w:firstLineChars="200"/>
      <w:jc w:val="both"/>
      <w:textAlignment w:val="baseline"/>
    </w:pPr>
    <w:rPr>
      <w:rFonts w:ascii="仿宋_GB2312" w:hAnsi="Times New Roman" w:eastAsia="仿宋_GB2312"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2025-12-11T01:32:00Z</dcterms:created>
  <dc:creator>sss</dc:creator>
  <cp:lastModifiedBy>sss</cp:lastModifiedBy>
  <dcterms:modified xsi:type="dcterms:W3CDTF">2025-12-11T01:32:34Z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AD47C0102B14401095BDEA94BB8D0EFF_11</vt:lpwstr>
  </property>
  <property fmtid="{D5CDD505-2E9C-101B-9397-08002B2CF9AE}" pid="4" name="KSOTemplateDocerSaveRecord">
    <vt:lpwstr>eyJoZGlkIjoiZjM1MjM0Yjc3Y2NlMzJmOWU1YjIzOTNmY2Q4MjljODMiLCJ1c2VySWQiOiIxMDQ5ODM3NTE4In0=</vt:lpwstr>
  </property>
</Properties>
</file>