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A84E57">
      <w:pPr>
        <w:keepNext w:val="0"/>
        <w:keepLines w:val="0"/>
        <w:pageBreakBefore w:val="0"/>
        <w:widowControl w:val="0"/>
        <w:kinsoku/>
        <w:wordWrap/>
        <w:overflowPunct w:val="0"/>
        <w:topLinePunct w:val="0"/>
        <w:autoSpaceDE/>
        <w:autoSpaceDN/>
        <w:bidi w:val="0"/>
        <w:adjustRightInd/>
        <w:snapToGrid/>
        <w:spacing w:line="580" w:lineRule="exact"/>
        <w:jc w:val="both"/>
        <w:textAlignment w:val="auto"/>
        <w:rPr>
          <w:rFonts w:hint="eastAsia" w:ascii="黑体" w:hAnsi="黑体" w:eastAsia="黑体" w:cs="黑体"/>
          <w:b w:val="0"/>
          <w:bCs w:val="0"/>
          <w:color w:val="auto"/>
          <w:kern w:val="0"/>
          <w:sz w:val="32"/>
          <w:szCs w:val="32"/>
          <w:highlight w:val="none"/>
          <w:lang w:val="en-US" w:eastAsia="zh-CN" w:bidi="ar"/>
        </w:rPr>
      </w:pPr>
      <w:r>
        <w:rPr>
          <w:rFonts w:hint="eastAsia" w:ascii="黑体" w:hAnsi="黑体" w:eastAsia="黑体" w:cs="黑体"/>
          <w:b w:val="0"/>
          <w:bCs w:val="0"/>
          <w:color w:val="auto"/>
          <w:kern w:val="0"/>
          <w:sz w:val="32"/>
          <w:szCs w:val="32"/>
          <w:highlight w:val="none"/>
          <w:lang w:val="en-US" w:eastAsia="zh-CN" w:bidi="ar"/>
        </w:rPr>
        <w:t>附件2</w:t>
      </w:r>
    </w:p>
    <w:p w14:paraId="26617CA5">
      <w:pPr>
        <w:keepNext w:val="0"/>
        <w:keepLines w:val="0"/>
        <w:pageBreakBefore w:val="0"/>
        <w:widowControl w:val="0"/>
        <w:kinsoku/>
        <w:wordWrap/>
        <w:overflowPunct w:val="0"/>
        <w:topLinePunct w:val="0"/>
        <w:autoSpaceDE/>
        <w:autoSpaceDN/>
        <w:bidi w:val="0"/>
        <w:adjustRightInd w:val="0"/>
        <w:snapToGrid w:val="0"/>
        <w:spacing w:line="560" w:lineRule="exact"/>
        <w:ind w:right="0" w:rightChars="0"/>
        <w:jc w:val="both"/>
        <w:textAlignment w:val="auto"/>
        <w:rPr>
          <w:rFonts w:hint="default" w:ascii="Times New Roman" w:hAnsi="Times New Roman" w:eastAsia="黑体" w:cs="Times New Roman"/>
          <w:sz w:val="32"/>
          <w:szCs w:val="32"/>
          <w:shd w:val="clear" w:color="auto" w:fill="FFFFFF"/>
          <w:lang w:val="en-US" w:eastAsia="zh-CN"/>
        </w:rPr>
      </w:pPr>
    </w:p>
    <w:p w14:paraId="1F137B46">
      <w:pPr>
        <w:keepNext w:val="0"/>
        <w:keepLines w:val="0"/>
        <w:pageBreakBefore w:val="0"/>
        <w:widowControl w:val="0"/>
        <w:kinsoku/>
        <w:wordWrap/>
        <w:overflowPunct w:val="0"/>
        <w:topLinePunct w:val="0"/>
        <w:autoSpaceDE/>
        <w:autoSpaceDN/>
        <w:bidi w:val="0"/>
        <w:adjustRightInd/>
        <w:snapToGrid/>
        <w:spacing w:line="700" w:lineRule="exact"/>
        <w:ind w:firstLine="0" w:firstLineChars="0"/>
        <w:jc w:val="center"/>
        <w:textAlignment w:val="auto"/>
        <w:rPr>
          <w:rFonts w:hint="eastAsia" w:ascii="方正小标宋简体" w:hAnsi="Times New Roman" w:eastAsia="方正小标宋简体" w:cs="Times New Roman"/>
          <w:b w:val="0"/>
          <w:bCs w:val="0"/>
          <w:spacing w:val="0"/>
          <w:kern w:val="2"/>
          <w:sz w:val="44"/>
          <w:szCs w:val="44"/>
          <w:lang w:val="en-US" w:eastAsia="zh-CN" w:bidi="ar-SA"/>
        </w:rPr>
      </w:pPr>
      <w:r>
        <w:rPr>
          <w:rFonts w:hint="eastAsia" w:ascii="方正小标宋简体" w:hAnsi="Times New Roman" w:eastAsia="方正小标宋简体" w:cs="Times New Roman"/>
          <w:b w:val="0"/>
          <w:bCs w:val="0"/>
          <w:spacing w:val="0"/>
          <w:kern w:val="2"/>
          <w:sz w:val="44"/>
          <w:szCs w:val="44"/>
          <w:lang w:val="en-US" w:eastAsia="zh-CN" w:bidi="ar-SA"/>
        </w:rPr>
        <w:t>池州市环评文件“蓝、黄、红”分类亮牌管理工作方案（征求意见稿）</w:t>
      </w:r>
    </w:p>
    <w:p w14:paraId="6A8F71B4">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kern w:val="0"/>
          <w:sz w:val="32"/>
          <w:szCs w:val="32"/>
          <w:highlight w:val="none"/>
          <w:lang w:val="en-US" w:eastAsia="zh-CN" w:bidi="ar"/>
        </w:rPr>
      </w:pPr>
    </w:p>
    <w:p w14:paraId="6F76F91E">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kern w:val="0"/>
          <w:sz w:val="32"/>
          <w:szCs w:val="32"/>
          <w:highlight w:val="none"/>
          <w:lang w:val="en-US" w:eastAsia="zh-CN" w:bidi="ar"/>
        </w:rPr>
      </w:pPr>
      <w:r>
        <w:rPr>
          <w:rFonts w:hint="eastAsia" w:ascii="仿宋_GB2312" w:hAnsi="仿宋_GB2312" w:eastAsia="仿宋_GB2312" w:cs="仿宋_GB2312"/>
          <w:color w:val="auto"/>
          <w:kern w:val="0"/>
          <w:sz w:val="32"/>
          <w:szCs w:val="32"/>
          <w:highlight w:val="none"/>
          <w:lang w:val="en-US" w:eastAsia="zh-CN" w:bidi="ar"/>
        </w:rPr>
        <w:t>为提升全市环境影响评价工作质量，加快环评审批进度，进一步优化营商环境，保障重大项目落地建设，助力全市经济高质量发展，根据国家、省相关法律法规和《池州市生态环境局建设项目环境影响报告书（表）审批流程规定》（池环办〔2023〕154号）要求，制定本方案。</w:t>
      </w:r>
    </w:p>
    <w:p w14:paraId="4D54FDBD">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eastAsia" w:ascii="黑体" w:hAnsi="黑体" w:eastAsia="黑体" w:cs="黑体"/>
          <w:color w:val="auto"/>
          <w:kern w:val="0"/>
          <w:sz w:val="32"/>
          <w:szCs w:val="32"/>
          <w:highlight w:val="none"/>
          <w:lang w:val="en-US" w:eastAsia="zh-CN" w:bidi="ar"/>
        </w:rPr>
      </w:pPr>
      <w:r>
        <w:rPr>
          <w:rFonts w:hint="eastAsia" w:ascii="黑体" w:hAnsi="黑体" w:eastAsia="黑体" w:cs="黑体"/>
          <w:color w:val="auto"/>
          <w:kern w:val="0"/>
          <w:sz w:val="32"/>
          <w:szCs w:val="32"/>
          <w:highlight w:val="none"/>
          <w:lang w:val="en-US" w:eastAsia="zh-CN" w:bidi="ar"/>
        </w:rPr>
        <w:t>一、工作目标</w:t>
      </w:r>
    </w:p>
    <w:p w14:paraId="68F47C1D">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kern w:val="0"/>
          <w:sz w:val="32"/>
          <w:szCs w:val="32"/>
          <w:highlight w:val="none"/>
          <w:lang w:bidi="ar"/>
        </w:rPr>
      </w:pPr>
      <w:r>
        <w:rPr>
          <w:rFonts w:hint="eastAsia" w:ascii="仿宋_GB2312" w:hAnsi="仿宋_GB2312" w:eastAsia="仿宋_GB2312" w:cs="仿宋_GB2312"/>
          <w:color w:val="auto"/>
          <w:kern w:val="0"/>
          <w:sz w:val="32"/>
          <w:szCs w:val="32"/>
          <w:highlight w:val="none"/>
          <w:lang w:bidi="ar"/>
        </w:rPr>
        <w:t>规范环评</w:t>
      </w:r>
      <w:r>
        <w:rPr>
          <w:rFonts w:hint="eastAsia" w:ascii="仿宋_GB2312" w:hAnsi="仿宋_GB2312" w:eastAsia="仿宋_GB2312" w:cs="仿宋_GB2312"/>
          <w:color w:val="auto"/>
          <w:kern w:val="0"/>
          <w:sz w:val="32"/>
          <w:szCs w:val="32"/>
          <w:highlight w:val="none"/>
          <w:lang w:eastAsia="zh-CN" w:bidi="ar"/>
        </w:rPr>
        <w:t>文</w:t>
      </w:r>
      <w:r>
        <w:rPr>
          <w:rFonts w:hint="eastAsia" w:ascii="仿宋_GB2312" w:hAnsi="仿宋_GB2312" w:eastAsia="仿宋_GB2312" w:cs="仿宋_GB2312"/>
          <w:color w:val="auto"/>
          <w:kern w:val="0"/>
          <w:sz w:val="32"/>
          <w:szCs w:val="32"/>
          <w:highlight w:val="none"/>
          <w:lang w:bidi="ar"/>
        </w:rPr>
        <w:t>件编制</w:t>
      </w:r>
      <w:r>
        <w:rPr>
          <w:rFonts w:hint="eastAsia" w:ascii="仿宋_GB2312" w:hAnsi="仿宋_GB2312" w:eastAsia="仿宋_GB2312" w:cs="仿宋_GB2312"/>
          <w:color w:val="auto"/>
          <w:kern w:val="0"/>
          <w:sz w:val="32"/>
          <w:szCs w:val="32"/>
          <w:highlight w:val="none"/>
          <w:lang w:eastAsia="zh-CN" w:bidi="ar"/>
        </w:rPr>
        <w:t>行</w:t>
      </w:r>
      <w:r>
        <w:rPr>
          <w:rFonts w:hint="eastAsia" w:ascii="仿宋_GB2312" w:hAnsi="仿宋_GB2312" w:eastAsia="仿宋_GB2312" w:cs="仿宋_GB2312"/>
          <w:color w:val="auto"/>
          <w:kern w:val="0"/>
          <w:sz w:val="32"/>
          <w:szCs w:val="32"/>
          <w:highlight w:val="none"/>
          <w:lang w:bidi="ar"/>
        </w:rPr>
        <w:t>为，解决因环评编制单位业务</w:t>
      </w:r>
      <w:r>
        <w:rPr>
          <w:rFonts w:hint="eastAsia" w:ascii="仿宋_GB2312" w:hAnsi="仿宋_GB2312" w:eastAsia="仿宋_GB2312" w:cs="仿宋_GB2312"/>
          <w:color w:val="auto"/>
          <w:kern w:val="0"/>
          <w:sz w:val="32"/>
          <w:szCs w:val="32"/>
          <w:highlight w:val="none"/>
          <w:lang w:eastAsia="zh-CN" w:bidi="ar"/>
        </w:rPr>
        <w:t>水</w:t>
      </w:r>
      <w:r>
        <w:rPr>
          <w:rFonts w:hint="eastAsia" w:ascii="仿宋_GB2312" w:hAnsi="仿宋_GB2312" w:eastAsia="仿宋_GB2312" w:cs="仿宋_GB2312"/>
          <w:color w:val="auto"/>
          <w:kern w:val="0"/>
          <w:sz w:val="32"/>
          <w:szCs w:val="32"/>
          <w:highlight w:val="none"/>
          <w:lang w:bidi="ar"/>
        </w:rPr>
        <w:t>平差、</w:t>
      </w:r>
      <w:r>
        <w:rPr>
          <w:rFonts w:hint="eastAsia" w:ascii="仿宋_GB2312" w:hAnsi="仿宋_GB2312" w:eastAsia="仿宋_GB2312" w:cs="仿宋_GB2312"/>
          <w:color w:val="auto"/>
          <w:kern w:val="0"/>
          <w:sz w:val="32"/>
          <w:szCs w:val="32"/>
          <w:highlight w:val="none"/>
          <w:lang w:eastAsia="zh-CN" w:bidi="ar"/>
        </w:rPr>
        <w:t>工</w:t>
      </w:r>
      <w:r>
        <w:rPr>
          <w:rFonts w:hint="eastAsia" w:ascii="仿宋_GB2312" w:hAnsi="仿宋_GB2312" w:eastAsia="仿宋_GB2312" w:cs="仿宋_GB2312"/>
          <w:color w:val="auto"/>
          <w:kern w:val="0"/>
          <w:sz w:val="32"/>
          <w:szCs w:val="32"/>
          <w:highlight w:val="none"/>
          <w:lang w:bidi="ar"/>
        </w:rPr>
        <w:t>作态度不积极，导致环评</w:t>
      </w:r>
      <w:r>
        <w:rPr>
          <w:rFonts w:hint="eastAsia" w:ascii="仿宋_GB2312" w:hAnsi="仿宋_GB2312" w:eastAsia="仿宋_GB2312" w:cs="仿宋_GB2312"/>
          <w:color w:val="auto"/>
          <w:kern w:val="0"/>
          <w:sz w:val="32"/>
          <w:szCs w:val="32"/>
          <w:highlight w:val="none"/>
          <w:lang w:eastAsia="zh-CN" w:bidi="ar"/>
        </w:rPr>
        <w:t>文</w:t>
      </w:r>
      <w:r>
        <w:rPr>
          <w:rFonts w:hint="eastAsia" w:ascii="仿宋_GB2312" w:hAnsi="仿宋_GB2312" w:eastAsia="仿宋_GB2312" w:cs="仿宋_GB2312"/>
          <w:color w:val="auto"/>
          <w:kern w:val="0"/>
          <w:sz w:val="32"/>
          <w:szCs w:val="32"/>
          <w:highlight w:val="none"/>
          <w:lang w:bidi="ar"/>
        </w:rPr>
        <w:t>件编制质量差、修改完善时间长，影响建设项</w:t>
      </w:r>
      <w:r>
        <w:rPr>
          <w:rFonts w:hint="eastAsia" w:ascii="仿宋_GB2312" w:hAnsi="仿宋_GB2312" w:eastAsia="仿宋_GB2312" w:cs="仿宋_GB2312"/>
          <w:color w:val="auto"/>
          <w:kern w:val="0"/>
          <w:sz w:val="32"/>
          <w:szCs w:val="32"/>
          <w:highlight w:val="none"/>
          <w:lang w:eastAsia="zh-CN" w:bidi="ar"/>
        </w:rPr>
        <w:t>目</w:t>
      </w:r>
      <w:r>
        <w:rPr>
          <w:rFonts w:hint="eastAsia" w:ascii="仿宋_GB2312" w:hAnsi="仿宋_GB2312" w:eastAsia="仿宋_GB2312" w:cs="仿宋_GB2312"/>
          <w:color w:val="auto"/>
          <w:kern w:val="0"/>
          <w:sz w:val="32"/>
          <w:szCs w:val="32"/>
          <w:highlight w:val="none"/>
          <w:lang w:bidi="ar"/>
        </w:rPr>
        <w:t>落地的问题，建</w:t>
      </w:r>
      <w:r>
        <w:rPr>
          <w:rFonts w:hint="eastAsia" w:ascii="仿宋_GB2312" w:hAnsi="仿宋_GB2312" w:eastAsia="仿宋_GB2312" w:cs="仿宋_GB2312"/>
          <w:color w:val="auto"/>
          <w:kern w:val="0"/>
          <w:sz w:val="32"/>
          <w:szCs w:val="32"/>
          <w:highlight w:val="none"/>
          <w:lang w:eastAsia="zh-CN" w:bidi="ar"/>
        </w:rPr>
        <w:t>立</w:t>
      </w:r>
      <w:r>
        <w:rPr>
          <w:rFonts w:hint="eastAsia" w:ascii="仿宋_GB2312" w:hAnsi="仿宋_GB2312" w:eastAsia="仿宋_GB2312" w:cs="仿宋_GB2312"/>
          <w:color w:val="auto"/>
          <w:kern w:val="0"/>
          <w:sz w:val="32"/>
          <w:szCs w:val="32"/>
          <w:highlight w:val="none"/>
          <w:lang w:bidi="ar"/>
        </w:rPr>
        <w:t>“红、黄、蓝”分类管理措施。对编制质量基本符合要求、能够按期完成修改的环评</w:t>
      </w:r>
      <w:r>
        <w:rPr>
          <w:rFonts w:hint="eastAsia" w:ascii="仿宋_GB2312" w:hAnsi="仿宋_GB2312" w:eastAsia="仿宋_GB2312" w:cs="仿宋_GB2312"/>
          <w:color w:val="auto"/>
          <w:kern w:val="0"/>
          <w:sz w:val="32"/>
          <w:szCs w:val="32"/>
          <w:highlight w:val="none"/>
          <w:lang w:eastAsia="zh-CN" w:bidi="ar"/>
        </w:rPr>
        <w:t>文</w:t>
      </w:r>
      <w:r>
        <w:rPr>
          <w:rFonts w:hint="eastAsia" w:ascii="仿宋_GB2312" w:hAnsi="仿宋_GB2312" w:eastAsia="仿宋_GB2312" w:cs="仿宋_GB2312"/>
          <w:color w:val="auto"/>
          <w:kern w:val="0"/>
          <w:sz w:val="32"/>
          <w:szCs w:val="32"/>
          <w:highlight w:val="none"/>
          <w:lang w:bidi="ar"/>
        </w:rPr>
        <w:t>件出</w:t>
      </w:r>
      <w:r>
        <w:rPr>
          <w:rFonts w:hint="eastAsia" w:ascii="仿宋_GB2312" w:hAnsi="仿宋_GB2312" w:eastAsia="仿宋_GB2312" w:cs="仿宋_GB2312"/>
          <w:color w:val="auto"/>
          <w:kern w:val="0"/>
          <w:sz w:val="32"/>
          <w:szCs w:val="32"/>
          <w:highlight w:val="none"/>
          <w:lang w:eastAsia="zh-CN" w:bidi="ar"/>
        </w:rPr>
        <w:t>示</w:t>
      </w:r>
      <w:r>
        <w:rPr>
          <w:rFonts w:hint="eastAsia" w:ascii="仿宋_GB2312" w:hAnsi="仿宋_GB2312" w:eastAsia="仿宋_GB2312" w:cs="仿宋_GB2312"/>
          <w:color w:val="auto"/>
          <w:kern w:val="0"/>
          <w:sz w:val="32"/>
          <w:szCs w:val="32"/>
          <w:highlight w:val="none"/>
          <w:lang w:bidi="ar"/>
        </w:rPr>
        <w:t>“蓝牌”激励；对编制质量较差，影响修改进度的环评</w:t>
      </w:r>
      <w:r>
        <w:rPr>
          <w:rFonts w:hint="eastAsia" w:ascii="仿宋_GB2312" w:hAnsi="仿宋_GB2312" w:eastAsia="仿宋_GB2312" w:cs="仿宋_GB2312"/>
          <w:color w:val="auto"/>
          <w:kern w:val="0"/>
          <w:sz w:val="32"/>
          <w:szCs w:val="32"/>
          <w:highlight w:val="none"/>
          <w:lang w:eastAsia="zh-CN" w:bidi="ar"/>
        </w:rPr>
        <w:t>文</w:t>
      </w:r>
      <w:r>
        <w:rPr>
          <w:rFonts w:hint="eastAsia" w:ascii="仿宋_GB2312" w:hAnsi="仿宋_GB2312" w:eastAsia="仿宋_GB2312" w:cs="仿宋_GB2312"/>
          <w:color w:val="auto"/>
          <w:kern w:val="0"/>
          <w:sz w:val="32"/>
          <w:szCs w:val="32"/>
          <w:highlight w:val="none"/>
          <w:lang w:bidi="ar"/>
        </w:rPr>
        <w:t>件出</w:t>
      </w:r>
      <w:r>
        <w:rPr>
          <w:rFonts w:hint="eastAsia" w:ascii="仿宋_GB2312" w:hAnsi="仿宋_GB2312" w:eastAsia="仿宋_GB2312" w:cs="仿宋_GB2312"/>
          <w:color w:val="auto"/>
          <w:kern w:val="0"/>
          <w:sz w:val="32"/>
          <w:szCs w:val="32"/>
          <w:highlight w:val="none"/>
          <w:lang w:eastAsia="zh-CN" w:bidi="ar"/>
        </w:rPr>
        <w:t>示</w:t>
      </w:r>
      <w:r>
        <w:rPr>
          <w:rFonts w:hint="eastAsia" w:ascii="仿宋_GB2312" w:hAnsi="仿宋_GB2312" w:eastAsia="仿宋_GB2312" w:cs="仿宋_GB2312"/>
          <w:color w:val="auto"/>
          <w:kern w:val="0"/>
          <w:sz w:val="32"/>
          <w:szCs w:val="32"/>
          <w:highlight w:val="none"/>
          <w:lang w:bidi="ar"/>
        </w:rPr>
        <w:t>“黄牌”提醒；对编制质量过差，严重影响修改进度的环评</w:t>
      </w:r>
      <w:r>
        <w:rPr>
          <w:rFonts w:hint="eastAsia" w:ascii="仿宋_GB2312" w:hAnsi="仿宋_GB2312" w:eastAsia="仿宋_GB2312" w:cs="仿宋_GB2312"/>
          <w:color w:val="auto"/>
          <w:kern w:val="0"/>
          <w:sz w:val="32"/>
          <w:szCs w:val="32"/>
          <w:highlight w:val="none"/>
          <w:lang w:val="en-US" w:eastAsia="zh-CN" w:bidi="ar"/>
        </w:rPr>
        <w:t>文</w:t>
      </w:r>
      <w:r>
        <w:rPr>
          <w:rFonts w:hint="eastAsia" w:ascii="仿宋_GB2312" w:hAnsi="仿宋_GB2312" w:eastAsia="仿宋_GB2312" w:cs="仿宋_GB2312"/>
          <w:color w:val="auto"/>
          <w:kern w:val="0"/>
          <w:sz w:val="32"/>
          <w:szCs w:val="32"/>
          <w:highlight w:val="none"/>
          <w:lang w:bidi="ar"/>
        </w:rPr>
        <w:t>件出</w:t>
      </w:r>
      <w:r>
        <w:rPr>
          <w:rFonts w:hint="eastAsia" w:ascii="仿宋_GB2312" w:hAnsi="仿宋_GB2312" w:eastAsia="仿宋_GB2312" w:cs="仿宋_GB2312"/>
          <w:color w:val="auto"/>
          <w:kern w:val="0"/>
          <w:sz w:val="32"/>
          <w:szCs w:val="32"/>
          <w:highlight w:val="none"/>
          <w:lang w:eastAsia="zh-CN" w:bidi="ar"/>
        </w:rPr>
        <w:t>示</w:t>
      </w:r>
      <w:r>
        <w:rPr>
          <w:rFonts w:hint="eastAsia" w:ascii="仿宋_GB2312" w:hAnsi="仿宋_GB2312" w:eastAsia="仿宋_GB2312" w:cs="仿宋_GB2312"/>
          <w:color w:val="auto"/>
          <w:kern w:val="0"/>
          <w:sz w:val="32"/>
          <w:szCs w:val="32"/>
          <w:highlight w:val="none"/>
          <w:lang w:bidi="ar"/>
        </w:rPr>
        <w:t>“红牌”警告。通过分类亮牌，倒逼环评编制单位提</w:t>
      </w:r>
      <w:r>
        <w:rPr>
          <w:rFonts w:hint="eastAsia" w:ascii="仿宋_GB2312" w:hAnsi="仿宋_GB2312" w:eastAsia="仿宋_GB2312" w:cs="仿宋_GB2312"/>
          <w:color w:val="auto"/>
          <w:kern w:val="0"/>
          <w:sz w:val="32"/>
          <w:szCs w:val="32"/>
          <w:highlight w:val="none"/>
          <w:lang w:eastAsia="zh-CN" w:bidi="ar"/>
        </w:rPr>
        <w:t>高</w:t>
      </w:r>
      <w:r>
        <w:rPr>
          <w:rFonts w:hint="eastAsia" w:ascii="仿宋_GB2312" w:hAnsi="仿宋_GB2312" w:eastAsia="仿宋_GB2312" w:cs="仿宋_GB2312"/>
          <w:color w:val="auto"/>
          <w:kern w:val="0"/>
          <w:sz w:val="32"/>
          <w:szCs w:val="32"/>
          <w:highlight w:val="none"/>
          <w:lang w:bidi="ar"/>
        </w:rPr>
        <w:t>业务能</w:t>
      </w:r>
      <w:r>
        <w:rPr>
          <w:rFonts w:hint="eastAsia" w:ascii="仿宋_GB2312" w:hAnsi="仿宋_GB2312" w:eastAsia="仿宋_GB2312" w:cs="仿宋_GB2312"/>
          <w:color w:val="auto"/>
          <w:kern w:val="0"/>
          <w:sz w:val="32"/>
          <w:szCs w:val="32"/>
          <w:highlight w:val="none"/>
          <w:lang w:eastAsia="zh-CN" w:bidi="ar"/>
        </w:rPr>
        <w:t>力</w:t>
      </w:r>
      <w:r>
        <w:rPr>
          <w:rFonts w:hint="eastAsia" w:ascii="仿宋_GB2312" w:hAnsi="仿宋_GB2312" w:eastAsia="仿宋_GB2312" w:cs="仿宋_GB2312"/>
          <w:color w:val="auto"/>
          <w:kern w:val="0"/>
          <w:sz w:val="32"/>
          <w:szCs w:val="32"/>
          <w:highlight w:val="none"/>
          <w:lang w:bidi="ar"/>
        </w:rPr>
        <w:t>和服务</w:t>
      </w:r>
      <w:r>
        <w:rPr>
          <w:rFonts w:hint="eastAsia" w:ascii="仿宋_GB2312" w:hAnsi="仿宋_GB2312" w:eastAsia="仿宋_GB2312" w:cs="仿宋_GB2312"/>
          <w:color w:val="auto"/>
          <w:kern w:val="0"/>
          <w:sz w:val="32"/>
          <w:szCs w:val="32"/>
          <w:highlight w:val="none"/>
          <w:lang w:eastAsia="zh-CN" w:bidi="ar"/>
        </w:rPr>
        <w:t>水</w:t>
      </w:r>
      <w:r>
        <w:rPr>
          <w:rFonts w:hint="eastAsia" w:ascii="仿宋_GB2312" w:hAnsi="仿宋_GB2312" w:eastAsia="仿宋_GB2312" w:cs="仿宋_GB2312"/>
          <w:color w:val="auto"/>
          <w:kern w:val="0"/>
          <w:sz w:val="32"/>
          <w:szCs w:val="32"/>
          <w:highlight w:val="none"/>
          <w:lang w:bidi="ar"/>
        </w:rPr>
        <w:t>平，实现精准服务，提质增效全</w:t>
      </w:r>
      <w:r>
        <w:rPr>
          <w:rFonts w:hint="eastAsia" w:ascii="仿宋_GB2312" w:hAnsi="仿宋_GB2312" w:eastAsia="仿宋_GB2312" w:cs="仿宋_GB2312"/>
          <w:color w:val="auto"/>
          <w:kern w:val="0"/>
          <w:sz w:val="32"/>
          <w:szCs w:val="32"/>
          <w:highlight w:val="none"/>
          <w:lang w:eastAsia="zh-CN" w:bidi="ar"/>
        </w:rPr>
        <w:t>力</w:t>
      </w:r>
      <w:r>
        <w:rPr>
          <w:rFonts w:hint="eastAsia" w:ascii="仿宋_GB2312" w:hAnsi="仿宋_GB2312" w:eastAsia="仿宋_GB2312" w:cs="仿宋_GB2312"/>
          <w:color w:val="auto"/>
          <w:kern w:val="0"/>
          <w:sz w:val="32"/>
          <w:szCs w:val="32"/>
          <w:highlight w:val="none"/>
          <w:lang w:bidi="ar"/>
        </w:rPr>
        <w:t>保障建设项</w:t>
      </w:r>
      <w:r>
        <w:rPr>
          <w:rFonts w:hint="eastAsia" w:ascii="仿宋_GB2312" w:hAnsi="仿宋_GB2312" w:eastAsia="仿宋_GB2312" w:cs="仿宋_GB2312"/>
          <w:color w:val="auto"/>
          <w:kern w:val="0"/>
          <w:sz w:val="32"/>
          <w:szCs w:val="32"/>
          <w:highlight w:val="none"/>
          <w:lang w:eastAsia="zh-CN" w:bidi="ar"/>
        </w:rPr>
        <w:t>目</w:t>
      </w:r>
      <w:r>
        <w:rPr>
          <w:rFonts w:hint="eastAsia" w:ascii="仿宋_GB2312" w:hAnsi="仿宋_GB2312" w:eastAsia="仿宋_GB2312" w:cs="仿宋_GB2312"/>
          <w:color w:val="auto"/>
          <w:kern w:val="0"/>
          <w:sz w:val="32"/>
          <w:szCs w:val="32"/>
          <w:highlight w:val="none"/>
          <w:lang w:bidi="ar"/>
        </w:rPr>
        <w:t>快速落地。</w:t>
      </w:r>
    </w:p>
    <w:p w14:paraId="02F43FC9">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eastAsia" w:ascii="黑体" w:hAnsi="黑体" w:eastAsia="黑体" w:cs="黑体"/>
          <w:color w:val="auto"/>
          <w:kern w:val="0"/>
          <w:sz w:val="32"/>
          <w:szCs w:val="32"/>
          <w:highlight w:val="none"/>
          <w:lang w:val="en-US" w:eastAsia="zh-CN" w:bidi="ar"/>
        </w:rPr>
      </w:pPr>
      <w:r>
        <w:rPr>
          <w:rFonts w:hint="eastAsia" w:ascii="黑体" w:hAnsi="黑体" w:eastAsia="黑体" w:cs="黑体"/>
          <w:color w:val="auto"/>
          <w:kern w:val="0"/>
          <w:sz w:val="32"/>
          <w:szCs w:val="32"/>
          <w:highlight w:val="none"/>
          <w:lang w:val="en-US" w:eastAsia="zh-CN" w:bidi="ar"/>
        </w:rPr>
        <w:t>二、方案适用范围</w:t>
      </w:r>
    </w:p>
    <w:p w14:paraId="0A63C83D">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kern w:val="0"/>
          <w:sz w:val="32"/>
          <w:szCs w:val="32"/>
          <w:highlight w:val="none"/>
          <w:lang w:val="en-US" w:eastAsia="zh-CN" w:bidi="ar"/>
        </w:rPr>
      </w:pPr>
      <w:r>
        <w:rPr>
          <w:rFonts w:hint="eastAsia" w:ascii="仿宋_GB2312" w:hAnsi="仿宋_GB2312" w:eastAsia="仿宋_GB2312" w:cs="仿宋_GB2312"/>
          <w:color w:val="auto"/>
          <w:kern w:val="0"/>
          <w:sz w:val="32"/>
          <w:szCs w:val="32"/>
          <w:highlight w:val="none"/>
          <w:lang w:val="en-US" w:eastAsia="zh-CN" w:bidi="ar"/>
        </w:rPr>
        <w:t>池州市辖区内各级生态环境部门受理审批的建设项目环评文件。</w:t>
      </w:r>
    </w:p>
    <w:p w14:paraId="4EC21463">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eastAsia" w:ascii="黑体" w:hAnsi="黑体" w:eastAsia="黑体" w:cs="黑体"/>
          <w:color w:val="auto"/>
          <w:kern w:val="0"/>
          <w:sz w:val="32"/>
          <w:szCs w:val="32"/>
          <w:highlight w:val="none"/>
          <w:lang w:val="en-US" w:eastAsia="zh-CN" w:bidi="ar"/>
        </w:rPr>
      </w:pPr>
      <w:r>
        <w:rPr>
          <w:rFonts w:hint="eastAsia" w:ascii="黑体" w:hAnsi="黑体" w:eastAsia="黑体" w:cs="黑体"/>
          <w:color w:val="auto"/>
          <w:kern w:val="0"/>
          <w:sz w:val="32"/>
          <w:szCs w:val="32"/>
          <w:highlight w:val="none"/>
          <w:lang w:val="en-US" w:eastAsia="zh-CN" w:bidi="ar"/>
        </w:rPr>
        <w:t>三、亮牌标准</w:t>
      </w:r>
    </w:p>
    <w:p w14:paraId="3ACABA8E">
      <w:pPr>
        <w:keepNext w:val="0"/>
        <w:keepLines w:val="0"/>
        <w:pageBreakBefore w:val="0"/>
        <w:widowControl w:val="0"/>
        <w:kinsoku/>
        <w:wordWrap/>
        <w:overflowPunct w:val="0"/>
        <w:topLinePunct w:val="0"/>
        <w:autoSpaceDE/>
        <w:autoSpaceDN/>
        <w:bidi w:val="0"/>
        <w:adjustRightInd/>
        <w:snapToGrid/>
        <w:spacing w:line="560" w:lineRule="exact"/>
        <w:ind w:firstLine="643" w:firstLineChars="200"/>
        <w:jc w:val="both"/>
        <w:textAlignment w:val="auto"/>
        <w:rPr>
          <w:rFonts w:hint="eastAsia" w:ascii="楷体_GB2312" w:hAnsi="楷体_GB2312" w:eastAsia="楷体_GB2312" w:cs="楷体_GB2312"/>
          <w:b/>
          <w:bCs/>
          <w:color w:val="auto"/>
          <w:kern w:val="0"/>
          <w:sz w:val="32"/>
          <w:szCs w:val="32"/>
          <w:highlight w:val="none"/>
          <w:lang w:val="en-US" w:eastAsia="zh-CN" w:bidi="ar"/>
        </w:rPr>
      </w:pPr>
      <w:r>
        <w:rPr>
          <w:rFonts w:hint="eastAsia" w:ascii="楷体_GB2312" w:hAnsi="楷体_GB2312" w:eastAsia="楷体_GB2312" w:cs="楷体_GB2312"/>
          <w:b/>
          <w:bCs/>
          <w:color w:val="auto"/>
          <w:kern w:val="0"/>
          <w:sz w:val="32"/>
          <w:szCs w:val="32"/>
          <w:highlight w:val="none"/>
          <w:lang w:val="en-US" w:eastAsia="zh-CN" w:bidi="ar"/>
        </w:rPr>
        <w:t>（一）蓝牌（激励类）</w:t>
      </w:r>
    </w:p>
    <w:p w14:paraId="11819FFC">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kern w:val="0"/>
          <w:sz w:val="32"/>
          <w:szCs w:val="32"/>
          <w:highlight w:val="none"/>
          <w:lang w:val="en-US" w:eastAsia="zh-CN" w:bidi="ar"/>
        </w:rPr>
      </w:pPr>
      <w:r>
        <w:rPr>
          <w:rFonts w:hint="eastAsia" w:ascii="仿宋_GB2312" w:hAnsi="仿宋_GB2312" w:eastAsia="仿宋_GB2312" w:cs="仿宋_GB2312"/>
          <w:color w:val="auto"/>
          <w:kern w:val="0"/>
          <w:sz w:val="32"/>
          <w:szCs w:val="32"/>
          <w:highlight w:val="none"/>
          <w:lang w:val="en-US" w:eastAsia="zh-CN" w:bidi="ar"/>
        </w:rPr>
        <w:t>环评文件同时满足以下条件的，赋予一次蓝牌：</w:t>
      </w:r>
    </w:p>
    <w:p w14:paraId="65F86762">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kern w:val="0"/>
          <w:sz w:val="32"/>
          <w:szCs w:val="32"/>
          <w:highlight w:val="none"/>
          <w:lang w:val="en-US" w:eastAsia="zh-CN" w:bidi="ar"/>
        </w:rPr>
      </w:pPr>
      <w:r>
        <w:rPr>
          <w:rFonts w:hint="eastAsia" w:ascii="仿宋_GB2312" w:hAnsi="仿宋_GB2312" w:eastAsia="仿宋_GB2312" w:cs="仿宋_GB2312"/>
          <w:color w:val="auto"/>
          <w:kern w:val="0"/>
          <w:sz w:val="32"/>
          <w:szCs w:val="32"/>
          <w:highlight w:val="none"/>
          <w:lang w:val="en-US" w:eastAsia="zh-CN" w:bidi="ar"/>
        </w:rPr>
        <w:t>1.在环评委托编制合同约定期限或建设单位同意的期限之</w:t>
      </w:r>
      <w:r>
        <w:rPr>
          <w:rFonts w:hint="eastAsia" w:ascii="仿宋_GB2312" w:hAnsi="仿宋_GB2312" w:eastAsia="仿宋_GB2312" w:cs="仿宋_GB2312"/>
          <w:color w:val="auto"/>
          <w:spacing w:val="-6"/>
          <w:kern w:val="0"/>
          <w:sz w:val="32"/>
          <w:szCs w:val="32"/>
          <w:highlight w:val="none"/>
          <w:lang w:val="en-US" w:eastAsia="zh-CN" w:bidi="ar"/>
        </w:rPr>
        <w:t>内，按照相关法律法规和技术导则（指南）要求，完成编制并报</w:t>
      </w:r>
      <w:r>
        <w:rPr>
          <w:rFonts w:hint="eastAsia" w:ascii="仿宋_GB2312" w:hAnsi="仿宋_GB2312" w:eastAsia="仿宋_GB2312" w:cs="仿宋_GB2312"/>
          <w:color w:val="auto"/>
          <w:kern w:val="0"/>
          <w:sz w:val="32"/>
          <w:szCs w:val="32"/>
          <w:highlight w:val="none"/>
          <w:lang w:val="en-US" w:eastAsia="zh-CN" w:bidi="ar"/>
        </w:rPr>
        <w:t>审；</w:t>
      </w:r>
    </w:p>
    <w:p w14:paraId="71ECF592">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kern w:val="0"/>
          <w:sz w:val="32"/>
          <w:szCs w:val="32"/>
          <w:highlight w:val="none"/>
          <w:lang w:val="en-US" w:eastAsia="zh-CN" w:bidi="ar"/>
        </w:rPr>
      </w:pPr>
      <w:r>
        <w:rPr>
          <w:rFonts w:hint="eastAsia" w:ascii="仿宋_GB2312" w:hAnsi="仿宋_GB2312" w:eastAsia="仿宋_GB2312" w:cs="仿宋_GB2312"/>
          <w:color w:val="auto"/>
          <w:kern w:val="0"/>
          <w:sz w:val="32"/>
          <w:szCs w:val="32"/>
          <w:highlight w:val="none"/>
          <w:lang w:val="en-US" w:eastAsia="zh-CN" w:bidi="ar"/>
        </w:rPr>
        <w:t>2.经技术审查后，专家组认为环评文件编制规范且评价结论可信，经适当修改可上报的；</w:t>
      </w:r>
    </w:p>
    <w:p w14:paraId="4FE60575">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kern w:val="0"/>
          <w:sz w:val="32"/>
          <w:szCs w:val="32"/>
          <w:highlight w:val="none"/>
          <w:lang w:val="en-US" w:eastAsia="zh-CN" w:bidi="ar"/>
        </w:rPr>
      </w:pPr>
      <w:r>
        <w:rPr>
          <w:rFonts w:hint="eastAsia" w:ascii="仿宋_GB2312" w:hAnsi="仿宋_GB2312" w:eastAsia="仿宋_GB2312" w:cs="仿宋_GB2312"/>
          <w:color w:val="auto"/>
          <w:kern w:val="0"/>
          <w:sz w:val="32"/>
          <w:szCs w:val="32"/>
          <w:highlight w:val="none"/>
          <w:lang w:val="en-US" w:eastAsia="zh-CN" w:bidi="ar"/>
        </w:rPr>
        <w:t>3.环境影响报告书、环境影响报告表分别在10个、5个工作日内按质完成修改并报批的。</w:t>
      </w:r>
    </w:p>
    <w:p w14:paraId="343438C0">
      <w:pPr>
        <w:keepNext w:val="0"/>
        <w:keepLines w:val="0"/>
        <w:pageBreakBefore w:val="0"/>
        <w:widowControl w:val="0"/>
        <w:kinsoku/>
        <w:wordWrap/>
        <w:overflowPunct w:val="0"/>
        <w:topLinePunct w:val="0"/>
        <w:autoSpaceDE/>
        <w:autoSpaceDN/>
        <w:bidi w:val="0"/>
        <w:adjustRightInd/>
        <w:snapToGrid/>
        <w:spacing w:line="560" w:lineRule="exact"/>
        <w:ind w:firstLine="643" w:firstLineChars="200"/>
        <w:jc w:val="both"/>
        <w:textAlignment w:val="auto"/>
        <w:rPr>
          <w:rFonts w:hint="eastAsia" w:ascii="楷体_GB2312" w:hAnsi="楷体_GB2312" w:eastAsia="楷体_GB2312" w:cs="楷体_GB2312"/>
          <w:b/>
          <w:bCs/>
          <w:color w:val="auto"/>
          <w:kern w:val="0"/>
          <w:sz w:val="32"/>
          <w:szCs w:val="32"/>
          <w:highlight w:val="none"/>
          <w:lang w:val="en-US" w:eastAsia="zh-CN" w:bidi="ar"/>
        </w:rPr>
      </w:pPr>
      <w:r>
        <w:rPr>
          <w:rFonts w:hint="eastAsia" w:ascii="楷体_GB2312" w:hAnsi="楷体_GB2312" w:eastAsia="楷体_GB2312" w:cs="楷体_GB2312"/>
          <w:b/>
          <w:bCs/>
          <w:color w:val="auto"/>
          <w:kern w:val="0"/>
          <w:sz w:val="32"/>
          <w:szCs w:val="32"/>
          <w:highlight w:val="none"/>
          <w:lang w:val="en-US" w:eastAsia="zh-CN" w:bidi="ar"/>
        </w:rPr>
        <w:t>（二）黄牌（警示类）</w:t>
      </w:r>
    </w:p>
    <w:p w14:paraId="0FC7DAC6">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kern w:val="0"/>
          <w:sz w:val="32"/>
          <w:szCs w:val="32"/>
          <w:highlight w:val="none"/>
          <w:lang w:val="en-US" w:eastAsia="zh-CN" w:bidi="ar"/>
        </w:rPr>
      </w:pPr>
      <w:r>
        <w:rPr>
          <w:rFonts w:hint="eastAsia" w:ascii="仿宋_GB2312" w:hAnsi="仿宋_GB2312" w:eastAsia="仿宋_GB2312" w:cs="仿宋_GB2312"/>
          <w:color w:val="auto"/>
          <w:kern w:val="0"/>
          <w:sz w:val="32"/>
          <w:szCs w:val="32"/>
          <w:highlight w:val="none"/>
          <w:lang w:val="en-US" w:eastAsia="zh-CN" w:bidi="ar"/>
        </w:rPr>
        <w:t>环评文件存在以下任何一种情形的，赋予一次黄牌：</w:t>
      </w:r>
    </w:p>
    <w:p w14:paraId="43A0738A">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kern w:val="0"/>
          <w:sz w:val="32"/>
          <w:szCs w:val="32"/>
          <w:highlight w:val="none"/>
          <w:lang w:val="en-US" w:eastAsia="zh-CN" w:bidi="ar"/>
        </w:rPr>
      </w:pPr>
      <w:r>
        <w:rPr>
          <w:rFonts w:hint="eastAsia" w:ascii="仿宋_GB2312" w:hAnsi="仿宋_GB2312" w:eastAsia="仿宋_GB2312" w:cs="仿宋_GB2312"/>
          <w:color w:val="auto"/>
          <w:kern w:val="0"/>
          <w:sz w:val="32"/>
          <w:szCs w:val="32"/>
          <w:highlight w:val="none"/>
          <w:lang w:val="en-US" w:eastAsia="zh-CN" w:bidi="ar"/>
        </w:rPr>
        <w:t>1.未在环评委托编制合同约定期限之内完成编制并报审的，或按时报审但被有审批权的生态环境部门退回的（退回次数不超过一次）；</w:t>
      </w:r>
    </w:p>
    <w:p w14:paraId="1FCE39A0">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color w:val="auto"/>
          <w:kern w:val="0"/>
          <w:sz w:val="32"/>
          <w:szCs w:val="32"/>
          <w:highlight w:val="none"/>
          <w:lang w:val="en-US" w:eastAsia="zh-CN" w:bidi="ar"/>
        </w:rPr>
      </w:pPr>
      <w:r>
        <w:rPr>
          <w:rFonts w:hint="eastAsia" w:ascii="仿宋_GB2312" w:hAnsi="仿宋_GB2312" w:eastAsia="仿宋_GB2312" w:cs="仿宋_GB2312"/>
          <w:b w:val="0"/>
          <w:bCs w:val="0"/>
          <w:color w:val="auto"/>
          <w:kern w:val="0"/>
          <w:sz w:val="32"/>
          <w:szCs w:val="32"/>
          <w:highlight w:val="none"/>
          <w:lang w:val="en-US" w:eastAsia="zh-CN" w:bidi="ar"/>
        </w:rPr>
        <w:t>2.经技术审查后，专家组认为环评文件需要补充完善并需要开展技术复审的；</w:t>
      </w:r>
    </w:p>
    <w:p w14:paraId="3E0EC4CB">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kern w:val="0"/>
          <w:sz w:val="32"/>
          <w:szCs w:val="32"/>
          <w:highlight w:val="none"/>
          <w:lang w:val="en-US" w:eastAsia="zh-CN" w:bidi="ar"/>
        </w:rPr>
      </w:pPr>
      <w:r>
        <w:rPr>
          <w:rFonts w:hint="eastAsia" w:ascii="仿宋_GB2312" w:hAnsi="仿宋_GB2312" w:eastAsia="仿宋_GB2312" w:cs="仿宋_GB2312"/>
          <w:color w:val="auto"/>
          <w:kern w:val="0"/>
          <w:sz w:val="32"/>
          <w:szCs w:val="32"/>
          <w:highlight w:val="none"/>
          <w:lang w:val="en-US" w:eastAsia="zh-CN" w:bidi="ar"/>
        </w:rPr>
        <w:t>3.环境影响报告书、环境影响报告表修改超时或修改后质量不满足报批要求的。</w:t>
      </w:r>
    </w:p>
    <w:p w14:paraId="6E2CC058">
      <w:pPr>
        <w:keepNext w:val="0"/>
        <w:keepLines w:val="0"/>
        <w:pageBreakBefore w:val="0"/>
        <w:widowControl w:val="0"/>
        <w:kinsoku/>
        <w:wordWrap/>
        <w:overflowPunct w:val="0"/>
        <w:topLinePunct w:val="0"/>
        <w:autoSpaceDE/>
        <w:autoSpaceDN/>
        <w:bidi w:val="0"/>
        <w:adjustRightInd/>
        <w:snapToGrid/>
        <w:spacing w:line="560" w:lineRule="exact"/>
        <w:ind w:firstLine="643" w:firstLineChars="200"/>
        <w:jc w:val="both"/>
        <w:textAlignment w:val="auto"/>
        <w:rPr>
          <w:rFonts w:hint="eastAsia" w:ascii="楷体_GB2312" w:hAnsi="楷体_GB2312" w:eastAsia="楷体_GB2312" w:cs="楷体_GB2312"/>
          <w:b/>
          <w:bCs/>
          <w:color w:val="auto"/>
          <w:kern w:val="0"/>
          <w:sz w:val="32"/>
          <w:szCs w:val="32"/>
          <w:highlight w:val="none"/>
          <w:lang w:val="en-US" w:eastAsia="zh-CN" w:bidi="ar"/>
        </w:rPr>
      </w:pPr>
      <w:r>
        <w:rPr>
          <w:rFonts w:hint="eastAsia" w:ascii="楷体_GB2312" w:hAnsi="楷体_GB2312" w:eastAsia="楷体_GB2312" w:cs="楷体_GB2312"/>
          <w:b/>
          <w:bCs/>
          <w:color w:val="auto"/>
          <w:kern w:val="0"/>
          <w:sz w:val="32"/>
          <w:szCs w:val="32"/>
          <w:highlight w:val="none"/>
          <w:lang w:val="en-US" w:eastAsia="zh-CN" w:bidi="ar"/>
        </w:rPr>
        <w:t>（三）红牌（警告类）</w:t>
      </w:r>
    </w:p>
    <w:p w14:paraId="6E4AEA98">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kern w:val="0"/>
          <w:sz w:val="32"/>
          <w:szCs w:val="32"/>
          <w:highlight w:val="none"/>
          <w:lang w:val="en-US" w:eastAsia="zh-CN" w:bidi="ar"/>
        </w:rPr>
      </w:pPr>
      <w:r>
        <w:rPr>
          <w:rFonts w:hint="eastAsia" w:ascii="仿宋_GB2312" w:hAnsi="仿宋_GB2312" w:eastAsia="仿宋_GB2312" w:cs="仿宋_GB2312"/>
          <w:color w:val="auto"/>
          <w:kern w:val="0"/>
          <w:sz w:val="32"/>
          <w:szCs w:val="32"/>
          <w:highlight w:val="none"/>
          <w:lang w:val="en-US" w:eastAsia="zh-CN" w:bidi="ar"/>
        </w:rPr>
        <w:t>环评文件存在以下任何一种情形的，赋予一次红牌：</w:t>
      </w:r>
    </w:p>
    <w:p w14:paraId="3C8CE21C">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kern w:val="0"/>
          <w:sz w:val="32"/>
          <w:szCs w:val="32"/>
          <w:highlight w:val="none"/>
          <w:lang w:val="en-US" w:eastAsia="zh-CN" w:bidi="ar"/>
        </w:rPr>
      </w:pPr>
      <w:r>
        <w:rPr>
          <w:rFonts w:hint="eastAsia" w:ascii="仿宋_GB2312" w:hAnsi="仿宋_GB2312" w:eastAsia="仿宋_GB2312" w:cs="仿宋_GB2312"/>
          <w:color w:val="auto"/>
          <w:kern w:val="0"/>
          <w:sz w:val="32"/>
          <w:szCs w:val="32"/>
          <w:highlight w:val="none"/>
          <w:lang w:val="en-US" w:eastAsia="zh-CN" w:bidi="ar"/>
        </w:rPr>
        <w:t>1.编制完成报审后被有审批权的生态环境部门退回两次及以上的；</w:t>
      </w:r>
    </w:p>
    <w:p w14:paraId="164CE271">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pacing w:val="-6"/>
          <w:kern w:val="0"/>
          <w:sz w:val="32"/>
          <w:szCs w:val="32"/>
          <w:highlight w:val="none"/>
          <w:lang w:val="en-US" w:eastAsia="zh-CN" w:bidi="ar"/>
        </w:rPr>
      </w:pPr>
      <w:r>
        <w:rPr>
          <w:rFonts w:hint="eastAsia" w:ascii="仿宋_GB2312" w:hAnsi="仿宋_GB2312" w:eastAsia="仿宋_GB2312" w:cs="仿宋_GB2312"/>
          <w:color w:val="auto"/>
          <w:kern w:val="0"/>
          <w:sz w:val="32"/>
          <w:szCs w:val="32"/>
          <w:highlight w:val="none"/>
          <w:lang w:val="en-US" w:eastAsia="zh-CN" w:bidi="ar"/>
        </w:rPr>
        <w:t>2.</w:t>
      </w:r>
      <w:r>
        <w:rPr>
          <w:rFonts w:hint="eastAsia" w:ascii="仿宋_GB2312" w:hAnsi="仿宋_GB2312" w:eastAsia="仿宋_GB2312" w:cs="仿宋_GB2312"/>
          <w:color w:val="auto"/>
          <w:spacing w:val="-6"/>
          <w:kern w:val="0"/>
          <w:sz w:val="32"/>
          <w:szCs w:val="32"/>
          <w:highlight w:val="none"/>
          <w:lang w:val="en-US" w:eastAsia="zh-CN" w:bidi="ar"/>
        </w:rPr>
        <w:t>环评类别判定错误被有审批权的生态环境部门直接退回的；</w:t>
      </w:r>
    </w:p>
    <w:p w14:paraId="4DC244A8">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color w:val="auto"/>
          <w:kern w:val="0"/>
          <w:sz w:val="32"/>
          <w:szCs w:val="32"/>
          <w:highlight w:val="none"/>
          <w:lang w:val="en-US" w:eastAsia="zh-CN" w:bidi="ar"/>
        </w:rPr>
      </w:pPr>
      <w:r>
        <w:rPr>
          <w:rFonts w:hint="eastAsia" w:ascii="仿宋_GB2312" w:hAnsi="仿宋_GB2312" w:eastAsia="仿宋_GB2312" w:cs="仿宋_GB2312"/>
          <w:b w:val="0"/>
          <w:bCs w:val="0"/>
          <w:color w:val="auto"/>
          <w:kern w:val="0"/>
          <w:sz w:val="32"/>
          <w:szCs w:val="32"/>
          <w:highlight w:val="none"/>
          <w:lang w:val="en-US" w:eastAsia="zh-CN" w:bidi="ar"/>
        </w:rPr>
        <w:t>3.经技术审查后，专家组认为环评文件因政策分析不清、缺少关键审批要件等问题需要退回重新组织编制的；</w:t>
      </w:r>
    </w:p>
    <w:p w14:paraId="2E407902">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kern w:val="0"/>
          <w:sz w:val="32"/>
          <w:szCs w:val="32"/>
          <w:highlight w:val="none"/>
          <w:lang w:val="en-US" w:eastAsia="zh-CN" w:bidi="ar"/>
        </w:rPr>
      </w:pPr>
      <w:r>
        <w:rPr>
          <w:rFonts w:hint="eastAsia" w:ascii="仿宋_GB2312" w:hAnsi="仿宋_GB2312" w:eastAsia="仿宋_GB2312" w:cs="仿宋_GB2312"/>
          <w:color w:val="auto"/>
          <w:kern w:val="0"/>
          <w:sz w:val="32"/>
          <w:szCs w:val="32"/>
          <w:highlight w:val="none"/>
          <w:lang w:val="en-US" w:eastAsia="zh-CN" w:bidi="ar"/>
        </w:rPr>
        <w:t>4.其他存在《关于严惩弄虚作假提高环评质量的意见》（环环评〔2020〕48号）中明确的弄虚作假情形，或涉及《建设项目环境影响报告书（表）编制监督管理办法》中第二十六条第二款、第二十七条所列问题的。</w:t>
      </w:r>
    </w:p>
    <w:p w14:paraId="765F1184">
      <w:pPr>
        <w:keepNext w:val="0"/>
        <w:keepLines w:val="0"/>
        <w:pageBreakBefore w:val="0"/>
        <w:widowControl w:val="0"/>
        <w:kinsoku/>
        <w:wordWrap/>
        <w:overflowPunct w:val="0"/>
        <w:topLinePunct w:val="0"/>
        <w:autoSpaceDE/>
        <w:autoSpaceDN/>
        <w:bidi w:val="0"/>
        <w:adjustRightInd/>
        <w:snapToGrid/>
        <w:spacing w:line="560" w:lineRule="exact"/>
        <w:ind w:firstLine="643" w:firstLineChars="200"/>
        <w:jc w:val="both"/>
        <w:textAlignment w:val="auto"/>
        <w:rPr>
          <w:rFonts w:hint="eastAsia" w:ascii="楷体_GB2312" w:hAnsi="楷体_GB2312" w:eastAsia="楷体_GB2312" w:cs="楷体_GB2312"/>
          <w:b/>
          <w:bCs/>
          <w:color w:val="auto"/>
          <w:kern w:val="0"/>
          <w:sz w:val="32"/>
          <w:szCs w:val="32"/>
          <w:highlight w:val="none"/>
          <w:lang w:val="en-US" w:eastAsia="zh-CN" w:bidi="ar"/>
        </w:rPr>
      </w:pPr>
      <w:r>
        <w:rPr>
          <w:rFonts w:hint="eastAsia" w:ascii="楷体_GB2312" w:hAnsi="楷体_GB2312" w:eastAsia="楷体_GB2312" w:cs="楷体_GB2312"/>
          <w:b/>
          <w:bCs/>
          <w:color w:val="auto"/>
          <w:kern w:val="0"/>
          <w:sz w:val="32"/>
          <w:szCs w:val="32"/>
          <w:highlight w:val="none"/>
          <w:lang w:val="en-US" w:eastAsia="zh-CN" w:bidi="ar"/>
        </w:rPr>
        <w:t>（四）其他规定</w:t>
      </w:r>
    </w:p>
    <w:p w14:paraId="6F6ECE7A">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kern w:val="0"/>
          <w:sz w:val="32"/>
          <w:szCs w:val="32"/>
          <w:highlight w:val="none"/>
          <w:lang w:val="en-US" w:eastAsia="zh-CN" w:bidi="ar"/>
        </w:rPr>
      </w:pPr>
      <w:r>
        <w:rPr>
          <w:rFonts w:hint="eastAsia" w:ascii="仿宋_GB2312" w:hAnsi="仿宋_GB2312" w:eastAsia="仿宋_GB2312" w:cs="仿宋_GB2312"/>
          <w:color w:val="auto"/>
          <w:kern w:val="0"/>
          <w:sz w:val="32"/>
          <w:szCs w:val="32"/>
          <w:highlight w:val="none"/>
          <w:lang w:val="en-US" w:eastAsia="zh-CN" w:bidi="ar"/>
        </w:rPr>
        <w:t>1.每个环评文件根据标准亮牌一次，亮牌的种类和数量最终累计到对应的环评编制单位。</w:t>
      </w:r>
    </w:p>
    <w:p w14:paraId="027C4AD0">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kern w:val="0"/>
          <w:sz w:val="32"/>
          <w:szCs w:val="32"/>
          <w:highlight w:val="none"/>
          <w:lang w:val="en-US" w:eastAsia="zh-CN" w:bidi="ar"/>
        </w:rPr>
      </w:pPr>
      <w:r>
        <w:rPr>
          <w:rFonts w:hint="eastAsia" w:ascii="仿宋_GB2312" w:hAnsi="仿宋_GB2312" w:eastAsia="仿宋_GB2312" w:cs="仿宋_GB2312"/>
          <w:color w:val="auto"/>
          <w:kern w:val="0"/>
          <w:sz w:val="32"/>
          <w:szCs w:val="32"/>
          <w:highlight w:val="none"/>
          <w:lang w:val="en-US" w:eastAsia="zh-CN" w:bidi="ar"/>
        </w:rPr>
        <w:t>2.本市环评文件因技术复核被通报的，该季度对环评编制单位加计1次红牌。</w:t>
      </w:r>
    </w:p>
    <w:p w14:paraId="220DDBF6">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kern w:val="0"/>
          <w:sz w:val="32"/>
          <w:szCs w:val="32"/>
          <w:highlight w:val="none"/>
          <w:lang w:val="en-US" w:eastAsia="zh-CN" w:bidi="ar"/>
        </w:rPr>
      </w:pPr>
      <w:r>
        <w:rPr>
          <w:rFonts w:hint="eastAsia" w:ascii="仿宋_GB2312" w:hAnsi="仿宋_GB2312" w:eastAsia="仿宋_GB2312" w:cs="仿宋_GB2312"/>
          <w:color w:val="auto"/>
          <w:kern w:val="0"/>
          <w:sz w:val="32"/>
          <w:szCs w:val="32"/>
          <w:highlight w:val="none"/>
          <w:lang w:val="en-US" w:eastAsia="zh-CN" w:bidi="ar"/>
        </w:rPr>
        <w:t>3.环评文件适用《建设项目环境影响报告书（表）编制单位和编制人员失信行为记分办法（试行）》的，由市生态环境局开展失信记分，计1次红牌并标记失信信息。</w:t>
      </w:r>
    </w:p>
    <w:p w14:paraId="3A59DCAD">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kern w:val="0"/>
          <w:sz w:val="32"/>
          <w:szCs w:val="32"/>
          <w:highlight w:val="none"/>
          <w:lang w:val="en-US" w:eastAsia="zh-CN" w:bidi="ar"/>
        </w:rPr>
      </w:pPr>
      <w:r>
        <w:rPr>
          <w:rFonts w:hint="eastAsia" w:ascii="仿宋_GB2312" w:hAnsi="仿宋_GB2312" w:eastAsia="仿宋_GB2312" w:cs="仿宋_GB2312"/>
          <w:color w:val="auto"/>
          <w:kern w:val="0"/>
          <w:sz w:val="32"/>
          <w:szCs w:val="32"/>
          <w:highlight w:val="none"/>
          <w:lang w:val="en-US" w:eastAsia="zh-CN" w:bidi="ar"/>
        </w:rPr>
        <w:t>4.每季度公告亮牌情况时，环评编制单位若被环评信用平台列入限期整改名单或失信“黑名单”的，标记失信信息。</w:t>
      </w:r>
    </w:p>
    <w:p w14:paraId="3EB68E3B">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color w:val="auto"/>
          <w:kern w:val="0"/>
          <w:sz w:val="32"/>
          <w:szCs w:val="32"/>
          <w:highlight w:val="none"/>
          <w:lang w:val="en-US" w:eastAsia="zh-CN" w:bidi="ar"/>
        </w:rPr>
      </w:pPr>
      <w:r>
        <w:rPr>
          <w:rFonts w:hint="default" w:ascii="仿宋_GB2312" w:hAnsi="仿宋_GB2312" w:eastAsia="仿宋_GB2312" w:cs="仿宋_GB2312"/>
          <w:color w:val="auto"/>
          <w:kern w:val="0"/>
          <w:sz w:val="32"/>
          <w:szCs w:val="32"/>
          <w:highlight w:val="none"/>
          <w:lang w:val="en-US" w:eastAsia="zh-CN" w:bidi="ar"/>
        </w:rPr>
        <w:t>5</w:t>
      </w:r>
      <w:r>
        <w:rPr>
          <w:rFonts w:hint="eastAsia" w:ascii="仿宋_GB2312" w:hAnsi="仿宋_GB2312" w:eastAsia="仿宋_GB2312" w:cs="仿宋_GB2312"/>
          <w:color w:val="auto"/>
          <w:kern w:val="0"/>
          <w:sz w:val="32"/>
          <w:szCs w:val="32"/>
          <w:highlight w:val="none"/>
          <w:lang w:val="en-US" w:eastAsia="zh-CN" w:bidi="ar"/>
        </w:rPr>
        <w:t>.</w:t>
      </w:r>
      <w:r>
        <w:rPr>
          <w:rFonts w:hint="default" w:ascii="仿宋_GB2312" w:hAnsi="仿宋_GB2312" w:eastAsia="仿宋_GB2312" w:cs="仿宋_GB2312"/>
          <w:color w:val="auto"/>
          <w:kern w:val="0"/>
          <w:sz w:val="32"/>
          <w:szCs w:val="32"/>
          <w:highlight w:val="none"/>
          <w:lang w:val="en-US" w:eastAsia="zh-CN" w:bidi="ar"/>
        </w:rPr>
        <w:t>环评文件因质量和技术原因导致建设单位无法顺利验收投产或验收后产生不符合预测评价情形的，直接调整环评编制单位现有“蓝”牌</w:t>
      </w:r>
      <w:r>
        <w:rPr>
          <w:rFonts w:hint="eastAsia" w:ascii="仿宋_GB2312" w:hAnsi="仿宋_GB2312" w:eastAsia="仿宋_GB2312" w:cs="仿宋_GB2312"/>
          <w:color w:val="auto"/>
          <w:kern w:val="0"/>
          <w:sz w:val="32"/>
          <w:szCs w:val="32"/>
          <w:highlight w:val="none"/>
          <w:lang w:val="en-US" w:eastAsia="zh-CN" w:bidi="ar"/>
        </w:rPr>
        <w:t>或“黄牌”</w:t>
      </w:r>
      <w:r>
        <w:rPr>
          <w:rFonts w:hint="default" w:ascii="仿宋_GB2312" w:hAnsi="仿宋_GB2312" w:eastAsia="仿宋_GB2312" w:cs="仿宋_GB2312"/>
          <w:color w:val="auto"/>
          <w:kern w:val="0"/>
          <w:sz w:val="32"/>
          <w:szCs w:val="32"/>
          <w:highlight w:val="none"/>
          <w:lang w:val="en-US" w:eastAsia="zh-CN" w:bidi="ar"/>
        </w:rPr>
        <w:t>至“红”牌</w:t>
      </w:r>
      <w:r>
        <w:rPr>
          <w:rFonts w:hint="eastAsia" w:ascii="仿宋_GB2312" w:hAnsi="仿宋_GB2312" w:eastAsia="仿宋_GB2312" w:cs="仿宋_GB2312"/>
          <w:color w:val="auto"/>
          <w:kern w:val="0"/>
          <w:sz w:val="32"/>
          <w:szCs w:val="32"/>
          <w:highlight w:val="none"/>
          <w:lang w:val="en-US" w:eastAsia="zh-CN" w:bidi="ar"/>
        </w:rPr>
        <w:t>，项目为本方案实施前审批的，直接计红牌1次</w:t>
      </w:r>
      <w:r>
        <w:rPr>
          <w:rFonts w:hint="default" w:ascii="仿宋_GB2312" w:hAnsi="仿宋_GB2312" w:eastAsia="仿宋_GB2312" w:cs="仿宋_GB2312"/>
          <w:color w:val="auto"/>
          <w:kern w:val="0"/>
          <w:sz w:val="32"/>
          <w:szCs w:val="32"/>
          <w:highlight w:val="none"/>
          <w:lang w:val="en-US" w:eastAsia="zh-CN" w:bidi="ar"/>
        </w:rPr>
        <w:t>。</w:t>
      </w:r>
    </w:p>
    <w:p w14:paraId="622A8E7D">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default"/>
          <w:sz w:val="32"/>
          <w:szCs w:val="32"/>
          <w:lang w:val="en-US" w:eastAsia="zh-CN"/>
        </w:rPr>
      </w:pPr>
      <w:r>
        <w:rPr>
          <w:rFonts w:hint="eastAsia" w:ascii="仿宋_GB2312" w:hAnsi="仿宋_GB2312" w:eastAsia="仿宋_GB2312" w:cs="仿宋_GB2312"/>
          <w:color w:val="auto"/>
          <w:kern w:val="0"/>
          <w:sz w:val="32"/>
          <w:szCs w:val="32"/>
          <w:highlight w:val="none"/>
          <w:lang w:val="en-US" w:eastAsia="zh-CN" w:bidi="ar"/>
        </w:rPr>
        <w:t>6.</w:t>
      </w:r>
      <w:r>
        <w:rPr>
          <w:rFonts w:hint="eastAsia"/>
          <w:sz w:val="32"/>
          <w:szCs w:val="32"/>
          <w:lang w:val="en-US" w:eastAsia="zh-CN"/>
        </w:rPr>
        <w:t xml:space="preserve"> </w:t>
      </w:r>
      <w:r>
        <w:rPr>
          <w:rFonts w:hint="default" w:ascii="仿宋_GB2312" w:hAnsi="仿宋_GB2312" w:eastAsia="仿宋_GB2312" w:cs="仿宋_GB2312"/>
          <w:i w:val="0"/>
          <w:iCs w:val="0"/>
          <w:caps w:val="0"/>
          <w:spacing w:val="0"/>
          <w:kern w:val="0"/>
          <w:sz w:val="32"/>
          <w:szCs w:val="32"/>
          <w:u w:val="none"/>
          <w:shd w:val="clear" w:color="auto" w:fill="auto"/>
          <w:lang w:val="en-US" w:eastAsia="zh-CN" w:bidi="ar"/>
        </w:rPr>
        <w:t>建立</w:t>
      </w:r>
      <w:r>
        <w:rPr>
          <w:rFonts w:hint="default" w:ascii="仿宋_GB2312" w:hAnsi="仿宋_GB2312" w:eastAsia="仿宋_GB2312" w:cs="仿宋_GB2312"/>
          <w:b w:val="0"/>
          <w:bCs w:val="0"/>
          <w:i w:val="0"/>
          <w:iCs w:val="0"/>
          <w:caps w:val="0"/>
          <w:spacing w:val="0"/>
          <w:kern w:val="0"/>
          <w:sz w:val="32"/>
          <w:szCs w:val="32"/>
          <w:u w:val="none"/>
          <w:vertAlign w:val="baseline"/>
          <w:lang w:val="en-US" w:eastAsia="zh-CN" w:bidi="ar"/>
        </w:rPr>
        <w:t>亮牌结果告知与异议申诉机制</w:t>
      </w:r>
      <w:r>
        <w:rPr>
          <w:rFonts w:hint="eastAsia" w:ascii="仿宋_GB2312" w:hAnsi="仿宋_GB2312" w:eastAsia="仿宋_GB2312" w:cs="仿宋_GB2312"/>
          <w:b w:val="0"/>
          <w:bCs w:val="0"/>
          <w:i w:val="0"/>
          <w:iCs w:val="0"/>
          <w:caps w:val="0"/>
          <w:spacing w:val="0"/>
          <w:kern w:val="0"/>
          <w:sz w:val="32"/>
          <w:szCs w:val="32"/>
          <w:u w:val="none"/>
          <w:vertAlign w:val="baseline"/>
          <w:lang w:val="en-US" w:eastAsia="zh-CN" w:bidi="ar"/>
        </w:rPr>
        <w:t>。</w:t>
      </w:r>
    </w:p>
    <w:p w14:paraId="40EE6E83">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eastAsia" w:ascii="黑体" w:hAnsi="黑体" w:eastAsia="黑体" w:cs="黑体"/>
          <w:color w:val="auto"/>
          <w:kern w:val="0"/>
          <w:sz w:val="32"/>
          <w:szCs w:val="32"/>
          <w:highlight w:val="none"/>
          <w:lang w:val="en-US" w:eastAsia="zh-CN" w:bidi="ar"/>
        </w:rPr>
      </w:pPr>
      <w:r>
        <w:rPr>
          <w:rFonts w:hint="eastAsia" w:ascii="黑体" w:hAnsi="黑体" w:eastAsia="黑体" w:cs="黑体"/>
          <w:color w:val="auto"/>
          <w:kern w:val="0"/>
          <w:sz w:val="32"/>
          <w:szCs w:val="32"/>
          <w:highlight w:val="none"/>
          <w:lang w:val="en-US" w:eastAsia="zh-CN" w:bidi="ar"/>
        </w:rPr>
        <w:t>五、保障措施</w:t>
      </w:r>
    </w:p>
    <w:p w14:paraId="2CB4C2F4">
      <w:pPr>
        <w:keepNext w:val="0"/>
        <w:keepLines w:val="0"/>
        <w:pageBreakBefore w:val="0"/>
        <w:widowControl w:val="0"/>
        <w:kinsoku/>
        <w:wordWrap/>
        <w:overflowPunct w:val="0"/>
        <w:topLinePunct w:val="0"/>
        <w:autoSpaceDE/>
        <w:autoSpaceDN/>
        <w:bidi w:val="0"/>
        <w:adjustRightInd/>
        <w:snapToGrid/>
        <w:spacing w:line="560" w:lineRule="exact"/>
        <w:ind w:firstLine="643" w:firstLineChars="200"/>
        <w:jc w:val="both"/>
        <w:textAlignment w:val="auto"/>
        <w:rPr>
          <w:rFonts w:hint="eastAsia" w:ascii="楷体_GB2312" w:hAnsi="楷体_GB2312" w:eastAsia="楷体_GB2312" w:cs="楷体_GB2312"/>
          <w:b/>
          <w:bCs/>
          <w:color w:val="auto"/>
          <w:kern w:val="0"/>
          <w:sz w:val="32"/>
          <w:szCs w:val="32"/>
          <w:highlight w:val="none"/>
          <w:lang w:val="en-US" w:eastAsia="zh-CN" w:bidi="ar"/>
        </w:rPr>
      </w:pPr>
      <w:r>
        <w:rPr>
          <w:rFonts w:hint="eastAsia" w:ascii="楷体_GB2312" w:hAnsi="楷体_GB2312" w:eastAsia="楷体_GB2312" w:cs="楷体_GB2312"/>
          <w:b/>
          <w:bCs/>
          <w:color w:val="auto"/>
          <w:kern w:val="0"/>
          <w:sz w:val="32"/>
          <w:szCs w:val="32"/>
          <w:highlight w:val="none"/>
          <w:lang w:val="en-US" w:eastAsia="zh-CN" w:bidi="ar"/>
        </w:rPr>
        <w:t>（一）加强组织领导，定期调度进展</w:t>
      </w:r>
    </w:p>
    <w:p w14:paraId="78E4BDBC">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kern w:val="0"/>
          <w:sz w:val="32"/>
          <w:szCs w:val="32"/>
          <w:highlight w:val="none"/>
          <w:lang w:val="en-US" w:eastAsia="zh-CN" w:bidi="ar"/>
        </w:rPr>
      </w:pPr>
      <w:r>
        <w:rPr>
          <w:rFonts w:hint="eastAsia" w:ascii="仿宋_GB2312" w:hAnsi="仿宋_GB2312" w:eastAsia="仿宋_GB2312" w:cs="仿宋_GB2312"/>
          <w:color w:val="auto"/>
          <w:kern w:val="0"/>
          <w:sz w:val="32"/>
          <w:szCs w:val="32"/>
          <w:highlight w:val="none"/>
          <w:lang w:val="en-US" w:eastAsia="zh-CN" w:bidi="ar"/>
        </w:rPr>
        <w:t>本方案由市生态环境局环评科统筹全市环评文件分类亮牌判定、发布亮牌公告和亮牌解释工作。各地生态环境部门负责项目催办、黄牌及红牌项目整改督办、亮牌信息上报工作，协助开展编制单位日常监管工作。市环科院（评估中心）提出亮牌建议，建立亮牌数据库，每月5日前汇总上月的亮牌情况，每季度汇总一次。</w:t>
      </w:r>
    </w:p>
    <w:p w14:paraId="29C1332D">
      <w:pPr>
        <w:keepNext w:val="0"/>
        <w:keepLines w:val="0"/>
        <w:pageBreakBefore w:val="0"/>
        <w:widowControl w:val="0"/>
        <w:numPr>
          <w:ilvl w:val="0"/>
          <w:numId w:val="1"/>
        </w:numPr>
        <w:kinsoku/>
        <w:wordWrap/>
        <w:overflowPunct w:val="0"/>
        <w:topLinePunct w:val="0"/>
        <w:autoSpaceDE/>
        <w:autoSpaceDN/>
        <w:bidi w:val="0"/>
        <w:adjustRightInd/>
        <w:snapToGrid/>
        <w:spacing w:line="560" w:lineRule="exact"/>
        <w:ind w:firstLine="643" w:firstLineChars="200"/>
        <w:jc w:val="both"/>
        <w:textAlignment w:val="auto"/>
        <w:rPr>
          <w:rFonts w:hint="eastAsia" w:ascii="楷体_GB2312" w:hAnsi="楷体_GB2312" w:eastAsia="楷体_GB2312" w:cs="楷体_GB2312"/>
          <w:b/>
          <w:bCs/>
          <w:color w:val="auto"/>
          <w:kern w:val="0"/>
          <w:sz w:val="32"/>
          <w:szCs w:val="32"/>
          <w:highlight w:val="none"/>
          <w:lang w:val="en-US" w:eastAsia="zh-CN" w:bidi="ar"/>
        </w:rPr>
      </w:pPr>
      <w:r>
        <w:rPr>
          <w:rFonts w:hint="eastAsia" w:ascii="楷体_GB2312" w:hAnsi="楷体_GB2312" w:eastAsia="楷体_GB2312" w:cs="楷体_GB2312"/>
          <w:b/>
          <w:bCs/>
          <w:color w:val="auto"/>
          <w:kern w:val="0"/>
          <w:sz w:val="32"/>
          <w:szCs w:val="32"/>
          <w:highlight w:val="none"/>
          <w:lang w:val="en-US" w:eastAsia="zh-CN" w:bidi="ar"/>
        </w:rPr>
        <w:t>强化信息公开，加强监管力度</w:t>
      </w:r>
    </w:p>
    <w:p w14:paraId="0B3A7873">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kern w:val="0"/>
          <w:sz w:val="32"/>
          <w:szCs w:val="32"/>
          <w:highlight w:val="none"/>
          <w:lang w:val="en-US" w:eastAsia="zh-CN" w:bidi="ar"/>
        </w:rPr>
      </w:pPr>
      <w:r>
        <w:rPr>
          <w:rFonts w:hint="eastAsia" w:ascii="仿宋_GB2312" w:hAnsi="仿宋_GB2312" w:eastAsia="仿宋_GB2312" w:cs="仿宋_GB2312"/>
          <w:color w:val="auto"/>
          <w:kern w:val="0"/>
          <w:sz w:val="32"/>
          <w:szCs w:val="32"/>
          <w:highlight w:val="none"/>
          <w:lang w:val="en-US" w:eastAsia="zh-CN" w:bidi="ar"/>
        </w:rPr>
        <w:t>市生态环境局每季度如实公告环评编制单位亮牌情况（见附件），并公开环评编制单位信用信息和受通报情况。各级生态环境部门应将获得“红牌”较多的环评编制单位列入重点监管对象，加大对所编制环评文件的重点审查力度；对已批复的建设项目，加大技术复核抽查频次及比例。对违反有关规定的，及时对该环评机构以及编制主持人、主要编制人员给予通报批评、限期整改、罚款等处理，并将结果向社会公开。</w:t>
      </w:r>
    </w:p>
    <w:p w14:paraId="788B936F">
      <w:pPr>
        <w:keepNext w:val="0"/>
        <w:keepLines w:val="0"/>
        <w:pageBreakBefore w:val="0"/>
        <w:widowControl w:val="0"/>
        <w:kinsoku/>
        <w:wordWrap/>
        <w:overflowPunct w:val="0"/>
        <w:topLinePunct w:val="0"/>
        <w:autoSpaceDE/>
        <w:autoSpaceDN/>
        <w:bidi w:val="0"/>
        <w:adjustRightInd/>
        <w:snapToGrid/>
        <w:spacing w:line="560" w:lineRule="exact"/>
        <w:ind w:firstLine="643" w:firstLineChars="200"/>
        <w:jc w:val="both"/>
        <w:textAlignment w:val="auto"/>
        <w:rPr>
          <w:rFonts w:hint="default" w:ascii="楷体_GB2312" w:hAnsi="楷体_GB2312" w:eastAsia="楷体_GB2312" w:cs="楷体_GB2312"/>
          <w:b/>
          <w:bCs/>
          <w:color w:val="auto"/>
          <w:kern w:val="0"/>
          <w:sz w:val="32"/>
          <w:szCs w:val="32"/>
          <w:highlight w:val="none"/>
          <w:lang w:val="en-US" w:eastAsia="zh-CN" w:bidi="ar"/>
        </w:rPr>
      </w:pPr>
      <w:r>
        <w:rPr>
          <w:rFonts w:hint="eastAsia" w:ascii="楷体_GB2312" w:hAnsi="楷体_GB2312" w:eastAsia="楷体_GB2312" w:cs="楷体_GB2312"/>
          <w:b/>
          <w:bCs/>
          <w:color w:val="auto"/>
          <w:kern w:val="0"/>
          <w:sz w:val="32"/>
          <w:szCs w:val="32"/>
          <w:highlight w:val="none"/>
          <w:lang w:val="en-US" w:eastAsia="zh-CN" w:bidi="ar"/>
        </w:rPr>
        <w:t>（三）严明工作纪律，强化工作作风</w:t>
      </w:r>
    </w:p>
    <w:p w14:paraId="5AF22425">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kern w:val="0"/>
          <w:sz w:val="32"/>
          <w:szCs w:val="32"/>
          <w:highlight w:val="none"/>
          <w:lang w:val="en-US" w:eastAsia="zh-CN" w:bidi="ar"/>
        </w:rPr>
      </w:pPr>
      <w:r>
        <w:rPr>
          <w:rFonts w:hint="eastAsia" w:ascii="仿宋_GB2312" w:hAnsi="仿宋_GB2312" w:eastAsia="仿宋_GB2312" w:cs="仿宋_GB2312"/>
          <w:color w:val="auto"/>
          <w:kern w:val="0"/>
          <w:sz w:val="32"/>
          <w:szCs w:val="32"/>
          <w:highlight w:val="none"/>
          <w:lang w:val="en-US" w:eastAsia="zh-CN" w:bidi="ar"/>
        </w:rPr>
        <w:t>各级生态环境部门不得与环评编制单位发生利益关系，不得向建设单位推荐、指定环评编制单位，不得干涉建设单位自主选择环评机构，不得设置条件限制环评机构在本行政区域内从事环评业务。鼓励建设单位自主选取信用良好、技术能力强、服务水平高的环评编制单位开展建设项目环评服务，并在合同中明确环评文件质量要求。</w:t>
      </w:r>
      <w:r>
        <w:rPr>
          <w:rFonts w:hint="eastAsia" w:ascii="楷体_GB2312" w:hAnsi="楷体_GB2312" w:eastAsia="楷体_GB2312" w:cs="楷体_GB2312"/>
          <w:b/>
          <w:bCs/>
          <w:color w:val="auto"/>
          <w:kern w:val="0"/>
          <w:sz w:val="32"/>
          <w:szCs w:val="32"/>
          <w:highlight w:val="none"/>
          <w:lang w:val="en-US" w:eastAsia="zh-CN" w:bidi="ar"/>
        </w:rPr>
        <w:t xml:space="preserve"> </w:t>
      </w:r>
    </w:p>
    <w:p w14:paraId="6B655949">
      <w:pPr>
        <w:rPr>
          <w:rFonts w:hint="eastAsia" w:ascii="方正小标宋简体" w:hAnsi="方正小标宋简体" w:eastAsia="方正小标宋简体" w:cs="方正小标宋简体"/>
          <w:b w:val="0"/>
          <w:bCs w:val="0"/>
          <w:color w:val="auto"/>
          <w:sz w:val="40"/>
          <w:szCs w:val="40"/>
          <w:highlight w:val="none"/>
          <w:lang w:val="en-US" w:eastAsia="zh-CN"/>
        </w:rPr>
      </w:pPr>
      <w:r>
        <w:rPr>
          <w:rFonts w:hint="eastAsia" w:ascii="方正小标宋简体" w:hAnsi="方正小标宋简体" w:eastAsia="方正小标宋简体" w:cs="方正小标宋简体"/>
          <w:b w:val="0"/>
          <w:bCs w:val="0"/>
          <w:color w:val="auto"/>
          <w:sz w:val="40"/>
          <w:szCs w:val="40"/>
          <w:highlight w:val="none"/>
          <w:lang w:val="en-US" w:eastAsia="zh-CN"/>
        </w:rPr>
        <w:br w:type="page"/>
      </w:r>
    </w:p>
    <w:p w14:paraId="2FA7F7A2">
      <w:pPr>
        <w:keepNext w:val="0"/>
        <w:keepLines w:val="0"/>
        <w:pageBreakBefore w:val="0"/>
        <w:widowControl w:val="0"/>
        <w:kinsoku/>
        <w:wordWrap/>
        <w:overflowPunct w:val="0"/>
        <w:topLinePunct w:val="0"/>
        <w:autoSpaceDE/>
        <w:autoSpaceDN/>
        <w:bidi w:val="0"/>
        <w:adjustRightInd/>
        <w:snapToGrid/>
        <w:spacing w:after="313" w:afterLines="100" w:line="580" w:lineRule="exact"/>
        <w:jc w:val="center"/>
        <w:textAlignment w:val="auto"/>
        <w:rPr>
          <w:rFonts w:hint="eastAsia" w:ascii="方正小标宋简体" w:hAnsi="方正小标宋简体" w:eastAsia="方正小标宋简体" w:cs="方正小标宋简体"/>
          <w:b/>
          <w:bCs/>
          <w:color w:val="auto"/>
          <w:sz w:val="40"/>
          <w:szCs w:val="40"/>
          <w:highlight w:val="none"/>
          <w:lang w:val="en-US" w:eastAsia="zh-CN"/>
        </w:rPr>
      </w:pPr>
      <w:bookmarkStart w:id="0" w:name="_GoBack"/>
      <w:bookmarkEnd w:id="0"/>
      <w:r>
        <w:rPr>
          <w:rFonts w:hint="eastAsia" w:ascii="方正小标宋简体" w:hAnsi="方正小标宋简体" w:eastAsia="方正小标宋简体" w:cs="方正小标宋简体"/>
          <w:b w:val="0"/>
          <w:bCs w:val="0"/>
          <w:color w:val="auto"/>
          <w:sz w:val="40"/>
          <w:szCs w:val="40"/>
          <w:highlight w:val="none"/>
          <w:lang w:val="en-US" w:eastAsia="zh-CN"/>
        </w:rPr>
        <w:t>环评编制单位</w:t>
      </w:r>
      <w:r>
        <w:rPr>
          <w:rFonts w:hint="eastAsia" w:ascii="方正小标宋简体" w:hAnsi="方正小标宋简体" w:eastAsia="方正小标宋简体" w:cs="方正小标宋简体"/>
          <w:b w:val="0"/>
          <w:bCs w:val="0"/>
          <w:color w:val="auto"/>
          <w:sz w:val="40"/>
          <w:szCs w:val="40"/>
          <w:highlight w:val="none"/>
        </w:rPr>
        <w:t>分类</w:t>
      </w:r>
      <w:r>
        <w:rPr>
          <w:rFonts w:hint="eastAsia" w:ascii="方正小标宋简体" w:hAnsi="方正小标宋简体" w:eastAsia="方正小标宋简体" w:cs="方正小标宋简体"/>
          <w:b w:val="0"/>
          <w:bCs w:val="0"/>
          <w:color w:val="auto"/>
          <w:sz w:val="40"/>
          <w:szCs w:val="40"/>
          <w:highlight w:val="none"/>
          <w:lang w:val="en-US" w:eastAsia="zh-CN"/>
        </w:rPr>
        <w:t>亮牌情况</w:t>
      </w:r>
    </w:p>
    <w:tbl>
      <w:tblPr>
        <w:tblStyle w:val="3"/>
        <w:tblW w:w="4876"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696"/>
        <w:gridCol w:w="1656"/>
        <w:gridCol w:w="1176"/>
        <w:gridCol w:w="1255"/>
        <w:gridCol w:w="1176"/>
        <w:gridCol w:w="1176"/>
        <w:gridCol w:w="1176"/>
      </w:tblGrid>
      <w:tr w14:paraId="44206F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8" w:hRule="atLeast"/>
          <w:jc w:val="center"/>
        </w:trPr>
        <w:tc>
          <w:tcPr>
            <w:tcW w:w="438" w:type="pct"/>
            <w:tcBorders>
              <w:top w:val="single" w:color="000000" w:sz="4" w:space="0"/>
              <w:left w:val="single" w:color="000000" w:sz="4" w:space="0"/>
              <w:bottom w:val="single" w:color="000000" w:sz="4" w:space="0"/>
              <w:right w:val="single" w:color="000000" w:sz="4" w:space="0"/>
            </w:tcBorders>
            <w:noWrap/>
            <w:vAlign w:val="center"/>
          </w:tcPr>
          <w:p w14:paraId="212A1DB6">
            <w:pPr>
              <w:keepNext w:val="0"/>
              <w:keepLines w:val="0"/>
              <w:widowControl/>
              <w:suppressLineNumbers w:val="0"/>
              <w:jc w:val="center"/>
              <w:textAlignment w:val="center"/>
              <w:rPr>
                <w:rFonts w:hint="eastAsia" w:ascii="黑体" w:hAnsi="黑体" w:eastAsia="黑体" w:cs="黑体"/>
                <w:b w:val="0"/>
                <w:bCs w:val="0"/>
                <w:i w:val="0"/>
                <w:iCs w:val="0"/>
                <w:color w:val="auto"/>
                <w:sz w:val="24"/>
                <w:szCs w:val="24"/>
                <w:highlight w:val="none"/>
                <w:u w:val="none"/>
              </w:rPr>
            </w:pPr>
            <w:r>
              <w:rPr>
                <w:rFonts w:hint="eastAsia" w:ascii="黑体" w:hAnsi="黑体" w:eastAsia="黑体" w:cs="黑体"/>
                <w:b w:val="0"/>
                <w:bCs w:val="0"/>
                <w:i w:val="0"/>
                <w:iCs w:val="0"/>
                <w:color w:val="auto"/>
                <w:kern w:val="0"/>
                <w:sz w:val="24"/>
                <w:szCs w:val="24"/>
                <w:highlight w:val="none"/>
                <w:u w:val="none"/>
                <w:lang w:val="en-US" w:eastAsia="zh-CN" w:bidi="ar"/>
              </w:rPr>
              <w:t>序号</w:t>
            </w:r>
          </w:p>
        </w:tc>
        <w:tc>
          <w:tcPr>
            <w:tcW w:w="932" w:type="pct"/>
            <w:tcBorders>
              <w:top w:val="single" w:color="000000" w:sz="4" w:space="0"/>
              <w:left w:val="single" w:color="000000" w:sz="4" w:space="0"/>
              <w:bottom w:val="single" w:color="000000" w:sz="4" w:space="0"/>
              <w:right w:val="single" w:color="000000" w:sz="4" w:space="0"/>
            </w:tcBorders>
            <w:noWrap/>
            <w:vAlign w:val="center"/>
          </w:tcPr>
          <w:p w14:paraId="0759D6F2">
            <w:pPr>
              <w:keepNext w:val="0"/>
              <w:keepLines w:val="0"/>
              <w:widowControl/>
              <w:suppressLineNumbers w:val="0"/>
              <w:jc w:val="center"/>
              <w:textAlignment w:val="center"/>
              <w:rPr>
                <w:rFonts w:hint="eastAsia" w:ascii="黑体" w:hAnsi="黑体" w:eastAsia="黑体" w:cs="黑体"/>
                <w:b w:val="0"/>
                <w:bCs w:val="0"/>
                <w:i w:val="0"/>
                <w:iCs w:val="0"/>
                <w:color w:val="auto"/>
                <w:sz w:val="24"/>
                <w:szCs w:val="24"/>
                <w:highlight w:val="none"/>
                <w:u w:val="none"/>
              </w:rPr>
            </w:pPr>
            <w:r>
              <w:rPr>
                <w:rFonts w:hint="eastAsia" w:ascii="黑体" w:hAnsi="黑体" w:eastAsia="黑体" w:cs="黑体"/>
                <w:b w:val="0"/>
                <w:bCs w:val="0"/>
                <w:i w:val="0"/>
                <w:iCs w:val="0"/>
                <w:color w:val="auto"/>
                <w:kern w:val="0"/>
                <w:sz w:val="24"/>
                <w:szCs w:val="24"/>
                <w:highlight w:val="none"/>
                <w:u w:val="none"/>
                <w:lang w:val="en-US" w:eastAsia="zh-CN" w:bidi="ar"/>
              </w:rPr>
              <w:t>环评编制单位</w:t>
            </w:r>
          </w:p>
        </w:tc>
        <w:tc>
          <w:tcPr>
            <w:tcW w:w="677" w:type="pct"/>
            <w:tcBorders>
              <w:top w:val="single" w:color="000000" w:sz="4" w:space="0"/>
              <w:left w:val="single" w:color="000000" w:sz="4" w:space="0"/>
              <w:bottom w:val="single" w:color="000000" w:sz="4" w:space="0"/>
              <w:right w:val="single" w:color="000000" w:sz="4" w:space="0"/>
            </w:tcBorders>
            <w:noWrap/>
            <w:vAlign w:val="center"/>
          </w:tcPr>
          <w:p w14:paraId="3A8E133F">
            <w:pPr>
              <w:keepNext w:val="0"/>
              <w:keepLines w:val="0"/>
              <w:widowControl/>
              <w:suppressLineNumbers w:val="0"/>
              <w:jc w:val="center"/>
              <w:textAlignment w:val="center"/>
              <w:rPr>
                <w:rFonts w:hint="eastAsia" w:ascii="黑体" w:hAnsi="黑体" w:eastAsia="黑体" w:cs="黑体"/>
                <w:b w:val="0"/>
                <w:bCs w:val="0"/>
                <w:i w:val="0"/>
                <w:iCs w:val="0"/>
                <w:color w:val="auto"/>
                <w:sz w:val="24"/>
                <w:szCs w:val="24"/>
                <w:highlight w:val="none"/>
                <w:u w:val="none"/>
              </w:rPr>
            </w:pPr>
            <w:r>
              <w:rPr>
                <w:rFonts w:hint="eastAsia" w:ascii="黑体" w:hAnsi="黑体" w:eastAsia="黑体" w:cs="黑体"/>
                <w:b w:val="0"/>
                <w:bCs w:val="0"/>
                <w:i w:val="0"/>
                <w:iCs w:val="0"/>
                <w:color w:val="auto"/>
                <w:kern w:val="0"/>
                <w:sz w:val="24"/>
                <w:szCs w:val="24"/>
                <w:highlight w:val="none"/>
                <w:u w:val="none"/>
                <w:lang w:val="en-US" w:eastAsia="zh-CN" w:bidi="ar"/>
              </w:rPr>
              <w:t>蓝牌数量</w:t>
            </w:r>
          </w:p>
        </w:tc>
        <w:tc>
          <w:tcPr>
            <w:tcW w:w="823" w:type="pct"/>
            <w:tcBorders>
              <w:top w:val="single" w:color="000000" w:sz="4" w:space="0"/>
              <w:left w:val="single" w:color="000000" w:sz="4" w:space="0"/>
              <w:bottom w:val="single" w:color="000000" w:sz="4" w:space="0"/>
              <w:right w:val="single" w:color="000000" w:sz="4" w:space="0"/>
            </w:tcBorders>
            <w:noWrap/>
            <w:vAlign w:val="center"/>
          </w:tcPr>
          <w:p w14:paraId="04E8BCB0">
            <w:pPr>
              <w:keepNext w:val="0"/>
              <w:keepLines w:val="0"/>
              <w:widowControl/>
              <w:suppressLineNumbers w:val="0"/>
              <w:jc w:val="center"/>
              <w:textAlignment w:val="center"/>
              <w:rPr>
                <w:rFonts w:hint="eastAsia" w:ascii="黑体" w:hAnsi="黑体" w:eastAsia="黑体" w:cs="黑体"/>
                <w:b w:val="0"/>
                <w:bCs w:val="0"/>
                <w:i w:val="0"/>
                <w:iCs w:val="0"/>
                <w:color w:val="auto"/>
                <w:sz w:val="24"/>
                <w:szCs w:val="24"/>
                <w:highlight w:val="none"/>
                <w:u w:val="none"/>
              </w:rPr>
            </w:pPr>
            <w:r>
              <w:rPr>
                <w:rFonts w:hint="eastAsia" w:ascii="黑体" w:hAnsi="黑体" w:eastAsia="黑体" w:cs="黑体"/>
                <w:b w:val="0"/>
                <w:bCs w:val="0"/>
                <w:i w:val="0"/>
                <w:iCs w:val="0"/>
                <w:color w:val="auto"/>
                <w:kern w:val="0"/>
                <w:sz w:val="24"/>
                <w:szCs w:val="24"/>
                <w:highlight w:val="none"/>
                <w:u w:val="none"/>
                <w:lang w:val="en-US" w:eastAsia="zh-CN" w:bidi="ar"/>
              </w:rPr>
              <w:t>黄牌数量</w:t>
            </w:r>
          </w:p>
        </w:tc>
        <w:tc>
          <w:tcPr>
            <w:tcW w:w="700" w:type="pct"/>
            <w:tcBorders>
              <w:top w:val="single" w:color="000000" w:sz="4" w:space="0"/>
              <w:left w:val="single" w:color="000000" w:sz="4" w:space="0"/>
              <w:bottom w:val="single" w:color="000000" w:sz="4" w:space="0"/>
              <w:right w:val="single" w:color="000000" w:sz="4" w:space="0"/>
            </w:tcBorders>
            <w:noWrap/>
            <w:vAlign w:val="center"/>
          </w:tcPr>
          <w:p w14:paraId="503809CE">
            <w:pPr>
              <w:keepNext w:val="0"/>
              <w:keepLines w:val="0"/>
              <w:widowControl/>
              <w:suppressLineNumbers w:val="0"/>
              <w:jc w:val="center"/>
              <w:textAlignment w:val="center"/>
              <w:rPr>
                <w:rFonts w:hint="eastAsia" w:ascii="黑体" w:hAnsi="黑体" w:eastAsia="黑体" w:cs="黑体"/>
                <w:b w:val="0"/>
                <w:bCs w:val="0"/>
                <w:i w:val="0"/>
                <w:iCs w:val="0"/>
                <w:color w:val="auto"/>
                <w:sz w:val="24"/>
                <w:szCs w:val="24"/>
                <w:highlight w:val="none"/>
                <w:u w:val="none"/>
              </w:rPr>
            </w:pPr>
            <w:r>
              <w:rPr>
                <w:rFonts w:hint="eastAsia" w:ascii="黑体" w:hAnsi="黑体" w:eastAsia="黑体" w:cs="黑体"/>
                <w:b w:val="0"/>
                <w:bCs w:val="0"/>
                <w:i w:val="0"/>
                <w:iCs w:val="0"/>
                <w:color w:val="auto"/>
                <w:kern w:val="0"/>
                <w:sz w:val="24"/>
                <w:szCs w:val="24"/>
                <w:highlight w:val="none"/>
                <w:u w:val="none"/>
                <w:lang w:val="en-US" w:eastAsia="zh-CN" w:bidi="ar"/>
              </w:rPr>
              <w:t>红牌数量</w:t>
            </w:r>
          </w:p>
        </w:tc>
        <w:tc>
          <w:tcPr>
            <w:tcW w:w="716" w:type="pct"/>
            <w:tcBorders>
              <w:top w:val="single" w:color="000000" w:sz="4" w:space="0"/>
              <w:left w:val="single" w:color="000000" w:sz="4" w:space="0"/>
              <w:bottom w:val="single" w:color="000000" w:sz="4" w:space="0"/>
              <w:right w:val="single" w:color="000000" w:sz="4" w:space="0"/>
            </w:tcBorders>
            <w:noWrap/>
            <w:vAlign w:val="center"/>
          </w:tcPr>
          <w:p w14:paraId="02433E90">
            <w:pPr>
              <w:keepNext w:val="0"/>
              <w:keepLines w:val="0"/>
              <w:widowControl/>
              <w:suppressLineNumbers w:val="0"/>
              <w:jc w:val="center"/>
              <w:textAlignment w:val="center"/>
              <w:rPr>
                <w:rFonts w:hint="eastAsia" w:ascii="黑体" w:hAnsi="黑体" w:eastAsia="黑体" w:cs="黑体"/>
                <w:b w:val="0"/>
                <w:bCs w:val="0"/>
                <w:i w:val="0"/>
                <w:iCs w:val="0"/>
                <w:color w:val="auto"/>
                <w:sz w:val="24"/>
                <w:szCs w:val="24"/>
                <w:highlight w:val="none"/>
                <w:u w:val="none"/>
              </w:rPr>
            </w:pPr>
            <w:r>
              <w:rPr>
                <w:rFonts w:hint="eastAsia" w:ascii="黑体" w:hAnsi="黑体" w:eastAsia="黑体" w:cs="黑体"/>
                <w:b w:val="0"/>
                <w:bCs w:val="0"/>
                <w:i w:val="0"/>
                <w:iCs w:val="0"/>
                <w:color w:val="auto"/>
                <w:kern w:val="0"/>
                <w:sz w:val="24"/>
                <w:szCs w:val="24"/>
                <w:highlight w:val="none"/>
                <w:u w:val="none"/>
                <w:lang w:val="en-US" w:eastAsia="zh-CN" w:bidi="ar"/>
              </w:rPr>
              <w:t>得牌总数</w:t>
            </w:r>
          </w:p>
        </w:tc>
        <w:tc>
          <w:tcPr>
            <w:tcW w:w="711" w:type="pct"/>
            <w:tcBorders>
              <w:top w:val="single" w:color="000000" w:sz="4" w:space="0"/>
              <w:left w:val="single" w:color="000000" w:sz="4" w:space="0"/>
              <w:bottom w:val="single" w:color="000000" w:sz="4" w:space="0"/>
              <w:right w:val="single" w:color="000000" w:sz="4" w:space="0"/>
            </w:tcBorders>
            <w:noWrap/>
            <w:vAlign w:val="center"/>
          </w:tcPr>
          <w:p w14:paraId="519AFD3E">
            <w:pPr>
              <w:keepNext w:val="0"/>
              <w:keepLines w:val="0"/>
              <w:widowControl/>
              <w:suppressLineNumbers w:val="0"/>
              <w:jc w:val="center"/>
              <w:textAlignment w:val="center"/>
              <w:rPr>
                <w:rFonts w:hint="eastAsia" w:ascii="黑体" w:hAnsi="黑体" w:eastAsia="黑体" w:cs="黑体"/>
                <w:b w:val="0"/>
                <w:bCs w:val="0"/>
                <w:i w:val="0"/>
                <w:iCs w:val="0"/>
                <w:color w:val="auto"/>
                <w:kern w:val="0"/>
                <w:sz w:val="24"/>
                <w:szCs w:val="24"/>
                <w:highlight w:val="none"/>
                <w:u w:val="none"/>
                <w:lang w:val="en-US" w:eastAsia="zh-CN" w:bidi="ar"/>
              </w:rPr>
            </w:pPr>
            <w:r>
              <w:rPr>
                <w:rFonts w:hint="eastAsia" w:ascii="黑体" w:hAnsi="黑体" w:eastAsia="黑体" w:cs="黑体"/>
                <w:b w:val="0"/>
                <w:bCs w:val="0"/>
                <w:i w:val="0"/>
                <w:iCs w:val="0"/>
                <w:color w:val="auto"/>
                <w:kern w:val="0"/>
                <w:sz w:val="24"/>
                <w:szCs w:val="24"/>
                <w:highlight w:val="none"/>
                <w:u w:val="none"/>
                <w:lang w:val="en-US" w:eastAsia="zh-CN" w:bidi="ar"/>
              </w:rPr>
              <w:t>失信信息</w:t>
            </w:r>
          </w:p>
        </w:tc>
      </w:tr>
      <w:tr w14:paraId="0872D5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8" w:hRule="atLeast"/>
          <w:jc w:val="center"/>
        </w:trPr>
        <w:tc>
          <w:tcPr>
            <w:tcW w:w="438" w:type="pct"/>
            <w:tcBorders>
              <w:top w:val="single" w:color="000000" w:sz="4" w:space="0"/>
              <w:left w:val="single" w:color="000000" w:sz="4" w:space="0"/>
              <w:bottom w:val="single" w:color="000000" w:sz="4" w:space="0"/>
              <w:right w:val="single" w:color="000000" w:sz="4" w:space="0"/>
            </w:tcBorders>
            <w:noWrap/>
            <w:vAlign w:val="center"/>
          </w:tcPr>
          <w:p w14:paraId="2214E3ED">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1</w:t>
            </w:r>
          </w:p>
        </w:tc>
        <w:tc>
          <w:tcPr>
            <w:tcW w:w="932" w:type="pct"/>
            <w:tcBorders>
              <w:top w:val="single" w:color="000000" w:sz="4" w:space="0"/>
              <w:left w:val="single" w:color="000000" w:sz="4" w:space="0"/>
              <w:bottom w:val="single" w:color="000000" w:sz="4" w:space="0"/>
              <w:right w:val="single" w:color="000000" w:sz="4" w:space="0"/>
            </w:tcBorders>
            <w:noWrap/>
            <w:vAlign w:val="center"/>
          </w:tcPr>
          <w:p w14:paraId="72B4BDCA">
            <w:pPr>
              <w:jc w:val="center"/>
              <w:rPr>
                <w:rFonts w:hint="eastAsia" w:ascii="仿宋_GB2312" w:hAnsi="仿宋_GB2312" w:eastAsia="仿宋_GB2312" w:cs="仿宋_GB2312"/>
                <w:i w:val="0"/>
                <w:iCs w:val="0"/>
                <w:color w:val="auto"/>
                <w:sz w:val="24"/>
                <w:szCs w:val="24"/>
                <w:highlight w:val="none"/>
                <w:u w:val="none"/>
              </w:rPr>
            </w:pPr>
          </w:p>
        </w:tc>
        <w:tc>
          <w:tcPr>
            <w:tcW w:w="677" w:type="pct"/>
            <w:tcBorders>
              <w:top w:val="single" w:color="000000" w:sz="4" w:space="0"/>
              <w:left w:val="single" w:color="000000" w:sz="4" w:space="0"/>
              <w:bottom w:val="single" w:color="000000" w:sz="4" w:space="0"/>
              <w:right w:val="single" w:color="000000" w:sz="4" w:space="0"/>
            </w:tcBorders>
            <w:noWrap/>
            <w:vAlign w:val="center"/>
          </w:tcPr>
          <w:p w14:paraId="7627CBD4">
            <w:pPr>
              <w:jc w:val="center"/>
              <w:rPr>
                <w:rFonts w:hint="eastAsia" w:ascii="仿宋_GB2312" w:hAnsi="仿宋_GB2312" w:eastAsia="仿宋_GB2312" w:cs="仿宋_GB2312"/>
                <w:i w:val="0"/>
                <w:iCs w:val="0"/>
                <w:color w:val="auto"/>
                <w:sz w:val="24"/>
                <w:szCs w:val="24"/>
                <w:highlight w:val="none"/>
                <w:u w:val="none"/>
              </w:rPr>
            </w:pPr>
          </w:p>
        </w:tc>
        <w:tc>
          <w:tcPr>
            <w:tcW w:w="823" w:type="pct"/>
            <w:tcBorders>
              <w:top w:val="single" w:color="000000" w:sz="4" w:space="0"/>
              <w:left w:val="single" w:color="000000" w:sz="4" w:space="0"/>
              <w:bottom w:val="single" w:color="000000" w:sz="4" w:space="0"/>
              <w:right w:val="single" w:color="000000" w:sz="4" w:space="0"/>
            </w:tcBorders>
            <w:noWrap/>
            <w:vAlign w:val="center"/>
          </w:tcPr>
          <w:p w14:paraId="0900DEA7">
            <w:pPr>
              <w:jc w:val="center"/>
              <w:rPr>
                <w:rFonts w:hint="eastAsia" w:ascii="仿宋_GB2312" w:hAnsi="仿宋_GB2312" w:eastAsia="仿宋_GB2312" w:cs="仿宋_GB2312"/>
                <w:i w:val="0"/>
                <w:iCs w:val="0"/>
                <w:color w:val="auto"/>
                <w:sz w:val="24"/>
                <w:szCs w:val="24"/>
                <w:highlight w:val="none"/>
                <w:u w:val="none"/>
              </w:rPr>
            </w:pPr>
          </w:p>
        </w:tc>
        <w:tc>
          <w:tcPr>
            <w:tcW w:w="700" w:type="pct"/>
            <w:tcBorders>
              <w:top w:val="single" w:color="000000" w:sz="4" w:space="0"/>
              <w:left w:val="single" w:color="000000" w:sz="4" w:space="0"/>
              <w:bottom w:val="single" w:color="000000" w:sz="4" w:space="0"/>
              <w:right w:val="single" w:color="000000" w:sz="4" w:space="0"/>
            </w:tcBorders>
            <w:noWrap/>
            <w:vAlign w:val="center"/>
          </w:tcPr>
          <w:p w14:paraId="0F18E81D">
            <w:pPr>
              <w:jc w:val="center"/>
              <w:rPr>
                <w:rFonts w:hint="eastAsia" w:ascii="仿宋_GB2312" w:hAnsi="仿宋_GB2312" w:eastAsia="仿宋_GB2312" w:cs="仿宋_GB2312"/>
                <w:i w:val="0"/>
                <w:iCs w:val="0"/>
                <w:color w:val="auto"/>
                <w:sz w:val="24"/>
                <w:szCs w:val="24"/>
                <w:highlight w:val="none"/>
                <w:u w:val="none"/>
              </w:rPr>
            </w:pPr>
          </w:p>
        </w:tc>
        <w:tc>
          <w:tcPr>
            <w:tcW w:w="716" w:type="pct"/>
            <w:tcBorders>
              <w:top w:val="single" w:color="000000" w:sz="4" w:space="0"/>
              <w:left w:val="single" w:color="000000" w:sz="4" w:space="0"/>
              <w:bottom w:val="single" w:color="000000" w:sz="4" w:space="0"/>
              <w:right w:val="single" w:color="000000" w:sz="4" w:space="0"/>
            </w:tcBorders>
            <w:noWrap/>
            <w:vAlign w:val="center"/>
          </w:tcPr>
          <w:p w14:paraId="347248EC">
            <w:pPr>
              <w:jc w:val="center"/>
              <w:rPr>
                <w:rFonts w:hint="eastAsia" w:ascii="仿宋_GB2312" w:hAnsi="仿宋_GB2312" w:eastAsia="仿宋_GB2312" w:cs="仿宋_GB2312"/>
                <w:i w:val="0"/>
                <w:iCs w:val="0"/>
                <w:color w:val="auto"/>
                <w:sz w:val="24"/>
                <w:szCs w:val="24"/>
                <w:highlight w:val="none"/>
                <w:u w:val="none"/>
              </w:rPr>
            </w:pPr>
          </w:p>
        </w:tc>
        <w:tc>
          <w:tcPr>
            <w:tcW w:w="711" w:type="pct"/>
            <w:tcBorders>
              <w:top w:val="single" w:color="000000" w:sz="4" w:space="0"/>
              <w:left w:val="single" w:color="000000" w:sz="4" w:space="0"/>
              <w:bottom w:val="single" w:color="000000" w:sz="4" w:space="0"/>
              <w:right w:val="single" w:color="000000" w:sz="4" w:space="0"/>
            </w:tcBorders>
            <w:noWrap/>
            <w:vAlign w:val="center"/>
          </w:tcPr>
          <w:p w14:paraId="33246031">
            <w:pPr>
              <w:jc w:val="center"/>
              <w:rPr>
                <w:rFonts w:hint="eastAsia" w:ascii="仿宋_GB2312" w:hAnsi="仿宋_GB2312" w:eastAsia="仿宋_GB2312" w:cs="仿宋_GB2312"/>
                <w:i w:val="0"/>
                <w:iCs w:val="0"/>
                <w:color w:val="auto"/>
                <w:sz w:val="24"/>
                <w:szCs w:val="24"/>
                <w:highlight w:val="none"/>
                <w:u w:val="none"/>
              </w:rPr>
            </w:pPr>
          </w:p>
        </w:tc>
      </w:tr>
      <w:tr w14:paraId="327571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8" w:hRule="atLeast"/>
          <w:jc w:val="center"/>
        </w:trPr>
        <w:tc>
          <w:tcPr>
            <w:tcW w:w="438" w:type="pct"/>
            <w:tcBorders>
              <w:top w:val="single" w:color="000000" w:sz="4" w:space="0"/>
              <w:left w:val="single" w:color="000000" w:sz="4" w:space="0"/>
              <w:bottom w:val="single" w:color="000000" w:sz="4" w:space="0"/>
              <w:right w:val="single" w:color="000000" w:sz="4" w:space="0"/>
            </w:tcBorders>
            <w:noWrap/>
            <w:vAlign w:val="center"/>
          </w:tcPr>
          <w:p w14:paraId="11B2450B">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2</w:t>
            </w:r>
          </w:p>
        </w:tc>
        <w:tc>
          <w:tcPr>
            <w:tcW w:w="932" w:type="pct"/>
            <w:tcBorders>
              <w:top w:val="single" w:color="000000" w:sz="4" w:space="0"/>
              <w:left w:val="single" w:color="000000" w:sz="4" w:space="0"/>
              <w:bottom w:val="single" w:color="000000" w:sz="4" w:space="0"/>
              <w:right w:val="single" w:color="000000" w:sz="4" w:space="0"/>
            </w:tcBorders>
            <w:noWrap/>
            <w:vAlign w:val="center"/>
          </w:tcPr>
          <w:p w14:paraId="0FBCD133">
            <w:pPr>
              <w:jc w:val="center"/>
              <w:rPr>
                <w:rFonts w:hint="eastAsia" w:ascii="仿宋_GB2312" w:hAnsi="仿宋_GB2312" w:eastAsia="仿宋_GB2312" w:cs="仿宋_GB2312"/>
                <w:i w:val="0"/>
                <w:iCs w:val="0"/>
                <w:color w:val="auto"/>
                <w:sz w:val="24"/>
                <w:szCs w:val="24"/>
                <w:highlight w:val="none"/>
                <w:u w:val="none"/>
              </w:rPr>
            </w:pPr>
          </w:p>
        </w:tc>
        <w:tc>
          <w:tcPr>
            <w:tcW w:w="677" w:type="pct"/>
            <w:tcBorders>
              <w:top w:val="single" w:color="000000" w:sz="4" w:space="0"/>
              <w:left w:val="single" w:color="000000" w:sz="4" w:space="0"/>
              <w:bottom w:val="single" w:color="000000" w:sz="4" w:space="0"/>
              <w:right w:val="single" w:color="000000" w:sz="4" w:space="0"/>
            </w:tcBorders>
            <w:noWrap/>
            <w:vAlign w:val="center"/>
          </w:tcPr>
          <w:p w14:paraId="46B50B83">
            <w:pPr>
              <w:jc w:val="center"/>
              <w:rPr>
                <w:rFonts w:hint="eastAsia" w:ascii="仿宋_GB2312" w:hAnsi="仿宋_GB2312" w:eastAsia="仿宋_GB2312" w:cs="仿宋_GB2312"/>
                <w:i w:val="0"/>
                <w:iCs w:val="0"/>
                <w:color w:val="auto"/>
                <w:sz w:val="24"/>
                <w:szCs w:val="24"/>
                <w:highlight w:val="none"/>
                <w:u w:val="none"/>
              </w:rPr>
            </w:pPr>
          </w:p>
        </w:tc>
        <w:tc>
          <w:tcPr>
            <w:tcW w:w="823" w:type="pct"/>
            <w:tcBorders>
              <w:top w:val="single" w:color="000000" w:sz="4" w:space="0"/>
              <w:left w:val="single" w:color="000000" w:sz="4" w:space="0"/>
              <w:bottom w:val="single" w:color="000000" w:sz="4" w:space="0"/>
              <w:right w:val="single" w:color="000000" w:sz="4" w:space="0"/>
            </w:tcBorders>
            <w:noWrap/>
            <w:vAlign w:val="center"/>
          </w:tcPr>
          <w:p w14:paraId="33ED54B6">
            <w:pPr>
              <w:jc w:val="center"/>
              <w:rPr>
                <w:rFonts w:hint="eastAsia" w:ascii="仿宋_GB2312" w:hAnsi="仿宋_GB2312" w:eastAsia="仿宋_GB2312" w:cs="仿宋_GB2312"/>
                <w:i w:val="0"/>
                <w:iCs w:val="0"/>
                <w:color w:val="auto"/>
                <w:sz w:val="24"/>
                <w:szCs w:val="24"/>
                <w:highlight w:val="none"/>
                <w:u w:val="none"/>
              </w:rPr>
            </w:pPr>
          </w:p>
        </w:tc>
        <w:tc>
          <w:tcPr>
            <w:tcW w:w="700" w:type="pct"/>
            <w:tcBorders>
              <w:top w:val="single" w:color="000000" w:sz="4" w:space="0"/>
              <w:left w:val="single" w:color="000000" w:sz="4" w:space="0"/>
              <w:bottom w:val="single" w:color="000000" w:sz="4" w:space="0"/>
              <w:right w:val="single" w:color="000000" w:sz="4" w:space="0"/>
            </w:tcBorders>
            <w:noWrap/>
            <w:vAlign w:val="center"/>
          </w:tcPr>
          <w:p w14:paraId="14375CB1">
            <w:pPr>
              <w:jc w:val="center"/>
              <w:rPr>
                <w:rFonts w:hint="eastAsia" w:ascii="仿宋_GB2312" w:hAnsi="仿宋_GB2312" w:eastAsia="仿宋_GB2312" w:cs="仿宋_GB2312"/>
                <w:i w:val="0"/>
                <w:iCs w:val="0"/>
                <w:color w:val="auto"/>
                <w:sz w:val="24"/>
                <w:szCs w:val="24"/>
                <w:highlight w:val="none"/>
                <w:u w:val="none"/>
              </w:rPr>
            </w:pPr>
          </w:p>
        </w:tc>
        <w:tc>
          <w:tcPr>
            <w:tcW w:w="716" w:type="pct"/>
            <w:tcBorders>
              <w:top w:val="single" w:color="000000" w:sz="4" w:space="0"/>
              <w:left w:val="single" w:color="000000" w:sz="4" w:space="0"/>
              <w:bottom w:val="single" w:color="000000" w:sz="4" w:space="0"/>
              <w:right w:val="single" w:color="000000" w:sz="4" w:space="0"/>
            </w:tcBorders>
            <w:noWrap/>
            <w:vAlign w:val="center"/>
          </w:tcPr>
          <w:p w14:paraId="12256365">
            <w:pPr>
              <w:jc w:val="center"/>
              <w:rPr>
                <w:rFonts w:hint="eastAsia" w:ascii="仿宋_GB2312" w:hAnsi="仿宋_GB2312" w:eastAsia="仿宋_GB2312" w:cs="仿宋_GB2312"/>
                <w:i w:val="0"/>
                <w:iCs w:val="0"/>
                <w:color w:val="auto"/>
                <w:sz w:val="24"/>
                <w:szCs w:val="24"/>
                <w:highlight w:val="none"/>
                <w:u w:val="none"/>
              </w:rPr>
            </w:pPr>
          </w:p>
        </w:tc>
        <w:tc>
          <w:tcPr>
            <w:tcW w:w="711" w:type="pct"/>
            <w:tcBorders>
              <w:top w:val="single" w:color="000000" w:sz="4" w:space="0"/>
              <w:left w:val="single" w:color="000000" w:sz="4" w:space="0"/>
              <w:bottom w:val="single" w:color="000000" w:sz="4" w:space="0"/>
              <w:right w:val="single" w:color="000000" w:sz="4" w:space="0"/>
            </w:tcBorders>
            <w:noWrap/>
            <w:vAlign w:val="center"/>
          </w:tcPr>
          <w:p w14:paraId="2ECB5DE0">
            <w:pPr>
              <w:jc w:val="center"/>
              <w:rPr>
                <w:rFonts w:hint="eastAsia" w:ascii="仿宋_GB2312" w:hAnsi="仿宋_GB2312" w:eastAsia="仿宋_GB2312" w:cs="仿宋_GB2312"/>
                <w:i w:val="0"/>
                <w:iCs w:val="0"/>
                <w:color w:val="auto"/>
                <w:sz w:val="24"/>
                <w:szCs w:val="24"/>
                <w:highlight w:val="none"/>
                <w:u w:val="none"/>
              </w:rPr>
            </w:pPr>
          </w:p>
        </w:tc>
      </w:tr>
      <w:tr w14:paraId="55CC93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8" w:hRule="atLeast"/>
          <w:jc w:val="center"/>
        </w:trPr>
        <w:tc>
          <w:tcPr>
            <w:tcW w:w="438" w:type="pct"/>
            <w:tcBorders>
              <w:top w:val="single" w:color="000000" w:sz="4" w:space="0"/>
              <w:left w:val="single" w:color="000000" w:sz="4" w:space="0"/>
              <w:bottom w:val="single" w:color="000000" w:sz="4" w:space="0"/>
              <w:right w:val="single" w:color="000000" w:sz="4" w:space="0"/>
            </w:tcBorders>
            <w:noWrap/>
            <w:vAlign w:val="center"/>
          </w:tcPr>
          <w:p w14:paraId="29B8EC78">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3</w:t>
            </w:r>
          </w:p>
        </w:tc>
        <w:tc>
          <w:tcPr>
            <w:tcW w:w="932" w:type="pct"/>
            <w:tcBorders>
              <w:top w:val="single" w:color="000000" w:sz="4" w:space="0"/>
              <w:left w:val="single" w:color="000000" w:sz="4" w:space="0"/>
              <w:bottom w:val="single" w:color="000000" w:sz="4" w:space="0"/>
              <w:right w:val="single" w:color="000000" w:sz="4" w:space="0"/>
            </w:tcBorders>
            <w:noWrap/>
            <w:vAlign w:val="center"/>
          </w:tcPr>
          <w:p w14:paraId="0650A9FE">
            <w:pPr>
              <w:jc w:val="center"/>
              <w:rPr>
                <w:rFonts w:hint="eastAsia" w:ascii="仿宋_GB2312" w:hAnsi="仿宋_GB2312" w:eastAsia="仿宋_GB2312" w:cs="仿宋_GB2312"/>
                <w:i w:val="0"/>
                <w:iCs w:val="0"/>
                <w:color w:val="auto"/>
                <w:sz w:val="24"/>
                <w:szCs w:val="24"/>
                <w:highlight w:val="none"/>
                <w:u w:val="none"/>
              </w:rPr>
            </w:pPr>
          </w:p>
        </w:tc>
        <w:tc>
          <w:tcPr>
            <w:tcW w:w="677" w:type="pct"/>
            <w:tcBorders>
              <w:top w:val="single" w:color="000000" w:sz="4" w:space="0"/>
              <w:left w:val="single" w:color="000000" w:sz="4" w:space="0"/>
              <w:bottom w:val="single" w:color="000000" w:sz="4" w:space="0"/>
              <w:right w:val="single" w:color="000000" w:sz="4" w:space="0"/>
            </w:tcBorders>
            <w:noWrap/>
            <w:vAlign w:val="center"/>
          </w:tcPr>
          <w:p w14:paraId="178A2B82">
            <w:pPr>
              <w:jc w:val="center"/>
              <w:rPr>
                <w:rFonts w:hint="eastAsia" w:ascii="仿宋_GB2312" w:hAnsi="仿宋_GB2312" w:eastAsia="仿宋_GB2312" w:cs="仿宋_GB2312"/>
                <w:i w:val="0"/>
                <w:iCs w:val="0"/>
                <w:color w:val="auto"/>
                <w:sz w:val="24"/>
                <w:szCs w:val="24"/>
                <w:highlight w:val="none"/>
                <w:u w:val="none"/>
              </w:rPr>
            </w:pPr>
          </w:p>
        </w:tc>
        <w:tc>
          <w:tcPr>
            <w:tcW w:w="823" w:type="pct"/>
            <w:tcBorders>
              <w:top w:val="single" w:color="000000" w:sz="4" w:space="0"/>
              <w:left w:val="single" w:color="000000" w:sz="4" w:space="0"/>
              <w:bottom w:val="single" w:color="000000" w:sz="4" w:space="0"/>
              <w:right w:val="single" w:color="000000" w:sz="4" w:space="0"/>
            </w:tcBorders>
            <w:noWrap/>
            <w:vAlign w:val="center"/>
          </w:tcPr>
          <w:p w14:paraId="0FEE4DF5">
            <w:pPr>
              <w:jc w:val="center"/>
              <w:rPr>
                <w:rFonts w:hint="eastAsia" w:ascii="仿宋_GB2312" w:hAnsi="仿宋_GB2312" w:eastAsia="仿宋_GB2312" w:cs="仿宋_GB2312"/>
                <w:i w:val="0"/>
                <w:iCs w:val="0"/>
                <w:color w:val="auto"/>
                <w:sz w:val="24"/>
                <w:szCs w:val="24"/>
                <w:highlight w:val="none"/>
                <w:u w:val="none"/>
              </w:rPr>
            </w:pPr>
          </w:p>
        </w:tc>
        <w:tc>
          <w:tcPr>
            <w:tcW w:w="700" w:type="pct"/>
            <w:tcBorders>
              <w:top w:val="single" w:color="000000" w:sz="4" w:space="0"/>
              <w:left w:val="single" w:color="000000" w:sz="4" w:space="0"/>
              <w:bottom w:val="single" w:color="000000" w:sz="4" w:space="0"/>
              <w:right w:val="single" w:color="000000" w:sz="4" w:space="0"/>
            </w:tcBorders>
            <w:noWrap/>
            <w:vAlign w:val="center"/>
          </w:tcPr>
          <w:p w14:paraId="5D92B6FB">
            <w:pPr>
              <w:jc w:val="center"/>
              <w:rPr>
                <w:rFonts w:hint="eastAsia" w:ascii="仿宋_GB2312" w:hAnsi="仿宋_GB2312" w:eastAsia="仿宋_GB2312" w:cs="仿宋_GB2312"/>
                <w:i w:val="0"/>
                <w:iCs w:val="0"/>
                <w:color w:val="auto"/>
                <w:sz w:val="24"/>
                <w:szCs w:val="24"/>
                <w:highlight w:val="none"/>
                <w:u w:val="none"/>
              </w:rPr>
            </w:pPr>
          </w:p>
        </w:tc>
        <w:tc>
          <w:tcPr>
            <w:tcW w:w="716" w:type="pct"/>
            <w:tcBorders>
              <w:top w:val="single" w:color="000000" w:sz="4" w:space="0"/>
              <w:left w:val="single" w:color="000000" w:sz="4" w:space="0"/>
              <w:bottom w:val="single" w:color="000000" w:sz="4" w:space="0"/>
              <w:right w:val="single" w:color="000000" w:sz="4" w:space="0"/>
            </w:tcBorders>
            <w:noWrap/>
            <w:vAlign w:val="center"/>
          </w:tcPr>
          <w:p w14:paraId="038735B9">
            <w:pPr>
              <w:jc w:val="center"/>
              <w:rPr>
                <w:rFonts w:hint="eastAsia" w:ascii="仿宋_GB2312" w:hAnsi="仿宋_GB2312" w:eastAsia="仿宋_GB2312" w:cs="仿宋_GB2312"/>
                <w:i w:val="0"/>
                <w:iCs w:val="0"/>
                <w:color w:val="auto"/>
                <w:sz w:val="24"/>
                <w:szCs w:val="24"/>
                <w:highlight w:val="none"/>
                <w:u w:val="none"/>
              </w:rPr>
            </w:pPr>
          </w:p>
        </w:tc>
        <w:tc>
          <w:tcPr>
            <w:tcW w:w="711" w:type="pct"/>
            <w:tcBorders>
              <w:top w:val="single" w:color="000000" w:sz="4" w:space="0"/>
              <w:left w:val="single" w:color="000000" w:sz="4" w:space="0"/>
              <w:bottom w:val="single" w:color="000000" w:sz="4" w:space="0"/>
              <w:right w:val="single" w:color="000000" w:sz="4" w:space="0"/>
            </w:tcBorders>
            <w:noWrap/>
            <w:vAlign w:val="center"/>
          </w:tcPr>
          <w:p w14:paraId="51AF648E">
            <w:pPr>
              <w:jc w:val="center"/>
              <w:rPr>
                <w:rFonts w:hint="eastAsia" w:ascii="仿宋_GB2312" w:hAnsi="仿宋_GB2312" w:eastAsia="仿宋_GB2312" w:cs="仿宋_GB2312"/>
                <w:i w:val="0"/>
                <w:iCs w:val="0"/>
                <w:color w:val="auto"/>
                <w:sz w:val="24"/>
                <w:szCs w:val="24"/>
                <w:highlight w:val="none"/>
                <w:u w:val="none"/>
              </w:rPr>
            </w:pPr>
          </w:p>
        </w:tc>
      </w:tr>
      <w:tr w14:paraId="221CC5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8" w:hRule="atLeast"/>
          <w:jc w:val="center"/>
        </w:trPr>
        <w:tc>
          <w:tcPr>
            <w:tcW w:w="438" w:type="pct"/>
            <w:tcBorders>
              <w:top w:val="single" w:color="000000" w:sz="4" w:space="0"/>
              <w:left w:val="single" w:color="000000" w:sz="4" w:space="0"/>
              <w:bottom w:val="single" w:color="000000" w:sz="4" w:space="0"/>
              <w:right w:val="single" w:color="000000" w:sz="4" w:space="0"/>
            </w:tcBorders>
            <w:noWrap/>
            <w:vAlign w:val="center"/>
          </w:tcPr>
          <w:p w14:paraId="4E1870E6">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4</w:t>
            </w:r>
          </w:p>
        </w:tc>
        <w:tc>
          <w:tcPr>
            <w:tcW w:w="932" w:type="pct"/>
            <w:tcBorders>
              <w:top w:val="single" w:color="000000" w:sz="4" w:space="0"/>
              <w:left w:val="single" w:color="000000" w:sz="4" w:space="0"/>
              <w:bottom w:val="single" w:color="000000" w:sz="4" w:space="0"/>
              <w:right w:val="single" w:color="000000" w:sz="4" w:space="0"/>
            </w:tcBorders>
            <w:noWrap/>
            <w:vAlign w:val="center"/>
          </w:tcPr>
          <w:p w14:paraId="15565CFC">
            <w:pPr>
              <w:jc w:val="center"/>
              <w:rPr>
                <w:rFonts w:hint="eastAsia" w:ascii="仿宋_GB2312" w:hAnsi="仿宋_GB2312" w:eastAsia="仿宋_GB2312" w:cs="仿宋_GB2312"/>
                <w:i w:val="0"/>
                <w:iCs w:val="0"/>
                <w:color w:val="auto"/>
                <w:sz w:val="24"/>
                <w:szCs w:val="24"/>
                <w:highlight w:val="none"/>
                <w:u w:val="none"/>
              </w:rPr>
            </w:pPr>
          </w:p>
        </w:tc>
        <w:tc>
          <w:tcPr>
            <w:tcW w:w="677" w:type="pct"/>
            <w:tcBorders>
              <w:top w:val="single" w:color="000000" w:sz="4" w:space="0"/>
              <w:left w:val="single" w:color="000000" w:sz="4" w:space="0"/>
              <w:bottom w:val="single" w:color="000000" w:sz="4" w:space="0"/>
              <w:right w:val="single" w:color="000000" w:sz="4" w:space="0"/>
            </w:tcBorders>
            <w:noWrap/>
            <w:vAlign w:val="center"/>
          </w:tcPr>
          <w:p w14:paraId="1674FC98">
            <w:pPr>
              <w:jc w:val="center"/>
              <w:rPr>
                <w:rFonts w:hint="eastAsia" w:ascii="仿宋_GB2312" w:hAnsi="仿宋_GB2312" w:eastAsia="仿宋_GB2312" w:cs="仿宋_GB2312"/>
                <w:i w:val="0"/>
                <w:iCs w:val="0"/>
                <w:color w:val="auto"/>
                <w:sz w:val="24"/>
                <w:szCs w:val="24"/>
                <w:highlight w:val="none"/>
                <w:u w:val="none"/>
              </w:rPr>
            </w:pPr>
          </w:p>
        </w:tc>
        <w:tc>
          <w:tcPr>
            <w:tcW w:w="823" w:type="pct"/>
            <w:tcBorders>
              <w:top w:val="single" w:color="000000" w:sz="4" w:space="0"/>
              <w:left w:val="single" w:color="000000" w:sz="4" w:space="0"/>
              <w:bottom w:val="single" w:color="000000" w:sz="4" w:space="0"/>
              <w:right w:val="single" w:color="000000" w:sz="4" w:space="0"/>
            </w:tcBorders>
            <w:noWrap/>
            <w:vAlign w:val="center"/>
          </w:tcPr>
          <w:p w14:paraId="16D7A6EC">
            <w:pPr>
              <w:jc w:val="center"/>
              <w:rPr>
                <w:rFonts w:hint="eastAsia" w:ascii="仿宋_GB2312" w:hAnsi="仿宋_GB2312" w:eastAsia="仿宋_GB2312" w:cs="仿宋_GB2312"/>
                <w:i w:val="0"/>
                <w:iCs w:val="0"/>
                <w:color w:val="auto"/>
                <w:sz w:val="24"/>
                <w:szCs w:val="24"/>
                <w:highlight w:val="none"/>
                <w:u w:val="none"/>
              </w:rPr>
            </w:pPr>
          </w:p>
        </w:tc>
        <w:tc>
          <w:tcPr>
            <w:tcW w:w="700" w:type="pct"/>
            <w:tcBorders>
              <w:top w:val="single" w:color="000000" w:sz="4" w:space="0"/>
              <w:left w:val="single" w:color="000000" w:sz="4" w:space="0"/>
              <w:bottom w:val="single" w:color="000000" w:sz="4" w:space="0"/>
              <w:right w:val="single" w:color="000000" w:sz="4" w:space="0"/>
            </w:tcBorders>
            <w:noWrap/>
            <w:vAlign w:val="center"/>
          </w:tcPr>
          <w:p w14:paraId="4BD53A83">
            <w:pPr>
              <w:jc w:val="center"/>
              <w:rPr>
                <w:rFonts w:hint="eastAsia" w:ascii="仿宋_GB2312" w:hAnsi="仿宋_GB2312" w:eastAsia="仿宋_GB2312" w:cs="仿宋_GB2312"/>
                <w:i w:val="0"/>
                <w:iCs w:val="0"/>
                <w:color w:val="auto"/>
                <w:sz w:val="24"/>
                <w:szCs w:val="24"/>
                <w:highlight w:val="none"/>
                <w:u w:val="none"/>
              </w:rPr>
            </w:pPr>
          </w:p>
        </w:tc>
        <w:tc>
          <w:tcPr>
            <w:tcW w:w="716" w:type="pct"/>
            <w:tcBorders>
              <w:top w:val="single" w:color="000000" w:sz="4" w:space="0"/>
              <w:left w:val="single" w:color="000000" w:sz="4" w:space="0"/>
              <w:bottom w:val="single" w:color="000000" w:sz="4" w:space="0"/>
              <w:right w:val="single" w:color="000000" w:sz="4" w:space="0"/>
            </w:tcBorders>
            <w:noWrap/>
            <w:vAlign w:val="center"/>
          </w:tcPr>
          <w:p w14:paraId="3404D017">
            <w:pPr>
              <w:jc w:val="center"/>
              <w:rPr>
                <w:rFonts w:hint="eastAsia" w:ascii="仿宋_GB2312" w:hAnsi="仿宋_GB2312" w:eastAsia="仿宋_GB2312" w:cs="仿宋_GB2312"/>
                <w:i w:val="0"/>
                <w:iCs w:val="0"/>
                <w:color w:val="auto"/>
                <w:sz w:val="24"/>
                <w:szCs w:val="24"/>
                <w:highlight w:val="none"/>
                <w:u w:val="none"/>
              </w:rPr>
            </w:pPr>
          </w:p>
        </w:tc>
        <w:tc>
          <w:tcPr>
            <w:tcW w:w="711" w:type="pct"/>
            <w:tcBorders>
              <w:top w:val="single" w:color="000000" w:sz="4" w:space="0"/>
              <w:left w:val="single" w:color="000000" w:sz="4" w:space="0"/>
              <w:bottom w:val="single" w:color="000000" w:sz="4" w:space="0"/>
              <w:right w:val="single" w:color="000000" w:sz="4" w:space="0"/>
            </w:tcBorders>
            <w:noWrap/>
            <w:vAlign w:val="center"/>
          </w:tcPr>
          <w:p w14:paraId="0D811930">
            <w:pPr>
              <w:jc w:val="center"/>
              <w:rPr>
                <w:rFonts w:hint="eastAsia" w:ascii="仿宋_GB2312" w:hAnsi="仿宋_GB2312" w:eastAsia="仿宋_GB2312" w:cs="仿宋_GB2312"/>
                <w:i w:val="0"/>
                <w:iCs w:val="0"/>
                <w:color w:val="auto"/>
                <w:sz w:val="24"/>
                <w:szCs w:val="24"/>
                <w:highlight w:val="none"/>
                <w:u w:val="none"/>
              </w:rPr>
            </w:pPr>
          </w:p>
        </w:tc>
      </w:tr>
      <w:tr w14:paraId="7317C9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8" w:hRule="atLeast"/>
          <w:jc w:val="center"/>
        </w:trPr>
        <w:tc>
          <w:tcPr>
            <w:tcW w:w="438" w:type="pct"/>
            <w:tcBorders>
              <w:top w:val="single" w:color="000000" w:sz="4" w:space="0"/>
              <w:left w:val="single" w:color="000000" w:sz="4" w:space="0"/>
              <w:bottom w:val="single" w:color="000000" w:sz="4" w:space="0"/>
              <w:right w:val="single" w:color="000000" w:sz="4" w:space="0"/>
            </w:tcBorders>
            <w:noWrap/>
            <w:vAlign w:val="center"/>
          </w:tcPr>
          <w:p w14:paraId="13D1FA98">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5</w:t>
            </w:r>
          </w:p>
        </w:tc>
        <w:tc>
          <w:tcPr>
            <w:tcW w:w="932" w:type="pct"/>
            <w:tcBorders>
              <w:top w:val="single" w:color="000000" w:sz="4" w:space="0"/>
              <w:left w:val="single" w:color="000000" w:sz="4" w:space="0"/>
              <w:bottom w:val="single" w:color="000000" w:sz="4" w:space="0"/>
              <w:right w:val="single" w:color="000000" w:sz="4" w:space="0"/>
            </w:tcBorders>
            <w:noWrap/>
            <w:vAlign w:val="center"/>
          </w:tcPr>
          <w:p w14:paraId="02B37AF7">
            <w:pPr>
              <w:jc w:val="center"/>
              <w:rPr>
                <w:rFonts w:hint="eastAsia" w:ascii="仿宋_GB2312" w:hAnsi="仿宋_GB2312" w:eastAsia="仿宋_GB2312" w:cs="仿宋_GB2312"/>
                <w:i w:val="0"/>
                <w:iCs w:val="0"/>
                <w:color w:val="auto"/>
                <w:sz w:val="24"/>
                <w:szCs w:val="24"/>
                <w:highlight w:val="none"/>
                <w:u w:val="none"/>
              </w:rPr>
            </w:pPr>
          </w:p>
        </w:tc>
        <w:tc>
          <w:tcPr>
            <w:tcW w:w="677" w:type="pct"/>
            <w:tcBorders>
              <w:top w:val="single" w:color="000000" w:sz="4" w:space="0"/>
              <w:left w:val="single" w:color="000000" w:sz="4" w:space="0"/>
              <w:bottom w:val="single" w:color="000000" w:sz="4" w:space="0"/>
              <w:right w:val="single" w:color="000000" w:sz="4" w:space="0"/>
            </w:tcBorders>
            <w:noWrap/>
            <w:vAlign w:val="center"/>
          </w:tcPr>
          <w:p w14:paraId="259E066D">
            <w:pPr>
              <w:jc w:val="center"/>
              <w:rPr>
                <w:rFonts w:hint="eastAsia" w:ascii="仿宋_GB2312" w:hAnsi="仿宋_GB2312" w:eastAsia="仿宋_GB2312" w:cs="仿宋_GB2312"/>
                <w:i w:val="0"/>
                <w:iCs w:val="0"/>
                <w:color w:val="auto"/>
                <w:sz w:val="24"/>
                <w:szCs w:val="24"/>
                <w:highlight w:val="none"/>
                <w:u w:val="none"/>
              </w:rPr>
            </w:pPr>
          </w:p>
        </w:tc>
        <w:tc>
          <w:tcPr>
            <w:tcW w:w="823" w:type="pct"/>
            <w:tcBorders>
              <w:top w:val="single" w:color="000000" w:sz="4" w:space="0"/>
              <w:left w:val="single" w:color="000000" w:sz="4" w:space="0"/>
              <w:bottom w:val="single" w:color="000000" w:sz="4" w:space="0"/>
              <w:right w:val="single" w:color="000000" w:sz="4" w:space="0"/>
            </w:tcBorders>
            <w:noWrap/>
            <w:vAlign w:val="center"/>
          </w:tcPr>
          <w:p w14:paraId="728FBE83">
            <w:pPr>
              <w:jc w:val="center"/>
              <w:rPr>
                <w:rFonts w:hint="eastAsia" w:ascii="仿宋_GB2312" w:hAnsi="仿宋_GB2312" w:eastAsia="仿宋_GB2312" w:cs="仿宋_GB2312"/>
                <w:i w:val="0"/>
                <w:iCs w:val="0"/>
                <w:color w:val="auto"/>
                <w:sz w:val="24"/>
                <w:szCs w:val="24"/>
                <w:highlight w:val="none"/>
                <w:u w:val="none"/>
              </w:rPr>
            </w:pPr>
          </w:p>
        </w:tc>
        <w:tc>
          <w:tcPr>
            <w:tcW w:w="700" w:type="pct"/>
            <w:tcBorders>
              <w:top w:val="single" w:color="000000" w:sz="4" w:space="0"/>
              <w:left w:val="single" w:color="000000" w:sz="4" w:space="0"/>
              <w:bottom w:val="single" w:color="000000" w:sz="4" w:space="0"/>
              <w:right w:val="single" w:color="000000" w:sz="4" w:space="0"/>
            </w:tcBorders>
            <w:noWrap/>
            <w:vAlign w:val="center"/>
          </w:tcPr>
          <w:p w14:paraId="2714D332">
            <w:pPr>
              <w:jc w:val="center"/>
              <w:rPr>
                <w:rFonts w:hint="eastAsia" w:ascii="仿宋_GB2312" w:hAnsi="仿宋_GB2312" w:eastAsia="仿宋_GB2312" w:cs="仿宋_GB2312"/>
                <w:i w:val="0"/>
                <w:iCs w:val="0"/>
                <w:color w:val="auto"/>
                <w:sz w:val="24"/>
                <w:szCs w:val="24"/>
                <w:highlight w:val="none"/>
                <w:u w:val="none"/>
              </w:rPr>
            </w:pPr>
          </w:p>
        </w:tc>
        <w:tc>
          <w:tcPr>
            <w:tcW w:w="716" w:type="pct"/>
            <w:tcBorders>
              <w:top w:val="single" w:color="000000" w:sz="4" w:space="0"/>
              <w:left w:val="single" w:color="000000" w:sz="4" w:space="0"/>
              <w:bottom w:val="single" w:color="000000" w:sz="4" w:space="0"/>
              <w:right w:val="single" w:color="000000" w:sz="4" w:space="0"/>
            </w:tcBorders>
            <w:noWrap/>
            <w:vAlign w:val="center"/>
          </w:tcPr>
          <w:p w14:paraId="52F4839D">
            <w:pPr>
              <w:jc w:val="center"/>
              <w:rPr>
                <w:rFonts w:hint="eastAsia" w:ascii="仿宋_GB2312" w:hAnsi="仿宋_GB2312" w:eastAsia="仿宋_GB2312" w:cs="仿宋_GB2312"/>
                <w:i w:val="0"/>
                <w:iCs w:val="0"/>
                <w:color w:val="auto"/>
                <w:sz w:val="24"/>
                <w:szCs w:val="24"/>
                <w:highlight w:val="none"/>
                <w:u w:val="none"/>
              </w:rPr>
            </w:pPr>
          </w:p>
        </w:tc>
        <w:tc>
          <w:tcPr>
            <w:tcW w:w="711" w:type="pct"/>
            <w:tcBorders>
              <w:top w:val="single" w:color="000000" w:sz="4" w:space="0"/>
              <w:left w:val="single" w:color="000000" w:sz="4" w:space="0"/>
              <w:bottom w:val="single" w:color="000000" w:sz="4" w:space="0"/>
              <w:right w:val="single" w:color="000000" w:sz="4" w:space="0"/>
            </w:tcBorders>
            <w:noWrap/>
            <w:vAlign w:val="center"/>
          </w:tcPr>
          <w:p w14:paraId="5B6F2D95">
            <w:pPr>
              <w:jc w:val="center"/>
              <w:rPr>
                <w:rFonts w:hint="eastAsia" w:ascii="仿宋_GB2312" w:hAnsi="仿宋_GB2312" w:eastAsia="仿宋_GB2312" w:cs="仿宋_GB2312"/>
                <w:i w:val="0"/>
                <w:iCs w:val="0"/>
                <w:color w:val="auto"/>
                <w:sz w:val="24"/>
                <w:szCs w:val="24"/>
                <w:highlight w:val="none"/>
                <w:u w:val="none"/>
              </w:rPr>
            </w:pPr>
          </w:p>
        </w:tc>
      </w:tr>
      <w:tr w14:paraId="2DAE2D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8" w:hRule="atLeast"/>
          <w:jc w:val="center"/>
        </w:trPr>
        <w:tc>
          <w:tcPr>
            <w:tcW w:w="438" w:type="pct"/>
            <w:tcBorders>
              <w:top w:val="single" w:color="000000" w:sz="4" w:space="0"/>
              <w:left w:val="single" w:color="000000" w:sz="4" w:space="0"/>
              <w:bottom w:val="single" w:color="000000" w:sz="4" w:space="0"/>
              <w:right w:val="single" w:color="000000" w:sz="4" w:space="0"/>
            </w:tcBorders>
            <w:noWrap/>
            <w:vAlign w:val="center"/>
          </w:tcPr>
          <w:p w14:paraId="41D4F27B">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6</w:t>
            </w:r>
          </w:p>
        </w:tc>
        <w:tc>
          <w:tcPr>
            <w:tcW w:w="932" w:type="pct"/>
            <w:tcBorders>
              <w:top w:val="single" w:color="000000" w:sz="4" w:space="0"/>
              <w:left w:val="single" w:color="000000" w:sz="4" w:space="0"/>
              <w:bottom w:val="single" w:color="000000" w:sz="4" w:space="0"/>
              <w:right w:val="single" w:color="000000" w:sz="4" w:space="0"/>
            </w:tcBorders>
            <w:noWrap/>
            <w:vAlign w:val="center"/>
          </w:tcPr>
          <w:p w14:paraId="33839BEF">
            <w:pPr>
              <w:jc w:val="center"/>
              <w:rPr>
                <w:rFonts w:hint="eastAsia" w:ascii="仿宋_GB2312" w:hAnsi="仿宋_GB2312" w:eastAsia="仿宋_GB2312" w:cs="仿宋_GB2312"/>
                <w:i w:val="0"/>
                <w:iCs w:val="0"/>
                <w:color w:val="auto"/>
                <w:sz w:val="24"/>
                <w:szCs w:val="24"/>
                <w:highlight w:val="none"/>
                <w:u w:val="none"/>
              </w:rPr>
            </w:pPr>
          </w:p>
        </w:tc>
        <w:tc>
          <w:tcPr>
            <w:tcW w:w="677" w:type="pct"/>
            <w:tcBorders>
              <w:top w:val="single" w:color="000000" w:sz="4" w:space="0"/>
              <w:left w:val="single" w:color="000000" w:sz="4" w:space="0"/>
              <w:bottom w:val="single" w:color="000000" w:sz="4" w:space="0"/>
              <w:right w:val="single" w:color="000000" w:sz="4" w:space="0"/>
            </w:tcBorders>
            <w:noWrap/>
            <w:vAlign w:val="center"/>
          </w:tcPr>
          <w:p w14:paraId="36220DDF">
            <w:pPr>
              <w:jc w:val="center"/>
              <w:rPr>
                <w:rFonts w:hint="eastAsia" w:ascii="仿宋_GB2312" w:hAnsi="仿宋_GB2312" w:eastAsia="仿宋_GB2312" w:cs="仿宋_GB2312"/>
                <w:i w:val="0"/>
                <w:iCs w:val="0"/>
                <w:color w:val="auto"/>
                <w:sz w:val="24"/>
                <w:szCs w:val="24"/>
                <w:highlight w:val="none"/>
                <w:u w:val="none"/>
              </w:rPr>
            </w:pPr>
          </w:p>
        </w:tc>
        <w:tc>
          <w:tcPr>
            <w:tcW w:w="823" w:type="pct"/>
            <w:tcBorders>
              <w:top w:val="single" w:color="000000" w:sz="4" w:space="0"/>
              <w:left w:val="single" w:color="000000" w:sz="4" w:space="0"/>
              <w:bottom w:val="single" w:color="000000" w:sz="4" w:space="0"/>
              <w:right w:val="single" w:color="000000" w:sz="4" w:space="0"/>
            </w:tcBorders>
            <w:noWrap/>
            <w:vAlign w:val="center"/>
          </w:tcPr>
          <w:p w14:paraId="7257DA68">
            <w:pPr>
              <w:jc w:val="center"/>
              <w:rPr>
                <w:rFonts w:hint="eastAsia" w:ascii="仿宋_GB2312" w:hAnsi="仿宋_GB2312" w:eastAsia="仿宋_GB2312" w:cs="仿宋_GB2312"/>
                <w:i w:val="0"/>
                <w:iCs w:val="0"/>
                <w:color w:val="auto"/>
                <w:sz w:val="24"/>
                <w:szCs w:val="24"/>
                <w:highlight w:val="none"/>
                <w:u w:val="none"/>
              </w:rPr>
            </w:pPr>
          </w:p>
        </w:tc>
        <w:tc>
          <w:tcPr>
            <w:tcW w:w="700" w:type="pct"/>
            <w:tcBorders>
              <w:top w:val="single" w:color="000000" w:sz="4" w:space="0"/>
              <w:left w:val="single" w:color="000000" w:sz="4" w:space="0"/>
              <w:bottom w:val="single" w:color="000000" w:sz="4" w:space="0"/>
              <w:right w:val="single" w:color="000000" w:sz="4" w:space="0"/>
            </w:tcBorders>
            <w:noWrap/>
            <w:vAlign w:val="center"/>
          </w:tcPr>
          <w:p w14:paraId="38C32FD3">
            <w:pPr>
              <w:jc w:val="center"/>
              <w:rPr>
                <w:rFonts w:hint="eastAsia" w:ascii="仿宋_GB2312" w:hAnsi="仿宋_GB2312" w:eastAsia="仿宋_GB2312" w:cs="仿宋_GB2312"/>
                <w:i w:val="0"/>
                <w:iCs w:val="0"/>
                <w:color w:val="auto"/>
                <w:sz w:val="24"/>
                <w:szCs w:val="24"/>
                <w:highlight w:val="none"/>
                <w:u w:val="none"/>
              </w:rPr>
            </w:pPr>
          </w:p>
        </w:tc>
        <w:tc>
          <w:tcPr>
            <w:tcW w:w="716" w:type="pct"/>
            <w:tcBorders>
              <w:top w:val="single" w:color="000000" w:sz="4" w:space="0"/>
              <w:left w:val="single" w:color="000000" w:sz="4" w:space="0"/>
              <w:bottom w:val="single" w:color="000000" w:sz="4" w:space="0"/>
              <w:right w:val="single" w:color="000000" w:sz="4" w:space="0"/>
            </w:tcBorders>
            <w:noWrap/>
            <w:vAlign w:val="center"/>
          </w:tcPr>
          <w:p w14:paraId="5B1BCB79">
            <w:pPr>
              <w:jc w:val="center"/>
              <w:rPr>
                <w:rFonts w:hint="eastAsia" w:ascii="仿宋_GB2312" w:hAnsi="仿宋_GB2312" w:eastAsia="仿宋_GB2312" w:cs="仿宋_GB2312"/>
                <w:i w:val="0"/>
                <w:iCs w:val="0"/>
                <w:color w:val="auto"/>
                <w:sz w:val="24"/>
                <w:szCs w:val="24"/>
                <w:highlight w:val="none"/>
                <w:u w:val="none"/>
              </w:rPr>
            </w:pPr>
          </w:p>
        </w:tc>
        <w:tc>
          <w:tcPr>
            <w:tcW w:w="711" w:type="pct"/>
            <w:tcBorders>
              <w:top w:val="single" w:color="000000" w:sz="4" w:space="0"/>
              <w:left w:val="single" w:color="000000" w:sz="4" w:space="0"/>
              <w:bottom w:val="single" w:color="000000" w:sz="4" w:space="0"/>
              <w:right w:val="single" w:color="000000" w:sz="4" w:space="0"/>
            </w:tcBorders>
            <w:noWrap/>
            <w:vAlign w:val="center"/>
          </w:tcPr>
          <w:p w14:paraId="422C5570">
            <w:pPr>
              <w:jc w:val="center"/>
              <w:rPr>
                <w:rFonts w:hint="eastAsia" w:ascii="仿宋_GB2312" w:hAnsi="仿宋_GB2312" w:eastAsia="仿宋_GB2312" w:cs="仿宋_GB2312"/>
                <w:i w:val="0"/>
                <w:iCs w:val="0"/>
                <w:color w:val="auto"/>
                <w:sz w:val="24"/>
                <w:szCs w:val="24"/>
                <w:highlight w:val="none"/>
                <w:u w:val="none"/>
              </w:rPr>
            </w:pPr>
          </w:p>
        </w:tc>
      </w:tr>
      <w:tr w14:paraId="45DF5B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8" w:hRule="atLeast"/>
          <w:jc w:val="center"/>
        </w:trPr>
        <w:tc>
          <w:tcPr>
            <w:tcW w:w="438" w:type="pct"/>
            <w:tcBorders>
              <w:top w:val="single" w:color="000000" w:sz="4" w:space="0"/>
              <w:left w:val="single" w:color="000000" w:sz="4" w:space="0"/>
              <w:bottom w:val="single" w:color="000000" w:sz="4" w:space="0"/>
              <w:right w:val="single" w:color="000000" w:sz="4" w:space="0"/>
            </w:tcBorders>
            <w:noWrap/>
            <w:vAlign w:val="center"/>
          </w:tcPr>
          <w:p w14:paraId="010A383D">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7</w:t>
            </w:r>
          </w:p>
        </w:tc>
        <w:tc>
          <w:tcPr>
            <w:tcW w:w="932" w:type="pct"/>
            <w:tcBorders>
              <w:top w:val="single" w:color="000000" w:sz="4" w:space="0"/>
              <w:left w:val="single" w:color="000000" w:sz="4" w:space="0"/>
              <w:bottom w:val="single" w:color="000000" w:sz="4" w:space="0"/>
              <w:right w:val="single" w:color="000000" w:sz="4" w:space="0"/>
            </w:tcBorders>
            <w:noWrap/>
            <w:vAlign w:val="center"/>
          </w:tcPr>
          <w:p w14:paraId="51A16BFD">
            <w:pPr>
              <w:jc w:val="center"/>
              <w:rPr>
                <w:rFonts w:hint="eastAsia" w:ascii="仿宋_GB2312" w:hAnsi="仿宋_GB2312" w:eastAsia="仿宋_GB2312" w:cs="仿宋_GB2312"/>
                <w:i w:val="0"/>
                <w:iCs w:val="0"/>
                <w:color w:val="auto"/>
                <w:sz w:val="24"/>
                <w:szCs w:val="24"/>
                <w:highlight w:val="none"/>
                <w:u w:val="none"/>
              </w:rPr>
            </w:pPr>
          </w:p>
        </w:tc>
        <w:tc>
          <w:tcPr>
            <w:tcW w:w="677" w:type="pct"/>
            <w:tcBorders>
              <w:top w:val="single" w:color="000000" w:sz="4" w:space="0"/>
              <w:left w:val="single" w:color="000000" w:sz="4" w:space="0"/>
              <w:bottom w:val="single" w:color="000000" w:sz="4" w:space="0"/>
              <w:right w:val="single" w:color="000000" w:sz="4" w:space="0"/>
            </w:tcBorders>
            <w:noWrap/>
            <w:vAlign w:val="center"/>
          </w:tcPr>
          <w:p w14:paraId="15F49056">
            <w:pPr>
              <w:jc w:val="center"/>
              <w:rPr>
                <w:rFonts w:hint="eastAsia" w:ascii="仿宋_GB2312" w:hAnsi="仿宋_GB2312" w:eastAsia="仿宋_GB2312" w:cs="仿宋_GB2312"/>
                <w:i w:val="0"/>
                <w:iCs w:val="0"/>
                <w:color w:val="auto"/>
                <w:sz w:val="24"/>
                <w:szCs w:val="24"/>
                <w:highlight w:val="none"/>
                <w:u w:val="none"/>
              </w:rPr>
            </w:pPr>
          </w:p>
        </w:tc>
        <w:tc>
          <w:tcPr>
            <w:tcW w:w="823" w:type="pct"/>
            <w:tcBorders>
              <w:top w:val="single" w:color="000000" w:sz="4" w:space="0"/>
              <w:left w:val="single" w:color="000000" w:sz="4" w:space="0"/>
              <w:bottom w:val="single" w:color="000000" w:sz="4" w:space="0"/>
              <w:right w:val="single" w:color="000000" w:sz="4" w:space="0"/>
            </w:tcBorders>
            <w:noWrap/>
            <w:vAlign w:val="center"/>
          </w:tcPr>
          <w:p w14:paraId="713FE13E">
            <w:pPr>
              <w:jc w:val="center"/>
              <w:rPr>
                <w:rFonts w:hint="eastAsia" w:ascii="仿宋_GB2312" w:hAnsi="仿宋_GB2312" w:eastAsia="仿宋_GB2312" w:cs="仿宋_GB2312"/>
                <w:i w:val="0"/>
                <w:iCs w:val="0"/>
                <w:color w:val="auto"/>
                <w:sz w:val="24"/>
                <w:szCs w:val="24"/>
                <w:highlight w:val="none"/>
                <w:u w:val="none"/>
              </w:rPr>
            </w:pPr>
          </w:p>
        </w:tc>
        <w:tc>
          <w:tcPr>
            <w:tcW w:w="700" w:type="pct"/>
            <w:tcBorders>
              <w:top w:val="single" w:color="000000" w:sz="4" w:space="0"/>
              <w:left w:val="single" w:color="000000" w:sz="4" w:space="0"/>
              <w:bottom w:val="single" w:color="000000" w:sz="4" w:space="0"/>
              <w:right w:val="single" w:color="000000" w:sz="4" w:space="0"/>
            </w:tcBorders>
            <w:noWrap/>
            <w:vAlign w:val="center"/>
          </w:tcPr>
          <w:p w14:paraId="1DCD5E52">
            <w:pPr>
              <w:jc w:val="center"/>
              <w:rPr>
                <w:rFonts w:hint="eastAsia" w:ascii="仿宋_GB2312" w:hAnsi="仿宋_GB2312" w:eastAsia="仿宋_GB2312" w:cs="仿宋_GB2312"/>
                <w:i w:val="0"/>
                <w:iCs w:val="0"/>
                <w:color w:val="auto"/>
                <w:sz w:val="24"/>
                <w:szCs w:val="24"/>
                <w:highlight w:val="none"/>
                <w:u w:val="none"/>
              </w:rPr>
            </w:pPr>
          </w:p>
        </w:tc>
        <w:tc>
          <w:tcPr>
            <w:tcW w:w="716" w:type="pct"/>
            <w:tcBorders>
              <w:top w:val="single" w:color="000000" w:sz="4" w:space="0"/>
              <w:left w:val="single" w:color="000000" w:sz="4" w:space="0"/>
              <w:bottom w:val="single" w:color="000000" w:sz="4" w:space="0"/>
              <w:right w:val="single" w:color="000000" w:sz="4" w:space="0"/>
            </w:tcBorders>
            <w:noWrap/>
            <w:vAlign w:val="center"/>
          </w:tcPr>
          <w:p w14:paraId="6A489BF4">
            <w:pPr>
              <w:jc w:val="center"/>
              <w:rPr>
                <w:rFonts w:hint="eastAsia" w:ascii="仿宋_GB2312" w:hAnsi="仿宋_GB2312" w:eastAsia="仿宋_GB2312" w:cs="仿宋_GB2312"/>
                <w:i w:val="0"/>
                <w:iCs w:val="0"/>
                <w:color w:val="auto"/>
                <w:sz w:val="24"/>
                <w:szCs w:val="24"/>
                <w:highlight w:val="none"/>
                <w:u w:val="none"/>
              </w:rPr>
            </w:pPr>
          </w:p>
        </w:tc>
        <w:tc>
          <w:tcPr>
            <w:tcW w:w="711" w:type="pct"/>
            <w:tcBorders>
              <w:top w:val="single" w:color="000000" w:sz="4" w:space="0"/>
              <w:left w:val="single" w:color="000000" w:sz="4" w:space="0"/>
              <w:bottom w:val="single" w:color="000000" w:sz="4" w:space="0"/>
              <w:right w:val="single" w:color="000000" w:sz="4" w:space="0"/>
            </w:tcBorders>
            <w:noWrap/>
            <w:vAlign w:val="center"/>
          </w:tcPr>
          <w:p w14:paraId="6E3197AE">
            <w:pPr>
              <w:jc w:val="center"/>
              <w:rPr>
                <w:rFonts w:hint="eastAsia" w:ascii="仿宋_GB2312" w:hAnsi="仿宋_GB2312" w:eastAsia="仿宋_GB2312" w:cs="仿宋_GB2312"/>
                <w:i w:val="0"/>
                <w:iCs w:val="0"/>
                <w:color w:val="auto"/>
                <w:sz w:val="24"/>
                <w:szCs w:val="24"/>
                <w:highlight w:val="none"/>
                <w:u w:val="none"/>
              </w:rPr>
            </w:pPr>
          </w:p>
        </w:tc>
      </w:tr>
      <w:tr w14:paraId="3828E5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8" w:hRule="atLeast"/>
          <w:jc w:val="center"/>
        </w:trPr>
        <w:tc>
          <w:tcPr>
            <w:tcW w:w="438" w:type="pct"/>
            <w:tcBorders>
              <w:top w:val="single" w:color="000000" w:sz="4" w:space="0"/>
              <w:left w:val="single" w:color="000000" w:sz="4" w:space="0"/>
              <w:bottom w:val="single" w:color="000000" w:sz="4" w:space="0"/>
              <w:right w:val="single" w:color="000000" w:sz="4" w:space="0"/>
            </w:tcBorders>
            <w:noWrap/>
            <w:vAlign w:val="center"/>
          </w:tcPr>
          <w:p w14:paraId="686A0699">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8</w:t>
            </w:r>
          </w:p>
        </w:tc>
        <w:tc>
          <w:tcPr>
            <w:tcW w:w="932" w:type="pct"/>
            <w:tcBorders>
              <w:top w:val="single" w:color="000000" w:sz="4" w:space="0"/>
              <w:left w:val="single" w:color="000000" w:sz="4" w:space="0"/>
              <w:bottom w:val="single" w:color="000000" w:sz="4" w:space="0"/>
              <w:right w:val="single" w:color="000000" w:sz="4" w:space="0"/>
            </w:tcBorders>
            <w:noWrap/>
            <w:vAlign w:val="center"/>
          </w:tcPr>
          <w:p w14:paraId="4B9F6296">
            <w:pPr>
              <w:jc w:val="center"/>
              <w:rPr>
                <w:rFonts w:hint="eastAsia" w:ascii="仿宋_GB2312" w:hAnsi="仿宋_GB2312" w:eastAsia="仿宋_GB2312" w:cs="仿宋_GB2312"/>
                <w:i w:val="0"/>
                <w:iCs w:val="0"/>
                <w:color w:val="auto"/>
                <w:sz w:val="24"/>
                <w:szCs w:val="24"/>
                <w:highlight w:val="none"/>
                <w:u w:val="none"/>
              </w:rPr>
            </w:pPr>
          </w:p>
        </w:tc>
        <w:tc>
          <w:tcPr>
            <w:tcW w:w="677" w:type="pct"/>
            <w:tcBorders>
              <w:top w:val="single" w:color="000000" w:sz="4" w:space="0"/>
              <w:left w:val="single" w:color="000000" w:sz="4" w:space="0"/>
              <w:bottom w:val="single" w:color="000000" w:sz="4" w:space="0"/>
              <w:right w:val="single" w:color="000000" w:sz="4" w:space="0"/>
            </w:tcBorders>
            <w:noWrap/>
            <w:vAlign w:val="center"/>
          </w:tcPr>
          <w:p w14:paraId="11A435CD">
            <w:pPr>
              <w:jc w:val="center"/>
              <w:rPr>
                <w:rFonts w:hint="eastAsia" w:ascii="仿宋_GB2312" w:hAnsi="仿宋_GB2312" w:eastAsia="仿宋_GB2312" w:cs="仿宋_GB2312"/>
                <w:i w:val="0"/>
                <w:iCs w:val="0"/>
                <w:color w:val="auto"/>
                <w:sz w:val="24"/>
                <w:szCs w:val="24"/>
                <w:highlight w:val="none"/>
                <w:u w:val="none"/>
              </w:rPr>
            </w:pPr>
          </w:p>
        </w:tc>
        <w:tc>
          <w:tcPr>
            <w:tcW w:w="823" w:type="pct"/>
            <w:tcBorders>
              <w:top w:val="single" w:color="000000" w:sz="4" w:space="0"/>
              <w:left w:val="single" w:color="000000" w:sz="4" w:space="0"/>
              <w:bottom w:val="single" w:color="000000" w:sz="4" w:space="0"/>
              <w:right w:val="single" w:color="000000" w:sz="4" w:space="0"/>
            </w:tcBorders>
            <w:noWrap/>
            <w:vAlign w:val="center"/>
          </w:tcPr>
          <w:p w14:paraId="5C0E8998">
            <w:pPr>
              <w:jc w:val="center"/>
              <w:rPr>
                <w:rFonts w:hint="eastAsia" w:ascii="仿宋_GB2312" w:hAnsi="仿宋_GB2312" w:eastAsia="仿宋_GB2312" w:cs="仿宋_GB2312"/>
                <w:i w:val="0"/>
                <w:iCs w:val="0"/>
                <w:color w:val="auto"/>
                <w:sz w:val="24"/>
                <w:szCs w:val="24"/>
                <w:highlight w:val="none"/>
                <w:u w:val="none"/>
              </w:rPr>
            </w:pPr>
          </w:p>
        </w:tc>
        <w:tc>
          <w:tcPr>
            <w:tcW w:w="700" w:type="pct"/>
            <w:tcBorders>
              <w:top w:val="single" w:color="000000" w:sz="4" w:space="0"/>
              <w:left w:val="single" w:color="000000" w:sz="4" w:space="0"/>
              <w:bottom w:val="single" w:color="000000" w:sz="4" w:space="0"/>
              <w:right w:val="single" w:color="000000" w:sz="4" w:space="0"/>
            </w:tcBorders>
            <w:noWrap/>
            <w:vAlign w:val="center"/>
          </w:tcPr>
          <w:p w14:paraId="21EB1AD7">
            <w:pPr>
              <w:jc w:val="center"/>
              <w:rPr>
                <w:rFonts w:hint="eastAsia" w:ascii="仿宋_GB2312" w:hAnsi="仿宋_GB2312" w:eastAsia="仿宋_GB2312" w:cs="仿宋_GB2312"/>
                <w:i w:val="0"/>
                <w:iCs w:val="0"/>
                <w:color w:val="auto"/>
                <w:sz w:val="24"/>
                <w:szCs w:val="24"/>
                <w:highlight w:val="none"/>
                <w:u w:val="none"/>
              </w:rPr>
            </w:pPr>
          </w:p>
        </w:tc>
        <w:tc>
          <w:tcPr>
            <w:tcW w:w="716" w:type="pct"/>
            <w:tcBorders>
              <w:top w:val="single" w:color="000000" w:sz="4" w:space="0"/>
              <w:left w:val="single" w:color="000000" w:sz="4" w:space="0"/>
              <w:bottom w:val="single" w:color="000000" w:sz="4" w:space="0"/>
              <w:right w:val="single" w:color="000000" w:sz="4" w:space="0"/>
            </w:tcBorders>
            <w:noWrap/>
            <w:vAlign w:val="center"/>
          </w:tcPr>
          <w:p w14:paraId="0270DB05">
            <w:pPr>
              <w:jc w:val="center"/>
              <w:rPr>
                <w:rFonts w:hint="eastAsia" w:ascii="仿宋_GB2312" w:hAnsi="仿宋_GB2312" w:eastAsia="仿宋_GB2312" w:cs="仿宋_GB2312"/>
                <w:i w:val="0"/>
                <w:iCs w:val="0"/>
                <w:color w:val="auto"/>
                <w:sz w:val="24"/>
                <w:szCs w:val="24"/>
                <w:highlight w:val="none"/>
                <w:u w:val="none"/>
              </w:rPr>
            </w:pPr>
          </w:p>
        </w:tc>
        <w:tc>
          <w:tcPr>
            <w:tcW w:w="711" w:type="pct"/>
            <w:tcBorders>
              <w:top w:val="single" w:color="000000" w:sz="4" w:space="0"/>
              <w:left w:val="single" w:color="000000" w:sz="4" w:space="0"/>
              <w:bottom w:val="single" w:color="000000" w:sz="4" w:space="0"/>
              <w:right w:val="single" w:color="000000" w:sz="4" w:space="0"/>
            </w:tcBorders>
            <w:noWrap/>
            <w:vAlign w:val="center"/>
          </w:tcPr>
          <w:p w14:paraId="111455C8">
            <w:pPr>
              <w:jc w:val="center"/>
              <w:rPr>
                <w:rFonts w:hint="eastAsia" w:ascii="仿宋_GB2312" w:hAnsi="仿宋_GB2312" w:eastAsia="仿宋_GB2312" w:cs="仿宋_GB2312"/>
                <w:i w:val="0"/>
                <w:iCs w:val="0"/>
                <w:color w:val="auto"/>
                <w:sz w:val="24"/>
                <w:szCs w:val="24"/>
                <w:highlight w:val="none"/>
                <w:u w:val="none"/>
              </w:rPr>
            </w:pPr>
          </w:p>
        </w:tc>
      </w:tr>
      <w:tr w14:paraId="5E71A6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8" w:hRule="atLeast"/>
          <w:jc w:val="center"/>
        </w:trPr>
        <w:tc>
          <w:tcPr>
            <w:tcW w:w="438" w:type="pct"/>
            <w:tcBorders>
              <w:top w:val="single" w:color="000000" w:sz="4" w:space="0"/>
              <w:left w:val="single" w:color="000000" w:sz="4" w:space="0"/>
              <w:bottom w:val="single" w:color="000000" w:sz="4" w:space="0"/>
              <w:right w:val="single" w:color="000000" w:sz="4" w:space="0"/>
            </w:tcBorders>
            <w:noWrap/>
            <w:vAlign w:val="center"/>
          </w:tcPr>
          <w:p w14:paraId="03E07CF2">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9</w:t>
            </w:r>
          </w:p>
        </w:tc>
        <w:tc>
          <w:tcPr>
            <w:tcW w:w="932" w:type="pct"/>
            <w:tcBorders>
              <w:top w:val="single" w:color="000000" w:sz="4" w:space="0"/>
              <w:left w:val="single" w:color="000000" w:sz="4" w:space="0"/>
              <w:bottom w:val="single" w:color="000000" w:sz="4" w:space="0"/>
              <w:right w:val="single" w:color="000000" w:sz="4" w:space="0"/>
            </w:tcBorders>
            <w:noWrap/>
            <w:vAlign w:val="center"/>
          </w:tcPr>
          <w:p w14:paraId="5DBDCAE3">
            <w:pPr>
              <w:jc w:val="center"/>
              <w:rPr>
                <w:rFonts w:hint="eastAsia" w:ascii="仿宋_GB2312" w:hAnsi="仿宋_GB2312" w:eastAsia="仿宋_GB2312" w:cs="仿宋_GB2312"/>
                <w:i w:val="0"/>
                <w:iCs w:val="0"/>
                <w:color w:val="auto"/>
                <w:sz w:val="24"/>
                <w:szCs w:val="24"/>
                <w:highlight w:val="none"/>
                <w:u w:val="none"/>
              </w:rPr>
            </w:pPr>
          </w:p>
        </w:tc>
        <w:tc>
          <w:tcPr>
            <w:tcW w:w="677" w:type="pct"/>
            <w:tcBorders>
              <w:top w:val="single" w:color="000000" w:sz="4" w:space="0"/>
              <w:left w:val="single" w:color="000000" w:sz="4" w:space="0"/>
              <w:bottom w:val="single" w:color="000000" w:sz="4" w:space="0"/>
              <w:right w:val="single" w:color="000000" w:sz="4" w:space="0"/>
            </w:tcBorders>
            <w:noWrap/>
            <w:vAlign w:val="center"/>
          </w:tcPr>
          <w:p w14:paraId="0B2ABF1C">
            <w:pPr>
              <w:jc w:val="center"/>
              <w:rPr>
                <w:rFonts w:hint="eastAsia" w:ascii="仿宋_GB2312" w:hAnsi="仿宋_GB2312" w:eastAsia="仿宋_GB2312" w:cs="仿宋_GB2312"/>
                <w:i w:val="0"/>
                <w:iCs w:val="0"/>
                <w:color w:val="auto"/>
                <w:sz w:val="24"/>
                <w:szCs w:val="24"/>
                <w:highlight w:val="none"/>
                <w:u w:val="none"/>
              </w:rPr>
            </w:pPr>
          </w:p>
        </w:tc>
        <w:tc>
          <w:tcPr>
            <w:tcW w:w="823" w:type="pct"/>
            <w:tcBorders>
              <w:top w:val="single" w:color="000000" w:sz="4" w:space="0"/>
              <w:left w:val="single" w:color="000000" w:sz="4" w:space="0"/>
              <w:bottom w:val="single" w:color="000000" w:sz="4" w:space="0"/>
              <w:right w:val="single" w:color="000000" w:sz="4" w:space="0"/>
            </w:tcBorders>
            <w:noWrap/>
            <w:vAlign w:val="center"/>
          </w:tcPr>
          <w:p w14:paraId="0D9FD469">
            <w:pPr>
              <w:jc w:val="center"/>
              <w:rPr>
                <w:rFonts w:hint="eastAsia" w:ascii="仿宋_GB2312" w:hAnsi="仿宋_GB2312" w:eastAsia="仿宋_GB2312" w:cs="仿宋_GB2312"/>
                <w:i w:val="0"/>
                <w:iCs w:val="0"/>
                <w:color w:val="auto"/>
                <w:sz w:val="24"/>
                <w:szCs w:val="24"/>
                <w:highlight w:val="none"/>
                <w:u w:val="none"/>
              </w:rPr>
            </w:pPr>
          </w:p>
        </w:tc>
        <w:tc>
          <w:tcPr>
            <w:tcW w:w="700" w:type="pct"/>
            <w:tcBorders>
              <w:top w:val="single" w:color="000000" w:sz="4" w:space="0"/>
              <w:left w:val="single" w:color="000000" w:sz="4" w:space="0"/>
              <w:bottom w:val="single" w:color="000000" w:sz="4" w:space="0"/>
              <w:right w:val="single" w:color="000000" w:sz="4" w:space="0"/>
            </w:tcBorders>
            <w:noWrap/>
            <w:vAlign w:val="center"/>
          </w:tcPr>
          <w:p w14:paraId="076A0D42">
            <w:pPr>
              <w:jc w:val="center"/>
              <w:rPr>
                <w:rFonts w:hint="eastAsia" w:ascii="仿宋_GB2312" w:hAnsi="仿宋_GB2312" w:eastAsia="仿宋_GB2312" w:cs="仿宋_GB2312"/>
                <w:i w:val="0"/>
                <w:iCs w:val="0"/>
                <w:color w:val="auto"/>
                <w:sz w:val="24"/>
                <w:szCs w:val="24"/>
                <w:highlight w:val="none"/>
                <w:u w:val="none"/>
              </w:rPr>
            </w:pPr>
          </w:p>
        </w:tc>
        <w:tc>
          <w:tcPr>
            <w:tcW w:w="716" w:type="pct"/>
            <w:tcBorders>
              <w:top w:val="single" w:color="000000" w:sz="4" w:space="0"/>
              <w:left w:val="single" w:color="000000" w:sz="4" w:space="0"/>
              <w:bottom w:val="single" w:color="000000" w:sz="4" w:space="0"/>
              <w:right w:val="single" w:color="000000" w:sz="4" w:space="0"/>
            </w:tcBorders>
            <w:noWrap/>
            <w:vAlign w:val="center"/>
          </w:tcPr>
          <w:p w14:paraId="51D3BAA7">
            <w:pPr>
              <w:jc w:val="center"/>
              <w:rPr>
                <w:rFonts w:hint="eastAsia" w:ascii="仿宋_GB2312" w:hAnsi="仿宋_GB2312" w:eastAsia="仿宋_GB2312" w:cs="仿宋_GB2312"/>
                <w:i w:val="0"/>
                <w:iCs w:val="0"/>
                <w:color w:val="auto"/>
                <w:sz w:val="24"/>
                <w:szCs w:val="24"/>
                <w:highlight w:val="none"/>
                <w:u w:val="none"/>
              </w:rPr>
            </w:pPr>
          </w:p>
        </w:tc>
        <w:tc>
          <w:tcPr>
            <w:tcW w:w="711" w:type="pct"/>
            <w:tcBorders>
              <w:top w:val="single" w:color="000000" w:sz="4" w:space="0"/>
              <w:left w:val="single" w:color="000000" w:sz="4" w:space="0"/>
              <w:bottom w:val="single" w:color="000000" w:sz="4" w:space="0"/>
              <w:right w:val="single" w:color="000000" w:sz="4" w:space="0"/>
            </w:tcBorders>
            <w:noWrap/>
            <w:vAlign w:val="center"/>
          </w:tcPr>
          <w:p w14:paraId="066F9AA5">
            <w:pPr>
              <w:jc w:val="center"/>
              <w:rPr>
                <w:rFonts w:hint="eastAsia" w:ascii="仿宋_GB2312" w:hAnsi="仿宋_GB2312" w:eastAsia="仿宋_GB2312" w:cs="仿宋_GB2312"/>
                <w:i w:val="0"/>
                <w:iCs w:val="0"/>
                <w:color w:val="auto"/>
                <w:sz w:val="24"/>
                <w:szCs w:val="24"/>
                <w:highlight w:val="none"/>
                <w:u w:val="none"/>
              </w:rPr>
            </w:pPr>
          </w:p>
        </w:tc>
      </w:tr>
      <w:tr w14:paraId="2B5FC9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8" w:hRule="atLeast"/>
          <w:jc w:val="center"/>
        </w:trPr>
        <w:tc>
          <w:tcPr>
            <w:tcW w:w="438" w:type="pct"/>
            <w:tcBorders>
              <w:top w:val="single" w:color="000000" w:sz="4" w:space="0"/>
              <w:left w:val="single" w:color="000000" w:sz="4" w:space="0"/>
              <w:bottom w:val="single" w:color="000000" w:sz="4" w:space="0"/>
              <w:right w:val="single" w:color="000000" w:sz="4" w:space="0"/>
            </w:tcBorders>
            <w:noWrap/>
            <w:vAlign w:val="center"/>
          </w:tcPr>
          <w:p w14:paraId="79EF2E5F">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10</w:t>
            </w:r>
          </w:p>
        </w:tc>
        <w:tc>
          <w:tcPr>
            <w:tcW w:w="932" w:type="pct"/>
            <w:tcBorders>
              <w:top w:val="single" w:color="000000" w:sz="4" w:space="0"/>
              <w:left w:val="single" w:color="000000" w:sz="4" w:space="0"/>
              <w:bottom w:val="single" w:color="000000" w:sz="4" w:space="0"/>
              <w:right w:val="single" w:color="000000" w:sz="4" w:space="0"/>
            </w:tcBorders>
            <w:noWrap/>
            <w:vAlign w:val="center"/>
          </w:tcPr>
          <w:p w14:paraId="6164B718">
            <w:pPr>
              <w:jc w:val="center"/>
              <w:rPr>
                <w:rFonts w:hint="eastAsia" w:ascii="仿宋_GB2312" w:hAnsi="仿宋_GB2312" w:eastAsia="仿宋_GB2312" w:cs="仿宋_GB2312"/>
                <w:i w:val="0"/>
                <w:iCs w:val="0"/>
                <w:color w:val="auto"/>
                <w:sz w:val="24"/>
                <w:szCs w:val="24"/>
                <w:highlight w:val="none"/>
                <w:u w:val="none"/>
              </w:rPr>
            </w:pPr>
          </w:p>
        </w:tc>
        <w:tc>
          <w:tcPr>
            <w:tcW w:w="677" w:type="pct"/>
            <w:tcBorders>
              <w:top w:val="single" w:color="000000" w:sz="4" w:space="0"/>
              <w:left w:val="single" w:color="000000" w:sz="4" w:space="0"/>
              <w:bottom w:val="single" w:color="000000" w:sz="4" w:space="0"/>
              <w:right w:val="single" w:color="000000" w:sz="4" w:space="0"/>
            </w:tcBorders>
            <w:noWrap/>
            <w:vAlign w:val="center"/>
          </w:tcPr>
          <w:p w14:paraId="228C9D32">
            <w:pPr>
              <w:jc w:val="center"/>
              <w:rPr>
                <w:rFonts w:hint="eastAsia" w:ascii="仿宋_GB2312" w:hAnsi="仿宋_GB2312" w:eastAsia="仿宋_GB2312" w:cs="仿宋_GB2312"/>
                <w:i w:val="0"/>
                <w:iCs w:val="0"/>
                <w:color w:val="auto"/>
                <w:sz w:val="24"/>
                <w:szCs w:val="24"/>
                <w:highlight w:val="none"/>
                <w:u w:val="none"/>
              </w:rPr>
            </w:pPr>
          </w:p>
        </w:tc>
        <w:tc>
          <w:tcPr>
            <w:tcW w:w="823" w:type="pct"/>
            <w:tcBorders>
              <w:top w:val="single" w:color="000000" w:sz="4" w:space="0"/>
              <w:left w:val="single" w:color="000000" w:sz="4" w:space="0"/>
              <w:bottom w:val="single" w:color="000000" w:sz="4" w:space="0"/>
              <w:right w:val="single" w:color="000000" w:sz="4" w:space="0"/>
            </w:tcBorders>
            <w:noWrap/>
            <w:vAlign w:val="center"/>
          </w:tcPr>
          <w:p w14:paraId="0B27EB71">
            <w:pPr>
              <w:jc w:val="center"/>
              <w:rPr>
                <w:rFonts w:hint="eastAsia" w:ascii="仿宋_GB2312" w:hAnsi="仿宋_GB2312" w:eastAsia="仿宋_GB2312" w:cs="仿宋_GB2312"/>
                <w:i w:val="0"/>
                <w:iCs w:val="0"/>
                <w:color w:val="auto"/>
                <w:sz w:val="24"/>
                <w:szCs w:val="24"/>
                <w:highlight w:val="none"/>
                <w:u w:val="none"/>
              </w:rPr>
            </w:pPr>
          </w:p>
        </w:tc>
        <w:tc>
          <w:tcPr>
            <w:tcW w:w="700" w:type="pct"/>
            <w:tcBorders>
              <w:top w:val="single" w:color="000000" w:sz="4" w:space="0"/>
              <w:left w:val="single" w:color="000000" w:sz="4" w:space="0"/>
              <w:bottom w:val="single" w:color="000000" w:sz="4" w:space="0"/>
              <w:right w:val="single" w:color="000000" w:sz="4" w:space="0"/>
            </w:tcBorders>
            <w:noWrap/>
            <w:vAlign w:val="center"/>
          </w:tcPr>
          <w:p w14:paraId="62A58BCC">
            <w:pPr>
              <w:jc w:val="center"/>
              <w:rPr>
                <w:rFonts w:hint="eastAsia" w:ascii="仿宋_GB2312" w:hAnsi="仿宋_GB2312" w:eastAsia="仿宋_GB2312" w:cs="仿宋_GB2312"/>
                <w:i w:val="0"/>
                <w:iCs w:val="0"/>
                <w:color w:val="auto"/>
                <w:sz w:val="24"/>
                <w:szCs w:val="24"/>
                <w:highlight w:val="none"/>
                <w:u w:val="none"/>
              </w:rPr>
            </w:pPr>
          </w:p>
        </w:tc>
        <w:tc>
          <w:tcPr>
            <w:tcW w:w="716" w:type="pct"/>
            <w:tcBorders>
              <w:top w:val="single" w:color="000000" w:sz="4" w:space="0"/>
              <w:left w:val="single" w:color="000000" w:sz="4" w:space="0"/>
              <w:bottom w:val="single" w:color="000000" w:sz="4" w:space="0"/>
              <w:right w:val="single" w:color="000000" w:sz="4" w:space="0"/>
            </w:tcBorders>
            <w:noWrap/>
            <w:vAlign w:val="center"/>
          </w:tcPr>
          <w:p w14:paraId="4C8110EE">
            <w:pPr>
              <w:jc w:val="center"/>
              <w:rPr>
                <w:rFonts w:hint="eastAsia" w:ascii="仿宋_GB2312" w:hAnsi="仿宋_GB2312" w:eastAsia="仿宋_GB2312" w:cs="仿宋_GB2312"/>
                <w:i w:val="0"/>
                <w:iCs w:val="0"/>
                <w:color w:val="auto"/>
                <w:sz w:val="24"/>
                <w:szCs w:val="24"/>
                <w:highlight w:val="none"/>
                <w:u w:val="none"/>
              </w:rPr>
            </w:pPr>
          </w:p>
        </w:tc>
        <w:tc>
          <w:tcPr>
            <w:tcW w:w="711" w:type="pct"/>
            <w:tcBorders>
              <w:top w:val="single" w:color="000000" w:sz="4" w:space="0"/>
              <w:left w:val="single" w:color="000000" w:sz="4" w:space="0"/>
              <w:bottom w:val="single" w:color="000000" w:sz="4" w:space="0"/>
              <w:right w:val="single" w:color="000000" w:sz="4" w:space="0"/>
            </w:tcBorders>
            <w:noWrap/>
            <w:vAlign w:val="center"/>
          </w:tcPr>
          <w:p w14:paraId="47C9F42D">
            <w:pPr>
              <w:jc w:val="center"/>
              <w:rPr>
                <w:rFonts w:hint="eastAsia" w:ascii="仿宋_GB2312" w:hAnsi="仿宋_GB2312" w:eastAsia="仿宋_GB2312" w:cs="仿宋_GB2312"/>
                <w:i w:val="0"/>
                <w:iCs w:val="0"/>
                <w:color w:val="auto"/>
                <w:sz w:val="24"/>
                <w:szCs w:val="24"/>
                <w:highlight w:val="none"/>
                <w:u w:val="none"/>
              </w:rPr>
            </w:pPr>
          </w:p>
        </w:tc>
      </w:tr>
      <w:tr w14:paraId="0B51D3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8" w:hRule="atLeast"/>
          <w:jc w:val="center"/>
        </w:trPr>
        <w:tc>
          <w:tcPr>
            <w:tcW w:w="438" w:type="pct"/>
            <w:tcBorders>
              <w:top w:val="single" w:color="000000" w:sz="4" w:space="0"/>
              <w:left w:val="single" w:color="000000" w:sz="4" w:space="0"/>
              <w:bottom w:val="single" w:color="000000" w:sz="4" w:space="0"/>
              <w:right w:val="single" w:color="000000" w:sz="4" w:space="0"/>
            </w:tcBorders>
            <w:noWrap/>
            <w:vAlign w:val="center"/>
          </w:tcPr>
          <w:p w14:paraId="38FB5A4A">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11</w:t>
            </w:r>
          </w:p>
        </w:tc>
        <w:tc>
          <w:tcPr>
            <w:tcW w:w="932" w:type="pct"/>
            <w:tcBorders>
              <w:top w:val="single" w:color="000000" w:sz="4" w:space="0"/>
              <w:left w:val="single" w:color="000000" w:sz="4" w:space="0"/>
              <w:bottom w:val="single" w:color="000000" w:sz="4" w:space="0"/>
              <w:right w:val="single" w:color="000000" w:sz="4" w:space="0"/>
            </w:tcBorders>
            <w:noWrap/>
            <w:vAlign w:val="center"/>
          </w:tcPr>
          <w:p w14:paraId="75BBDDEE">
            <w:pPr>
              <w:jc w:val="center"/>
              <w:rPr>
                <w:rFonts w:hint="eastAsia" w:ascii="仿宋_GB2312" w:hAnsi="仿宋_GB2312" w:eastAsia="仿宋_GB2312" w:cs="仿宋_GB2312"/>
                <w:i w:val="0"/>
                <w:iCs w:val="0"/>
                <w:color w:val="auto"/>
                <w:sz w:val="24"/>
                <w:szCs w:val="24"/>
                <w:highlight w:val="none"/>
                <w:u w:val="none"/>
              </w:rPr>
            </w:pPr>
          </w:p>
        </w:tc>
        <w:tc>
          <w:tcPr>
            <w:tcW w:w="677" w:type="pct"/>
            <w:tcBorders>
              <w:top w:val="single" w:color="000000" w:sz="4" w:space="0"/>
              <w:left w:val="single" w:color="000000" w:sz="4" w:space="0"/>
              <w:bottom w:val="single" w:color="000000" w:sz="4" w:space="0"/>
              <w:right w:val="single" w:color="000000" w:sz="4" w:space="0"/>
            </w:tcBorders>
            <w:noWrap/>
            <w:vAlign w:val="center"/>
          </w:tcPr>
          <w:p w14:paraId="28C38EEE">
            <w:pPr>
              <w:jc w:val="center"/>
              <w:rPr>
                <w:rFonts w:hint="eastAsia" w:ascii="仿宋_GB2312" w:hAnsi="仿宋_GB2312" w:eastAsia="仿宋_GB2312" w:cs="仿宋_GB2312"/>
                <w:i w:val="0"/>
                <w:iCs w:val="0"/>
                <w:color w:val="auto"/>
                <w:sz w:val="24"/>
                <w:szCs w:val="24"/>
                <w:highlight w:val="none"/>
                <w:u w:val="none"/>
              </w:rPr>
            </w:pPr>
          </w:p>
        </w:tc>
        <w:tc>
          <w:tcPr>
            <w:tcW w:w="823" w:type="pct"/>
            <w:tcBorders>
              <w:top w:val="single" w:color="000000" w:sz="4" w:space="0"/>
              <w:left w:val="single" w:color="000000" w:sz="4" w:space="0"/>
              <w:bottom w:val="single" w:color="000000" w:sz="4" w:space="0"/>
              <w:right w:val="single" w:color="000000" w:sz="4" w:space="0"/>
            </w:tcBorders>
            <w:noWrap/>
            <w:vAlign w:val="center"/>
          </w:tcPr>
          <w:p w14:paraId="466842CC">
            <w:pPr>
              <w:jc w:val="center"/>
              <w:rPr>
                <w:rFonts w:hint="eastAsia" w:ascii="仿宋_GB2312" w:hAnsi="仿宋_GB2312" w:eastAsia="仿宋_GB2312" w:cs="仿宋_GB2312"/>
                <w:i w:val="0"/>
                <w:iCs w:val="0"/>
                <w:color w:val="auto"/>
                <w:sz w:val="24"/>
                <w:szCs w:val="24"/>
                <w:highlight w:val="none"/>
                <w:u w:val="none"/>
              </w:rPr>
            </w:pPr>
          </w:p>
        </w:tc>
        <w:tc>
          <w:tcPr>
            <w:tcW w:w="700" w:type="pct"/>
            <w:tcBorders>
              <w:top w:val="single" w:color="000000" w:sz="4" w:space="0"/>
              <w:left w:val="single" w:color="000000" w:sz="4" w:space="0"/>
              <w:bottom w:val="single" w:color="000000" w:sz="4" w:space="0"/>
              <w:right w:val="single" w:color="000000" w:sz="4" w:space="0"/>
            </w:tcBorders>
            <w:noWrap/>
            <w:vAlign w:val="center"/>
          </w:tcPr>
          <w:p w14:paraId="02855F01">
            <w:pPr>
              <w:jc w:val="center"/>
              <w:rPr>
                <w:rFonts w:hint="eastAsia" w:ascii="仿宋_GB2312" w:hAnsi="仿宋_GB2312" w:eastAsia="仿宋_GB2312" w:cs="仿宋_GB2312"/>
                <w:i w:val="0"/>
                <w:iCs w:val="0"/>
                <w:color w:val="auto"/>
                <w:sz w:val="24"/>
                <w:szCs w:val="24"/>
                <w:highlight w:val="none"/>
                <w:u w:val="none"/>
              </w:rPr>
            </w:pPr>
          </w:p>
        </w:tc>
        <w:tc>
          <w:tcPr>
            <w:tcW w:w="716" w:type="pct"/>
            <w:tcBorders>
              <w:top w:val="single" w:color="000000" w:sz="4" w:space="0"/>
              <w:left w:val="single" w:color="000000" w:sz="4" w:space="0"/>
              <w:bottom w:val="single" w:color="000000" w:sz="4" w:space="0"/>
              <w:right w:val="single" w:color="000000" w:sz="4" w:space="0"/>
            </w:tcBorders>
            <w:noWrap/>
            <w:vAlign w:val="center"/>
          </w:tcPr>
          <w:p w14:paraId="4A8568BC">
            <w:pPr>
              <w:jc w:val="center"/>
              <w:rPr>
                <w:rFonts w:hint="eastAsia" w:ascii="仿宋_GB2312" w:hAnsi="仿宋_GB2312" w:eastAsia="仿宋_GB2312" w:cs="仿宋_GB2312"/>
                <w:i w:val="0"/>
                <w:iCs w:val="0"/>
                <w:color w:val="auto"/>
                <w:sz w:val="24"/>
                <w:szCs w:val="24"/>
                <w:highlight w:val="none"/>
                <w:u w:val="none"/>
              </w:rPr>
            </w:pPr>
          </w:p>
        </w:tc>
        <w:tc>
          <w:tcPr>
            <w:tcW w:w="711" w:type="pct"/>
            <w:tcBorders>
              <w:top w:val="single" w:color="000000" w:sz="4" w:space="0"/>
              <w:left w:val="single" w:color="000000" w:sz="4" w:space="0"/>
              <w:bottom w:val="single" w:color="000000" w:sz="4" w:space="0"/>
              <w:right w:val="single" w:color="000000" w:sz="4" w:space="0"/>
            </w:tcBorders>
            <w:noWrap/>
            <w:vAlign w:val="center"/>
          </w:tcPr>
          <w:p w14:paraId="617CA3B2">
            <w:pPr>
              <w:jc w:val="center"/>
              <w:rPr>
                <w:rFonts w:hint="eastAsia" w:ascii="仿宋_GB2312" w:hAnsi="仿宋_GB2312" w:eastAsia="仿宋_GB2312" w:cs="仿宋_GB2312"/>
                <w:i w:val="0"/>
                <w:iCs w:val="0"/>
                <w:color w:val="auto"/>
                <w:sz w:val="24"/>
                <w:szCs w:val="24"/>
                <w:highlight w:val="none"/>
                <w:u w:val="none"/>
              </w:rPr>
            </w:pPr>
          </w:p>
        </w:tc>
      </w:tr>
      <w:tr w14:paraId="6AE97C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8" w:hRule="atLeast"/>
          <w:jc w:val="center"/>
        </w:trPr>
        <w:tc>
          <w:tcPr>
            <w:tcW w:w="438" w:type="pct"/>
            <w:tcBorders>
              <w:top w:val="single" w:color="000000" w:sz="4" w:space="0"/>
              <w:left w:val="single" w:color="000000" w:sz="4" w:space="0"/>
              <w:bottom w:val="single" w:color="000000" w:sz="4" w:space="0"/>
              <w:right w:val="single" w:color="000000" w:sz="4" w:space="0"/>
            </w:tcBorders>
            <w:noWrap/>
            <w:vAlign w:val="center"/>
          </w:tcPr>
          <w:p w14:paraId="0306CE08">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12</w:t>
            </w:r>
          </w:p>
        </w:tc>
        <w:tc>
          <w:tcPr>
            <w:tcW w:w="932" w:type="pct"/>
            <w:tcBorders>
              <w:top w:val="single" w:color="000000" w:sz="4" w:space="0"/>
              <w:left w:val="single" w:color="000000" w:sz="4" w:space="0"/>
              <w:bottom w:val="single" w:color="000000" w:sz="4" w:space="0"/>
              <w:right w:val="single" w:color="000000" w:sz="4" w:space="0"/>
            </w:tcBorders>
            <w:noWrap/>
            <w:vAlign w:val="center"/>
          </w:tcPr>
          <w:p w14:paraId="1AE1E38B">
            <w:pPr>
              <w:jc w:val="center"/>
              <w:rPr>
                <w:rFonts w:hint="eastAsia" w:ascii="仿宋_GB2312" w:hAnsi="仿宋_GB2312" w:eastAsia="仿宋_GB2312" w:cs="仿宋_GB2312"/>
                <w:i w:val="0"/>
                <w:iCs w:val="0"/>
                <w:color w:val="auto"/>
                <w:sz w:val="24"/>
                <w:szCs w:val="24"/>
                <w:highlight w:val="none"/>
                <w:u w:val="none"/>
              </w:rPr>
            </w:pPr>
          </w:p>
        </w:tc>
        <w:tc>
          <w:tcPr>
            <w:tcW w:w="677" w:type="pct"/>
            <w:tcBorders>
              <w:top w:val="single" w:color="000000" w:sz="4" w:space="0"/>
              <w:left w:val="single" w:color="000000" w:sz="4" w:space="0"/>
              <w:bottom w:val="single" w:color="000000" w:sz="4" w:space="0"/>
              <w:right w:val="single" w:color="000000" w:sz="4" w:space="0"/>
            </w:tcBorders>
            <w:noWrap/>
            <w:vAlign w:val="center"/>
          </w:tcPr>
          <w:p w14:paraId="49CC9264">
            <w:pPr>
              <w:jc w:val="center"/>
              <w:rPr>
                <w:rFonts w:hint="eastAsia" w:ascii="仿宋_GB2312" w:hAnsi="仿宋_GB2312" w:eastAsia="仿宋_GB2312" w:cs="仿宋_GB2312"/>
                <w:i w:val="0"/>
                <w:iCs w:val="0"/>
                <w:color w:val="auto"/>
                <w:sz w:val="24"/>
                <w:szCs w:val="24"/>
                <w:highlight w:val="none"/>
                <w:u w:val="none"/>
              </w:rPr>
            </w:pPr>
          </w:p>
        </w:tc>
        <w:tc>
          <w:tcPr>
            <w:tcW w:w="823" w:type="pct"/>
            <w:tcBorders>
              <w:top w:val="single" w:color="000000" w:sz="4" w:space="0"/>
              <w:left w:val="single" w:color="000000" w:sz="4" w:space="0"/>
              <w:bottom w:val="single" w:color="000000" w:sz="4" w:space="0"/>
              <w:right w:val="single" w:color="000000" w:sz="4" w:space="0"/>
            </w:tcBorders>
            <w:noWrap/>
            <w:vAlign w:val="center"/>
          </w:tcPr>
          <w:p w14:paraId="0D671385">
            <w:pPr>
              <w:jc w:val="center"/>
              <w:rPr>
                <w:rFonts w:hint="eastAsia" w:ascii="仿宋_GB2312" w:hAnsi="仿宋_GB2312" w:eastAsia="仿宋_GB2312" w:cs="仿宋_GB2312"/>
                <w:i w:val="0"/>
                <w:iCs w:val="0"/>
                <w:color w:val="auto"/>
                <w:sz w:val="24"/>
                <w:szCs w:val="24"/>
                <w:highlight w:val="none"/>
                <w:u w:val="none"/>
              </w:rPr>
            </w:pPr>
          </w:p>
        </w:tc>
        <w:tc>
          <w:tcPr>
            <w:tcW w:w="700" w:type="pct"/>
            <w:tcBorders>
              <w:top w:val="single" w:color="000000" w:sz="4" w:space="0"/>
              <w:left w:val="single" w:color="000000" w:sz="4" w:space="0"/>
              <w:bottom w:val="single" w:color="000000" w:sz="4" w:space="0"/>
              <w:right w:val="single" w:color="000000" w:sz="4" w:space="0"/>
            </w:tcBorders>
            <w:noWrap/>
            <w:vAlign w:val="center"/>
          </w:tcPr>
          <w:p w14:paraId="4085CD3F">
            <w:pPr>
              <w:jc w:val="center"/>
              <w:rPr>
                <w:rFonts w:hint="eastAsia" w:ascii="仿宋_GB2312" w:hAnsi="仿宋_GB2312" w:eastAsia="仿宋_GB2312" w:cs="仿宋_GB2312"/>
                <w:i w:val="0"/>
                <w:iCs w:val="0"/>
                <w:color w:val="auto"/>
                <w:sz w:val="24"/>
                <w:szCs w:val="24"/>
                <w:highlight w:val="none"/>
                <w:u w:val="none"/>
              </w:rPr>
            </w:pPr>
          </w:p>
        </w:tc>
        <w:tc>
          <w:tcPr>
            <w:tcW w:w="716" w:type="pct"/>
            <w:tcBorders>
              <w:top w:val="single" w:color="000000" w:sz="4" w:space="0"/>
              <w:left w:val="single" w:color="000000" w:sz="4" w:space="0"/>
              <w:bottom w:val="single" w:color="000000" w:sz="4" w:space="0"/>
              <w:right w:val="single" w:color="000000" w:sz="4" w:space="0"/>
            </w:tcBorders>
            <w:noWrap/>
            <w:vAlign w:val="center"/>
          </w:tcPr>
          <w:p w14:paraId="2573ABFB">
            <w:pPr>
              <w:jc w:val="center"/>
              <w:rPr>
                <w:rFonts w:hint="eastAsia" w:ascii="仿宋_GB2312" w:hAnsi="仿宋_GB2312" w:eastAsia="仿宋_GB2312" w:cs="仿宋_GB2312"/>
                <w:i w:val="0"/>
                <w:iCs w:val="0"/>
                <w:color w:val="auto"/>
                <w:sz w:val="24"/>
                <w:szCs w:val="24"/>
                <w:highlight w:val="none"/>
                <w:u w:val="none"/>
              </w:rPr>
            </w:pPr>
          </w:p>
        </w:tc>
        <w:tc>
          <w:tcPr>
            <w:tcW w:w="711" w:type="pct"/>
            <w:tcBorders>
              <w:top w:val="single" w:color="000000" w:sz="4" w:space="0"/>
              <w:left w:val="single" w:color="000000" w:sz="4" w:space="0"/>
              <w:bottom w:val="single" w:color="000000" w:sz="4" w:space="0"/>
              <w:right w:val="single" w:color="000000" w:sz="4" w:space="0"/>
            </w:tcBorders>
            <w:noWrap/>
            <w:vAlign w:val="center"/>
          </w:tcPr>
          <w:p w14:paraId="5D99CD2F">
            <w:pPr>
              <w:jc w:val="center"/>
              <w:rPr>
                <w:rFonts w:hint="eastAsia" w:ascii="仿宋_GB2312" w:hAnsi="仿宋_GB2312" w:eastAsia="仿宋_GB2312" w:cs="仿宋_GB2312"/>
                <w:i w:val="0"/>
                <w:iCs w:val="0"/>
                <w:color w:val="auto"/>
                <w:sz w:val="24"/>
                <w:szCs w:val="24"/>
                <w:highlight w:val="none"/>
                <w:u w:val="none"/>
              </w:rPr>
            </w:pPr>
          </w:p>
        </w:tc>
      </w:tr>
      <w:tr w14:paraId="3AEC99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8" w:hRule="atLeast"/>
          <w:jc w:val="center"/>
        </w:trPr>
        <w:tc>
          <w:tcPr>
            <w:tcW w:w="438" w:type="pct"/>
            <w:tcBorders>
              <w:top w:val="single" w:color="000000" w:sz="4" w:space="0"/>
              <w:left w:val="single" w:color="000000" w:sz="4" w:space="0"/>
              <w:bottom w:val="single" w:color="000000" w:sz="4" w:space="0"/>
              <w:right w:val="single" w:color="000000" w:sz="4" w:space="0"/>
            </w:tcBorders>
            <w:noWrap/>
            <w:vAlign w:val="center"/>
          </w:tcPr>
          <w:p w14:paraId="5B90EC30">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13</w:t>
            </w:r>
          </w:p>
        </w:tc>
        <w:tc>
          <w:tcPr>
            <w:tcW w:w="932" w:type="pct"/>
            <w:tcBorders>
              <w:top w:val="single" w:color="000000" w:sz="4" w:space="0"/>
              <w:left w:val="single" w:color="000000" w:sz="4" w:space="0"/>
              <w:bottom w:val="single" w:color="000000" w:sz="4" w:space="0"/>
              <w:right w:val="single" w:color="000000" w:sz="4" w:space="0"/>
            </w:tcBorders>
            <w:noWrap/>
            <w:vAlign w:val="center"/>
          </w:tcPr>
          <w:p w14:paraId="668C035E">
            <w:pPr>
              <w:jc w:val="center"/>
              <w:rPr>
                <w:rFonts w:hint="eastAsia" w:ascii="仿宋_GB2312" w:hAnsi="仿宋_GB2312" w:eastAsia="仿宋_GB2312" w:cs="仿宋_GB2312"/>
                <w:i w:val="0"/>
                <w:iCs w:val="0"/>
                <w:color w:val="auto"/>
                <w:sz w:val="24"/>
                <w:szCs w:val="24"/>
                <w:highlight w:val="none"/>
                <w:u w:val="none"/>
              </w:rPr>
            </w:pPr>
          </w:p>
        </w:tc>
        <w:tc>
          <w:tcPr>
            <w:tcW w:w="677" w:type="pct"/>
            <w:tcBorders>
              <w:top w:val="single" w:color="000000" w:sz="4" w:space="0"/>
              <w:left w:val="single" w:color="000000" w:sz="4" w:space="0"/>
              <w:bottom w:val="single" w:color="000000" w:sz="4" w:space="0"/>
              <w:right w:val="single" w:color="000000" w:sz="4" w:space="0"/>
            </w:tcBorders>
            <w:noWrap/>
            <w:vAlign w:val="center"/>
          </w:tcPr>
          <w:p w14:paraId="709A6C35">
            <w:pPr>
              <w:jc w:val="center"/>
              <w:rPr>
                <w:rFonts w:hint="eastAsia" w:ascii="仿宋_GB2312" w:hAnsi="仿宋_GB2312" w:eastAsia="仿宋_GB2312" w:cs="仿宋_GB2312"/>
                <w:i w:val="0"/>
                <w:iCs w:val="0"/>
                <w:color w:val="auto"/>
                <w:sz w:val="24"/>
                <w:szCs w:val="24"/>
                <w:highlight w:val="none"/>
                <w:u w:val="none"/>
              </w:rPr>
            </w:pPr>
          </w:p>
        </w:tc>
        <w:tc>
          <w:tcPr>
            <w:tcW w:w="823" w:type="pct"/>
            <w:tcBorders>
              <w:top w:val="single" w:color="000000" w:sz="4" w:space="0"/>
              <w:left w:val="single" w:color="000000" w:sz="4" w:space="0"/>
              <w:bottom w:val="single" w:color="000000" w:sz="4" w:space="0"/>
              <w:right w:val="single" w:color="000000" w:sz="4" w:space="0"/>
            </w:tcBorders>
            <w:noWrap/>
            <w:vAlign w:val="center"/>
          </w:tcPr>
          <w:p w14:paraId="5F313815">
            <w:pPr>
              <w:jc w:val="center"/>
              <w:rPr>
                <w:rFonts w:hint="eastAsia" w:ascii="仿宋_GB2312" w:hAnsi="仿宋_GB2312" w:eastAsia="仿宋_GB2312" w:cs="仿宋_GB2312"/>
                <w:i w:val="0"/>
                <w:iCs w:val="0"/>
                <w:color w:val="auto"/>
                <w:sz w:val="24"/>
                <w:szCs w:val="24"/>
                <w:highlight w:val="none"/>
                <w:u w:val="none"/>
              </w:rPr>
            </w:pPr>
          </w:p>
        </w:tc>
        <w:tc>
          <w:tcPr>
            <w:tcW w:w="700" w:type="pct"/>
            <w:tcBorders>
              <w:top w:val="single" w:color="000000" w:sz="4" w:space="0"/>
              <w:left w:val="single" w:color="000000" w:sz="4" w:space="0"/>
              <w:bottom w:val="single" w:color="000000" w:sz="4" w:space="0"/>
              <w:right w:val="single" w:color="000000" w:sz="4" w:space="0"/>
            </w:tcBorders>
            <w:noWrap/>
            <w:vAlign w:val="center"/>
          </w:tcPr>
          <w:p w14:paraId="0563E47E">
            <w:pPr>
              <w:jc w:val="center"/>
              <w:rPr>
                <w:rFonts w:hint="eastAsia" w:ascii="仿宋_GB2312" w:hAnsi="仿宋_GB2312" w:eastAsia="仿宋_GB2312" w:cs="仿宋_GB2312"/>
                <w:i w:val="0"/>
                <w:iCs w:val="0"/>
                <w:color w:val="auto"/>
                <w:sz w:val="24"/>
                <w:szCs w:val="24"/>
                <w:highlight w:val="none"/>
                <w:u w:val="none"/>
              </w:rPr>
            </w:pPr>
          </w:p>
        </w:tc>
        <w:tc>
          <w:tcPr>
            <w:tcW w:w="716" w:type="pct"/>
            <w:tcBorders>
              <w:top w:val="single" w:color="000000" w:sz="4" w:space="0"/>
              <w:left w:val="single" w:color="000000" w:sz="4" w:space="0"/>
              <w:bottom w:val="single" w:color="000000" w:sz="4" w:space="0"/>
              <w:right w:val="single" w:color="000000" w:sz="4" w:space="0"/>
            </w:tcBorders>
            <w:noWrap/>
            <w:vAlign w:val="center"/>
          </w:tcPr>
          <w:p w14:paraId="78C5A321">
            <w:pPr>
              <w:jc w:val="center"/>
              <w:rPr>
                <w:rFonts w:hint="eastAsia" w:ascii="仿宋_GB2312" w:hAnsi="仿宋_GB2312" w:eastAsia="仿宋_GB2312" w:cs="仿宋_GB2312"/>
                <w:i w:val="0"/>
                <w:iCs w:val="0"/>
                <w:color w:val="auto"/>
                <w:sz w:val="24"/>
                <w:szCs w:val="24"/>
                <w:highlight w:val="none"/>
                <w:u w:val="none"/>
              </w:rPr>
            </w:pPr>
          </w:p>
        </w:tc>
        <w:tc>
          <w:tcPr>
            <w:tcW w:w="711" w:type="pct"/>
            <w:tcBorders>
              <w:top w:val="single" w:color="000000" w:sz="4" w:space="0"/>
              <w:left w:val="single" w:color="000000" w:sz="4" w:space="0"/>
              <w:bottom w:val="single" w:color="000000" w:sz="4" w:space="0"/>
              <w:right w:val="single" w:color="000000" w:sz="4" w:space="0"/>
            </w:tcBorders>
            <w:noWrap/>
            <w:vAlign w:val="center"/>
          </w:tcPr>
          <w:p w14:paraId="754E9BE1">
            <w:pPr>
              <w:jc w:val="center"/>
              <w:rPr>
                <w:rFonts w:hint="eastAsia" w:ascii="仿宋_GB2312" w:hAnsi="仿宋_GB2312" w:eastAsia="仿宋_GB2312" w:cs="仿宋_GB2312"/>
                <w:i w:val="0"/>
                <w:iCs w:val="0"/>
                <w:color w:val="auto"/>
                <w:sz w:val="24"/>
                <w:szCs w:val="24"/>
                <w:highlight w:val="none"/>
                <w:u w:val="none"/>
              </w:rPr>
            </w:pPr>
          </w:p>
        </w:tc>
      </w:tr>
      <w:tr w14:paraId="7DE8D9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8" w:hRule="atLeast"/>
          <w:jc w:val="center"/>
        </w:trPr>
        <w:tc>
          <w:tcPr>
            <w:tcW w:w="438" w:type="pct"/>
            <w:tcBorders>
              <w:top w:val="single" w:color="000000" w:sz="4" w:space="0"/>
              <w:left w:val="single" w:color="000000" w:sz="4" w:space="0"/>
              <w:bottom w:val="single" w:color="000000" w:sz="4" w:space="0"/>
              <w:right w:val="single" w:color="000000" w:sz="4" w:space="0"/>
            </w:tcBorders>
            <w:noWrap/>
            <w:vAlign w:val="center"/>
          </w:tcPr>
          <w:p w14:paraId="5BAB45F7">
            <w:pPr>
              <w:keepNext w:val="0"/>
              <w:keepLines w:val="0"/>
              <w:widowControl/>
              <w:suppressLineNumbers w:val="0"/>
              <w:jc w:val="center"/>
              <w:textAlignment w:val="center"/>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14</w:t>
            </w:r>
          </w:p>
        </w:tc>
        <w:tc>
          <w:tcPr>
            <w:tcW w:w="932" w:type="pct"/>
            <w:tcBorders>
              <w:top w:val="single" w:color="000000" w:sz="4" w:space="0"/>
              <w:left w:val="single" w:color="000000" w:sz="4" w:space="0"/>
              <w:bottom w:val="single" w:color="000000" w:sz="4" w:space="0"/>
              <w:right w:val="single" w:color="000000" w:sz="4" w:space="0"/>
            </w:tcBorders>
            <w:noWrap/>
            <w:vAlign w:val="center"/>
          </w:tcPr>
          <w:p w14:paraId="474E5F9E">
            <w:pPr>
              <w:jc w:val="center"/>
              <w:rPr>
                <w:rFonts w:hint="eastAsia" w:ascii="仿宋_GB2312" w:hAnsi="仿宋_GB2312" w:eastAsia="仿宋_GB2312" w:cs="仿宋_GB2312"/>
                <w:i w:val="0"/>
                <w:iCs w:val="0"/>
                <w:color w:val="auto"/>
                <w:sz w:val="24"/>
                <w:szCs w:val="24"/>
                <w:highlight w:val="none"/>
                <w:u w:val="none"/>
              </w:rPr>
            </w:pPr>
          </w:p>
        </w:tc>
        <w:tc>
          <w:tcPr>
            <w:tcW w:w="677" w:type="pct"/>
            <w:tcBorders>
              <w:top w:val="single" w:color="000000" w:sz="4" w:space="0"/>
              <w:left w:val="single" w:color="000000" w:sz="4" w:space="0"/>
              <w:bottom w:val="single" w:color="000000" w:sz="4" w:space="0"/>
              <w:right w:val="single" w:color="000000" w:sz="4" w:space="0"/>
            </w:tcBorders>
            <w:noWrap/>
            <w:vAlign w:val="center"/>
          </w:tcPr>
          <w:p w14:paraId="05ABC2F5">
            <w:pPr>
              <w:jc w:val="center"/>
              <w:rPr>
                <w:rFonts w:hint="eastAsia" w:ascii="仿宋_GB2312" w:hAnsi="仿宋_GB2312" w:eastAsia="仿宋_GB2312" w:cs="仿宋_GB2312"/>
                <w:i w:val="0"/>
                <w:iCs w:val="0"/>
                <w:color w:val="auto"/>
                <w:sz w:val="24"/>
                <w:szCs w:val="24"/>
                <w:highlight w:val="none"/>
                <w:u w:val="none"/>
              </w:rPr>
            </w:pPr>
          </w:p>
        </w:tc>
        <w:tc>
          <w:tcPr>
            <w:tcW w:w="823" w:type="pct"/>
            <w:tcBorders>
              <w:top w:val="single" w:color="000000" w:sz="4" w:space="0"/>
              <w:left w:val="single" w:color="000000" w:sz="4" w:space="0"/>
              <w:bottom w:val="single" w:color="000000" w:sz="4" w:space="0"/>
              <w:right w:val="single" w:color="000000" w:sz="4" w:space="0"/>
            </w:tcBorders>
            <w:noWrap/>
            <w:vAlign w:val="center"/>
          </w:tcPr>
          <w:p w14:paraId="42DC50C8">
            <w:pPr>
              <w:jc w:val="center"/>
              <w:rPr>
                <w:rFonts w:hint="eastAsia" w:ascii="仿宋_GB2312" w:hAnsi="仿宋_GB2312" w:eastAsia="仿宋_GB2312" w:cs="仿宋_GB2312"/>
                <w:i w:val="0"/>
                <w:iCs w:val="0"/>
                <w:color w:val="auto"/>
                <w:sz w:val="24"/>
                <w:szCs w:val="24"/>
                <w:highlight w:val="none"/>
                <w:u w:val="none"/>
              </w:rPr>
            </w:pPr>
          </w:p>
        </w:tc>
        <w:tc>
          <w:tcPr>
            <w:tcW w:w="700" w:type="pct"/>
            <w:tcBorders>
              <w:top w:val="single" w:color="000000" w:sz="4" w:space="0"/>
              <w:left w:val="single" w:color="000000" w:sz="4" w:space="0"/>
              <w:bottom w:val="single" w:color="000000" w:sz="4" w:space="0"/>
              <w:right w:val="single" w:color="000000" w:sz="4" w:space="0"/>
            </w:tcBorders>
            <w:noWrap/>
            <w:vAlign w:val="center"/>
          </w:tcPr>
          <w:p w14:paraId="514BF512">
            <w:pPr>
              <w:jc w:val="center"/>
              <w:rPr>
                <w:rFonts w:hint="eastAsia" w:ascii="仿宋_GB2312" w:hAnsi="仿宋_GB2312" w:eastAsia="仿宋_GB2312" w:cs="仿宋_GB2312"/>
                <w:i w:val="0"/>
                <w:iCs w:val="0"/>
                <w:color w:val="auto"/>
                <w:sz w:val="24"/>
                <w:szCs w:val="24"/>
                <w:highlight w:val="none"/>
                <w:u w:val="none"/>
              </w:rPr>
            </w:pPr>
          </w:p>
        </w:tc>
        <w:tc>
          <w:tcPr>
            <w:tcW w:w="716" w:type="pct"/>
            <w:tcBorders>
              <w:top w:val="single" w:color="000000" w:sz="4" w:space="0"/>
              <w:left w:val="single" w:color="000000" w:sz="4" w:space="0"/>
              <w:bottom w:val="single" w:color="000000" w:sz="4" w:space="0"/>
              <w:right w:val="single" w:color="000000" w:sz="4" w:space="0"/>
            </w:tcBorders>
            <w:noWrap/>
            <w:vAlign w:val="center"/>
          </w:tcPr>
          <w:p w14:paraId="04892EDD">
            <w:pPr>
              <w:jc w:val="center"/>
              <w:rPr>
                <w:rFonts w:hint="eastAsia" w:ascii="仿宋_GB2312" w:hAnsi="仿宋_GB2312" w:eastAsia="仿宋_GB2312" w:cs="仿宋_GB2312"/>
                <w:i w:val="0"/>
                <w:iCs w:val="0"/>
                <w:color w:val="auto"/>
                <w:sz w:val="24"/>
                <w:szCs w:val="24"/>
                <w:highlight w:val="none"/>
                <w:u w:val="none"/>
              </w:rPr>
            </w:pPr>
          </w:p>
        </w:tc>
        <w:tc>
          <w:tcPr>
            <w:tcW w:w="711" w:type="pct"/>
            <w:tcBorders>
              <w:top w:val="single" w:color="000000" w:sz="4" w:space="0"/>
              <w:left w:val="single" w:color="000000" w:sz="4" w:space="0"/>
              <w:bottom w:val="single" w:color="000000" w:sz="4" w:space="0"/>
              <w:right w:val="single" w:color="000000" w:sz="4" w:space="0"/>
            </w:tcBorders>
            <w:noWrap/>
            <w:vAlign w:val="center"/>
          </w:tcPr>
          <w:p w14:paraId="28764294">
            <w:pPr>
              <w:jc w:val="center"/>
              <w:rPr>
                <w:rFonts w:hint="eastAsia" w:ascii="仿宋_GB2312" w:hAnsi="仿宋_GB2312" w:eastAsia="仿宋_GB2312" w:cs="仿宋_GB2312"/>
                <w:i w:val="0"/>
                <w:iCs w:val="0"/>
                <w:color w:val="auto"/>
                <w:sz w:val="24"/>
                <w:szCs w:val="24"/>
                <w:highlight w:val="none"/>
                <w:u w:val="none"/>
              </w:rPr>
            </w:pPr>
          </w:p>
        </w:tc>
      </w:tr>
      <w:tr w14:paraId="453297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8" w:hRule="atLeast"/>
          <w:jc w:val="center"/>
        </w:trPr>
        <w:tc>
          <w:tcPr>
            <w:tcW w:w="4288" w:type="pct"/>
            <w:gridSpan w:val="6"/>
            <w:tcBorders>
              <w:top w:val="single" w:color="000000" w:sz="4" w:space="0"/>
              <w:left w:val="single" w:color="000000" w:sz="4" w:space="0"/>
              <w:bottom w:val="single" w:color="000000" w:sz="4" w:space="0"/>
              <w:right w:val="single" w:color="000000" w:sz="4" w:space="0"/>
            </w:tcBorders>
            <w:noWrap/>
            <w:vAlign w:val="center"/>
          </w:tcPr>
          <w:p w14:paraId="62C3CE37">
            <w:pPr>
              <w:keepNext w:val="0"/>
              <w:keepLines w:val="0"/>
              <w:widowControl/>
              <w:suppressLineNumbers w:val="0"/>
              <w:jc w:val="both"/>
              <w:textAlignment w:val="center"/>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注：以上排名不分先后。</w:t>
            </w:r>
          </w:p>
        </w:tc>
        <w:tc>
          <w:tcPr>
            <w:tcW w:w="711" w:type="pct"/>
            <w:tcBorders>
              <w:top w:val="single" w:color="000000" w:sz="4" w:space="0"/>
              <w:left w:val="single" w:color="000000" w:sz="4" w:space="0"/>
              <w:bottom w:val="single" w:color="000000" w:sz="4" w:space="0"/>
              <w:right w:val="single" w:color="000000" w:sz="4" w:space="0"/>
            </w:tcBorders>
            <w:noWrap/>
            <w:vAlign w:val="center"/>
          </w:tcPr>
          <w:p w14:paraId="242ED373">
            <w:pPr>
              <w:keepNext w:val="0"/>
              <w:keepLines w:val="0"/>
              <w:widowControl/>
              <w:suppressLineNumbers w:val="0"/>
              <w:jc w:val="both"/>
              <w:textAlignment w:val="center"/>
              <w:rPr>
                <w:rFonts w:hint="eastAsia" w:ascii="仿宋_GB2312" w:hAnsi="仿宋_GB2312" w:eastAsia="仿宋_GB2312" w:cs="仿宋_GB2312"/>
                <w:i w:val="0"/>
                <w:iCs w:val="0"/>
                <w:color w:val="auto"/>
                <w:kern w:val="0"/>
                <w:sz w:val="24"/>
                <w:szCs w:val="24"/>
                <w:highlight w:val="none"/>
                <w:u w:val="none"/>
                <w:lang w:val="en-US" w:eastAsia="zh-CN" w:bidi="ar"/>
              </w:rPr>
            </w:pPr>
          </w:p>
        </w:tc>
      </w:tr>
    </w:tbl>
    <w:p w14:paraId="57D856CD"/>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altName w:val="微软雅黑"/>
    <w:panose1 w:val="03000509000000000000"/>
    <w:charset w:val="86"/>
    <w:family w:val="script"/>
    <w:pitch w:val="default"/>
    <w:sig w:usb0="00000000" w:usb1="0000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9321C4B"/>
    <w:multiLevelType w:val="singleLevel"/>
    <w:tmpl w:val="39321C4B"/>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CBD409F"/>
    <w:rsid w:val="183420DA"/>
    <w:rsid w:val="7CBD40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Indent 2"/>
    <w:basedOn w:val="1"/>
    <w:next w:val="1"/>
    <w:qFormat/>
    <w:uiPriority w:val="0"/>
    <w:pPr>
      <w:spacing w:line="590" w:lineRule="exact"/>
      <w:ind w:firstLine="880" w:firstLineChars="200"/>
    </w:pPr>
    <w:rPr>
      <w:rFonts w:ascii="Times New Roman" w:hAnsi="Times New Roman" w:eastAsia="方正仿宋_GBK"/>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2025-11-04T03:03:00Z</dcterms:created>
  <dc:creator>89753</dc:creator>
  <cp:lastModifiedBy>89753</cp:lastModifiedBy>
  <dcterms:modified xsi:type="dcterms:W3CDTF">2025-11-04T03:04:41Z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971E61F72DA846B4B2C31E6C3EDCA217_11</vt:lpwstr>
  </property>
  <property fmtid="{D5CDD505-2E9C-101B-9397-08002B2CF9AE}" pid="4" name="KSOTemplateDocerSaveRecord">
    <vt:lpwstr>eyJoZGlkIjoiZjM1MjM0Yjc3Y2NlMzJmOWU1YjIzOTNmY2Q4MjljODMifQ==</vt:lpwstr>
  </property>
</Properties>
</file>