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FC9072">
      <w:pPr>
        <w:pStyle w:val="2"/>
        <w:keepNext w:val="0"/>
        <w:keepLines w:val="0"/>
        <w:pageBreakBefore w:val="0"/>
        <w:widowControl w:val="0"/>
        <w:kinsoku/>
        <w:wordWrap/>
        <w:overflowPunct/>
        <w:topLinePunct w:val="0"/>
        <w:autoSpaceDE/>
        <w:autoSpaceDN/>
        <w:bidi w:val="0"/>
        <w:adjustRightInd/>
        <w:snapToGrid/>
        <w:spacing w:after="319" w:afterLines="100" w:line="500" w:lineRule="exact"/>
        <w:ind w:left="0" w:leftChars="0" w:firstLine="0" w:firstLineChars="0"/>
        <w:textAlignment w:val="auto"/>
        <w:rPr>
          <w:rFonts w:hint="eastAsia" w:ascii="黑体" w:hAnsi="黑体" w:eastAsia="黑体" w:cs="黑体"/>
          <w:color w:val="000000"/>
          <w:kern w:val="2"/>
          <w:sz w:val="32"/>
          <w:szCs w:val="32"/>
          <w:highlight w:val="none"/>
          <w:lang w:val="en-US" w:eastAsia="zh-CN" w:bidi="ar-SA"/>
        </w:rPr>
      </w:pPr>
      <w:r>
        <w:rPr>
          <w:rFonts w:hint="eastAsia" w:ascii="黑体" w:hAnsi="黑体" w:eastAsia="黑体" w:cs="黑体"/>
          <w:color w:val="000000"/>
          <w:kern w:val="2"/>
          <w:sz w:val="32"/>
          <w:szCs w:val="32"/>
          <w:highlight w:val="none"/>
          <w:lang w:val="en-US" w:eastAsia="zh-CN" w:bidi="ar-SA"/>
        </w:rPr>
        <w:t>附件3</w:t>
      </w:r>
    </w:p>
    <w:p w14:paraId="5DC09A0C">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2"/>
          <w:szCs w:val="42"/>
          <w:lang w:val="en-US" w:eastAsia="zh-CN"/>
        </w:rPr>
      </w:pPr>
      <w:r>
        <w:rPr>
          <w:rFonts w:hint="eastAsia" w:ascii="方正小标宋简体" w:hAnsi="方正小标宋简体" w:eastAsia="方正小标宋简体" w:cs="方正小标宋简体"/>
          <w:sz w:val="42"/>
          <w:szCs w:val="42"/>
          <w:lang w:val="en-US" w:eastAsia="zh-CN"/>
        </w:rPr>
        <w:t>池州市生态环境局涉企生态环境风险</w:t>
      </w:r>
    </w:p>
    <w:p w14:paraId="39AFBEA8">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2"/>
          <w:szCs w:val="42"/>
          <w:lang w:val="en-US" w:eastAsia="zh-CN"/>
        </w:rPr>
      </w:pPr>
      <w:r>
        <w:rPr>
          <w:rFonts w:hint="eastAsia" w:ascii="方正小标宋简体" w:hAnsi="方正小标宋简体" w:eastAsia="方正小标宋简体" w:cs="方正小标宋简体"/>
          <w:sz w:val="42"/>
          <w:szCs w:val="42"/>
          <w:lang w:val="en-US" w:eastAsia="zh-CN"/>
        </w:rPr>
        <w:t>“综合一查清”体检式帮扶指导清单</w:t>
      </w:r>
    </w:p>
    <w:tbl>
      <w:tblPr>
        <w:tblStyle w:val="3"/>
        <w:tblW w:w="9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93"/>
        <w:gridCol w:w="4895"/>
      </w:tblGrid>
      <w:tr w14:paraId="19B11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0B43C1FB">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企业类别（行业代码）：</w:t>
            </w:r>
          </w:p>
        </w:tc>
      </w:tr>
      <w:tr w14:paraId="320E8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654600C4">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企业名称：</w:t>
            </w:r>
          </w:p>
        </w:tc>
      </w:tr>
      <w:tr w14:paraId="458F8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4393" w:type="dxa"/>
            <w:tcBorders>
              <w:top w:val="single" w:color="000000" w:sz="4" w:space="0"/>
              <w:left w:val="single" w:color="000000" w:sz="4" w:space="0"/>
              <w:bottom w:val="single" w:color="000000" w:sz="4" w:space="0"/>
              <w:right w:val="single" w:color="000000" w:sz="4" w:space="0"/>
            </w:tcBorders>
            <w:noWrap w:val="0"/>
            <w:vAlign w:val="center"/>
          </w:tcPr>
          <w:p w14:paraId="4A70261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检查时间：</w:t>
            </w:r>
          </w:p>
        </w:tc>
        <w:tc>
          <w:tcPr>
            <w:tcW w:w="4895" w:type="dxa"/>
            <w:tcBorders>
              <w:top w:val="single" w:color="000000" w:sz="4" w:space="0"/>
              <w:left w:val="single" w:color="000000" w:sz="4" w:space="0"/>
              <w:bottom w:val="single" w:color="000000" w:sz="4" w:space="0"/>
              <w:right w:val="single" w:color="000000" w:sz="4" w:space="0"/>
            </w:tcBorders>
            <w:noWrap w:val="0"/>
            <w:vAlign w:val="center"/>
          </w:tcPr>
          <w:p w14:paraId="057177D1">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帮扶指导人员：</w:t>
            </w:r>
          </w:p>
        </w:tc>
      </w:tr>
      <w:tr w14:paraId="64AE6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4393" w:type="dxa"/>
            <w:tcBorders>
              <w:top w:val="single" w:color="000000" w:sz="4" w:space="0"/>
              <w:left w:val="single" w:color="000000" w:sz="4" w:space="0"/>
              <w:bottom w:val="single" w:color="000000" w:sz="4" w:space="0"/>
              <w:right w:val="single" w:color="000000" w:sz="4" w:space="0"/>
            </w:tcBorders>
            <w:noWrap w:val="0"/>
            <w:vAlign w:val="center"/>
          </w:tcPr>
          <w:p w14:paraId="49E9B99E">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企业地址：</w:t>
            </w:r>
          </w:p>
        </w:tc>
        <w:tc>
          <w:tcPr>
            <w:tcW w:w="4895" w:type="dxa"/>
            <w:tcBorders>
              <w:top w:val="single" w:color="000000" w:sz="4" w:space="0"/>
              <w:left w:val="single" w:color="000000" w:sz="4" w:space="0"/>
              <w:bottom w:val="single" w:color="000000" w:sz="4" w:space="0"/>
              <w:right w:val="single" w:color="000000" w:sz="4" w:space="0"/>
            </w:tcBorders>
            <w:noWrap w:val="0"/>
            <w:vAlign w:val="center"/>
          </w:tcPr>
          <w:p w14:paraId="2DF5B11C">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生产厂址与环评是否一致：</w:t>
            </w:r>
          </w:p>
        </w:tc>
      </w:tr>
      <w:tr w14:paraId="29449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4393" w:type="dxa"/>
            <w:tcBorders>
              <w:top w:val="single" w:color="000000" w:sz="4" w:space="0"/>
              <w:left w:val="single" w:color="000000" w:sz="4" w:space="0"/>
              <w:bottom w:val="single" w:color="000000" w:sz="4" w:space="0"/>
              <w:right w:val="single" w:color="000000" w:sz="4" w:space="0"/>
            </w:tcBorders>
            <w:noWrap w:val="0"/>
            <w:vAlign w:val="center"/>
          </w:tcPr>
          <w:p w14:paraId="68241F31">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lang w:val="en-US"/>
              </w:rPr>
            </w:pPr>
            <w:r>
              <w:rPr>
                <w:rFonts w:hint="eastAsia" w:ascii="宋体" w:hAnsi="宋体" w:eastAsia="宋体" w:cs="宋体"/>
                <w:b w:val="0"/>
                <w:bCs w:val="0"/>
                <w:i w:val="0"/>
                <w:iCs w:val="0"/>
                <w:color w:val="auto"/>
                <w:kern w:val="0"/>
                <w:sz w:val="21"/>
                <w:szCs w:val="21"/>
                <w:u w:val="none"/>
                <w:lang w:val="en-US" w:eastAsia="zh-CN" w:bidi="ar"/>
              </w:rPr>
              <w:t>生产状态：正在生产/未生产/长期停产等</w:t>
            </w:r>
          </w:p>
        </w:tc>
        <w:tc>
          <w:tcPr>
            <w:tcW w:w="4895" w:type="dxa"/>
            <w:tcBorders>
              <w:top w:val="single" w:color="000000" w:sz="4" w:space="0"/>
              <w:left w:val="single" w:color="000000" w:sz="4" w:space="0"/>
              <w:bottom w:val="single" w:color="000000" w:sz="4" w:space="0"/>
              <w:right w:val="single" w:color="000000" w:sz="4" w:space="0"/>
            </w:tcBorders>
            <w:noWrap w:val="0"/>
            <w:vAlign w:val="center"/>
          </w:tcPr>
          <w:p w14:paraId="0BE0D684">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sz w:val="21"/>
                <w:szCs w:val="21"/>
                <w:u w:val="none"/>
              </w:rPr>
            </w:pPr>
          </w:p>
        </w:tc>
      </w:tr>
      <w:tr w14:paraId="5FBE2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65A281D7">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黑体" w:hAnsi="黑体" w:eastAsia="黑体" w:cs="黑体"/>
                <w:b w:val="0"/>
                <w:bCs w:val="0"/>
                <w:i w:val="0"/>
                <w:iCs w:val="0"/>
                <w:color w:val="auto"/>
                <w:sz w:val="21"/>
                <w:szCs w:val="21"/>
                <w:u w:val="none"/>
              </w:rPr>
            </w:pPr>
            <w:r>
              <w:rPr>
                <w:rFonts w:hint="eastAsia" w:ascii="黑体" w:hAnsi="黑体" w:eastAsia="黑体" w:cs="黑体"/>
                <w:b w:val="0"/>
                <w:bCs w:val="0"/>
                <w:i w:val="0"/>
                <w:iCs w:val="0"/>
                <w:color w:val="auto"/>
                <w:kern w:val="0"/>
                <w:sz w:val="21"/>
                <w:szCs w:val="21"/>
                <w:u w:val="none"/>
                <w:lang w:val="en-US" w:eastAsia="zh-CN" w:bidi="ar"/>
              </w:rPr>
              <w:t>一、环保手续方面</w:t>
            </w:r>
          </w:p>
        </w:tc>
      </w:tr>
      <w:tr w14:paraId="5F3A8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3385A0F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1.环评手续情况（建设项目名称，环评审批时间、文号）：</w:t>
            </w:r>
          </w:p>
        </w:tc>
      </w:tr>
      <w:tr w14:paraId="6F5B8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499135E">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2.投产时间（分项目表述）：</w:t>
            </w:r>
          </w:p>
        </w:tc>
      </w:tr>
      <w:tr w14:paraId="0F7B9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B73742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3.竣工验收情况（分项目表述）：</w:t>
            </w:r>
          </w:p>
        </w:tc>
      </w:tr>
      <w:tr w14:paraId="7E4C0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24DFBA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4.排污许可证情况（管理类别、证号、有效期限）：</w:t>
            </w:r>
          </w:p>
        </w:tc>
      </w:tr>
      <w:tr w14:paraId="4D240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7E09109">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黑体" w:hAnsi="黑体" w:eastAsia="黑体" w:cs="黑体"/>
                <w:b w:val="0"/>
                <w:bCs w:val="0"/>
                <w:i w:val="0"/>
                <w:iCs w:val="0"/>
                <w:color w:val="auto"/>
                <w:kern w:val="0"/>
                <w:sz w:val="21"/>
                <w:szCs w:val="21"/>
                <w:u w:val="none"/>
                <w:lang w:val="en-US" w:eastAsia="zh-CN" w:bidi="ar"/>
              </w:rPr>
            </w:pPr>
            <w:r>
              <w:rPr>
                <w:rFonts w:hint="eastAsia" w:ascii="黑体" w:hAnsi="黑体" w:eastAsia="黑体" w:cs="黑体"/>
                <w:b w:val="0"/>
                <w:bCs w:val="0"/>
                <w:i w:val="0"/>
                <w:iCs w:val="0"/>
                <w:color w:val="auto"/>
                <w:kern w:val="0"/>
                <w:sz w:val="21"/>
                <w:szCs w:val="21"/>
                <w:u w:val="none"/>
                <w:lang w:val="en-US" w:eastAsia="zh-CN" w:bidi="ar"/>
              </w:rPr>
              <w:t>二、生产设施方面</w:t>
            </w:r>
          </w:p>
        </w:tc>
      </w:tr>
      <w:tr w14:paraId="4F59E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09AF28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1.生产线建设与许可、批复情况：</w:t>
            </w:r>
          </w:p>
        </w:tc>
      </w:tr>
      <w:tr w14:paraId="63C22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05F99FE3">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2.生产设施运行台账情况（已建立，记录不规范/未建立）：</w:t>
            </w:r>
          </w:p>
        </w:tc>
      </w:tr>
      <w:tr w14:paraId="1A46E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5B25F69">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3.生产过程中车间是否按要求进行密闭：</w:t>
            </w:r>
          </w:p>
        </w:tc>
      </w:tr>
      <w:tr w14:paraId="78E0D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5D6D0212">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4.物料堆场是否按要求进行覆盖/密闭：</w:t>
            </w:r>
          </w:p>
        </w:tc>
      </w:tr>
      <w:tr w14:paraId="3B889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61C4C47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黑体" w:hAnsi="黑体" w:eastAsia="黑体" w:cs="黑体"/>
                <w:b w:val="0"/>
                <w:bCs w:val="0"/>
                <w:i w:val="0"/>
                <w:iCs w:val="0"/>
                <w:color w:val="auto"/>
                <w:kern w:val="0"/>
                <w:sz w:val="21"/>
                <w:szCs w:val="21"/>
                <w:u w:val="none"/>
                <w:lang w:val="en-US" w:eastAsia="zh-CN" w:bidi="ar"/>
              </w:rPr>
            </w:pPr>
            <w:r>
              <w:rPr>
                <w:rFonts w:hint="eastAsia" w:ascii="黑体" w:hAnsi="黑体" w:eastAsia="黑体" w:cs="黑体"/>
                <w:b w:val="0"/>
                <w:bCs w:val="0"/>
                <w:i w:val="0"/>
                <w:iCs w:val="0"/>
                <w:color w:val="auto"/>
                <w:kern w:val="0"/>
                <w:sz w:val="21"/>
                <w:szCs w:val="21"/>
                <w:u w:val="none"/>
                <w:lang w:val="en-US" w:eastAsia="zh-CN" w:bidi="ar"/>
              </w:rPr>
              <w:t>三、治污设施方面</w:t>
            </w:r>
          </w:p>
        </w:tc>
      </w:tr>
      <w:tr w14:paraId="1DE1C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C8B2EE2">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1.治污设施运行情况（废水、废气）：</w:t>
            </w:r>
          </w:p>
        </w:tc>
      </w:tr>
      <w:tr w14:paraId="6F2BB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061E15E1">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2.治污设施运维台账、制度建立情况（已建立，记录不规范/未建立）：</w:t>
            </w:r>
          </w:p>
        </w:tc>
      </w:tr>
      <w:tr w14:paraId="00EC0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3AA95E7">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3.治污设施与许可、批复是否一致：</w:t>
            </w:r>
          </w:p>
        </w:tc>
      </w:tr>
      <w:tr w14:paraId="3D039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468AAD12">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4.污染物有组织排放口与排污许可证是否一致：</w:t>
            </w:r>
          </w:p>
        </w:tc>
      </w:tr>
      <w:tr w14:paraId="47F77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4465A6D6">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5.采样口设置是否规范化：</w:t>
            </w:r>
          </w:p>
        </w:tc>
      </w:tr>
      <w:tr w14:paraId="4549E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A045B25">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lang w:val="en-US"/>
              </w:rPr>
            </w:pPr>
            <w:r>
              <w:rPr>
                <w:rFonts w:hint="eastAsia" w:ascii="宋体" w:hAnsi="宋体" w:eastAsia="宋体" w:cs="宋体"/>
                <w:b w:val="0"/>
                <w:bCs w:val="0"/>
                <w:i w:val="0"/>
                <w:iCs w:val="0"/>
                <w:color w:val="auto"/>
                <w:kern w:val="0"/>
                <w:sz w:val="21"/>
                <w:szCs w:val="21"/>
                <w:u w:val="none"/>
                <w:lang w:val="en-US" w:eastAsia="zh-CN" w:bidi="ar"/>
              </w:rPr>
              <w:t>6.自行监测开展及公开情况：</w:t>
            </w:r>
          </w:p>
        </w:tc>
      </w:tr>
      <w:tr w14:paraId="21A8D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DFBAF0C">
            <w:pPr>
              <w:keepNext w:val="0"/>
              <w:keepLines w:val="0"/>
              <w:pageBreakBefore w:val="0"/>
              <w:widowControl w:val="0"/>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7.自行监测结果是否正常：</w:t>
            </w:r>
          </w:p>
        </w:tc>
      </w:tr>
      <w:tr w14:paraId="3261F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15B1016">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8.低效失效设备（除尘、脱硫、脱硝、VOCs）排查：</w:t>
            </w:r>
          </w:p>
          <w:p w14:paraId="7860EB0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除尘：重点排查电极、滤袋（筒）的更换情况；企业选择的除尘工艺是否为不鼓励类（水膜（浴）除尘、湿法脱硫除尘一体化、旋风除尘、多管除尘、重力沉降等低效除尘技术）。</w:t>
            </w:r>
          </w:p>
          <w:p w14:paraId="4FD78725">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脱硝：重点排查氨逃逸情况；采取的脱硝工艺；检查脱硝设备管道腐蚀情况，以及脱硝剂流量、温度、压差等关键参数表计配备情况；采用尿素作为选择性催化还原法（SCR）还原剂的，检查是否配备制氨系统。</w:t>
            </w:r>
          </w:p>
          <w:p w14:paraId="4AC3CE3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脱硫：重点排查脱硫废液及副产物处置情况；核实脱硫工艺是否为低效工艺（水喷淋脱硫、电子束法脱硫等）及脱硫剂喷洒方式。</w:t>
            </w:r>
          </w:p>
          <w:p w14:paraId="1EEE7879">
            <w:pPr>
              <w:keepNext w:val="0"/>
              <w:keepLines w:val="0"/>
              <w:pageBreakBefore w:val="0"/>
              <w:widowControl w:val="0"/>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VOCs处理：重点排查有机废气收集，燃烧工艺燃烧温度和补充空气燃烧情况，吸附剂装填、再生和更换情况；核实是否采用单一低温等离子、光氧化、光催化，非水溶性VOCs废气采用单一水喷淋吸收。</w:t>
            </w:r>
          </w:p>
        </w:tc>
      </w:tr>
      <w:tr w14:paraId="4FE60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60C991DA">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黑体" w:hAnsi="黑体" w:eastAsia="黑体" w:cs="黑体"/>
                <w:b w:val="0"/>
                <w:bCs w:val="0"/>
                <w:i w:val="0"/>
                <w:iCs w:val="0"/>
                <w:color w:val="auto"/>
                <w:kern w:val="0"/>
                <w:sz w:val="21"/>
                <w:szCs w:val="21"/>
                <w:u w:val="none"/>
                <w:lang w:val="en-US" w:eastAsia="zh-CN" w:bidi="ar"/>
              </w:rPr>
            </w:pPr>
            <w:r>
              <w:rPr>
                <w:rFonts w:hint="eastAsia" w:ascii="黑体" w:hAnsi="黑体" w:eastAsia="黑体" w:cs="黑体"/>
                <w:b w:val="0"/>
                <w:bCs w:val="0"/>
                <w:i w:val="0"/>
                <w:iCs w:val="0"/>
                <w:color w:val="auto"/>
                <w:kern w:val="0"/>
                <w:sz w:val="21"/>
                <w:szCs w:val="21"/>
                <w:u w:val="none"/>
                <w:lang w:val="en-US" w:eastAsia="zh-CN" w:bidi="ar"/>
              </w:rPr>
              <w:t>四、工业固体废物管理方面</w:t>
            </w:r>
          </w:p>
        </w:tc>
      </w:tr>
      <w:tr w14:paraId="3A35A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4393" w:type="dxa"/>
            <w:tcBorders>
              <w:top w:val="single" w:color="000000" w:sz="4" w:space="0"/>
              <w:left w:val="single" w:color="000000" w:sz="4" w:space="0"/>
              <w:bottom w:val="single" w:color="000000" w:sz="4" w:space="0"/>
              <w:right w:val="single" w:color="000000" w:sz="4" w:space="0"/>
            </w:tcBorders>
            <w:noWrap w:val="0"/>
            <w:vAlign w:val="center"/>
          </w:tcPr>
          <w:p w14:paraId="5EC468EA">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一般工业固体废物（是否产生）</w:t>
            </w:r>
          </w:p>
        </w:tc>
        <w:tc>
          <w:tcPr>
            <w:tcW w:w="4895" w:type="dxa"/>
            <w:tcBorders>
              <w:top w:val="single" w:color="000000" w:sz="4" w:space="0"/>
              <w:left w:val="single" w:color="000000" w:sz="4" w:space="0"/>
              <w:bottom w:val="single" w:color="000000" w:sz="4" w:space="0"/>
              <w:right w:val="single" w:color="000000" w:sz="4" w:space="0"/>
            </w:tcBorders>
            <w:noWrap w:val="0"/>
            <w:vAlign w:val="center"/>
          </w:tcPr>
          <w:p w14:paraId="2882BBF5">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产生种类与安徽省固体废物管理信息系统、排污许可证是否一致</w:t>
            </w:r>
          </w:p>
        </w:tc>
      </w:tr>
      <w:tr w14:paraId="2B8C3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392232E6">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1.是否建立一般工业固体废物管理台账，如实记录有关信息：是/否（具体情况）</w:t>
            </w:r>
          </w:p>
        </w:tc>
      </w:tr>
      <w:tr w14:paraId="05423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320573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2.是否签订一般工业固体废物利用处置合同：是/否（签订单位、有效期、是否核实受托方利用处置能力）</w:t>
            </w:r>
          </w:p>
        </w:tc>
      </w:tr>
      <w:tr w14:paraId="5371D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CAC98D9">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3.是否按照国家有关规定和环境保护标准要求贮存一般固废：满足防扬散、防流失、防渗漏、防雨淋等环境保护要求，不应露天堆放。</w:t>
            </w:r>
          </w:p>
        </w:tc>
      </w:tr>
      <w:tr w14:paraId="30262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8B41E4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4.是否跨省转移（是：是否备案或审批/否）：</w:t>
            </w:r>
          </w:p>
        </w:tc>
      </w:tr>
      <w:tr w14:paraId="5C979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526B331A">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5.是否按要求落实信息公开制度：</w:t>
            </w:r>
          </w:p>
        </w:tc>
      </w:tr>
      <w:tr w14:paraId="589EB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08FE873">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6.是否为一般工业固体废物利用、处置单位：检查环评、工艺、排污许可证等信息是否具有利用处置一般工业固废的能力</w:t>
            </w:r>
          </w:p>
        </w:tc>
      </w:tr>
      <w:tr w14:paraId="6A833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61B77946">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7.是否在安徽省固体废物管理信息系统中填报一</w:t>
            </w:r>
            <w:r>
              <w:rPr>
                <w:rFonts w:hint="eastAsia" w:ascii="宋体" w:hAnsi="宋体" w:eastAsia="宋体" w:cs="宋体"/>
                <w:b w:val="0"/>
                <w:bCs w:val="0"/>
                <w:i w:val="0"/>
                <w:iCs w:val="0"/>
                <w:color w:val="auto"/>
                <w:kern w:val="0"/>
                <w:sz w:val="21"/>
                <w:szCs w:val="21"/>
                <w:highlight w:val="none"/>
                <w:u w:val="none"/>
                <w:lang w:val="en-US" w:eastAsia="zh-CN" w:bidi="ar"/>
              </w:rPr>
              <w:t>般工业固体废物月度台账：</w:t>
            </w:r>
          </w:p>
        </w:tc>
      </w:tr>
      <w:tr w14:paraId="6DF9A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4393" w:type="dxa"/>
            <w:tcBorders>
              <w:top w:val="single" w:color="000000" w:sz="4" w:space="0"/>
              <w:left w:val="single" w:color="000000" w:sz="4" w:space="0"/>
              <w:bottom w:val="single" w:color="000000" w:sz="4" w:space="0"/>
              <w:right w:val="single" w:color="000000" w:sz="4" w:space="0"/>
            </w:tcBorders>
            <w:noWrap w:val="0"/>
            <w:vAlign w:val="center"/>
          </w:tcPr>
          <w:p w14:paraId="76D8907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危险废物（是否产生）</w:t>
            </w:r>
          </w:p>
        </w:tc>
        <w:tc>
          <w:tcPr>
            <w:tcW w:w="4895" w:type="dxa"/>
            <w:tcBorders>
              <w:top w:val="single" w:color="000000" w:sz="4" w:space="0"/>
              <w:left w:val="single" w:color="000000" w:sz="4" w:space="0"/>
              <w:bottom w:val="single" w:color="000000" w:sz="4" w:space="0"/>
              <w:right w:val="single" w:color="000000" w:sz="4" w:space="0"/>
            </w:tcBorders>
            <w:noWrap w:val="0"/>
            <w:vAlign w:val="center"/>
          </w:tcPr>
          <w:p w14:paraId="26CECCB1">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产生种类与安徽省固体废物管理信息系统、排污许可证是否一致</w:t>
            </w:r>
          </w:p>
        </w:tc>
      </w:tr>
      <w:tr w14:paraId="2BA5C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33EAD6C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1.是否建立危险废物管理台账，如实记录有关信息：是/否（具体情况）</w:t>
            </w:r>
          </w:p>
        </w:tc>
      </w:tr>
      <w:tr w14:paraId="3D064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7AFC33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2.是否签订危险废物利用处置合同：是/否（签订单位、有效期、是否核实受托方利用处置能力）</w:t>
            </w:r>
          </w:p>
        </w:tc>
      </w:tr>
      <w:tr w14:paraId="180FF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E655808">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3.是否按照规定设置危险废物识别标志：</w:t>
            </w:r>
          </w:p>
        </w:tc>
      </w:tr>
      <w:tr w14:paraId="47D97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90C314D">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4.危废库房内是否按照危害特性分类分区、分类贮存危废：</w:t>
            </w:r>
          </w:p>
        </w:tc>
      </w:tr>
      <w:tr w14:paraId="41477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0679B8C3">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5.危废库房内是否存放与危废无关的一般固废等杂物：</w:t>
            </w:r>
          </w:p>
        </w:tc>
      </w:tr>
      <w:tr w14:paraId="66A85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0AAD5BA7">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6.危废库房建设是否符合《危险废物贮存污染控制标准》一般要求：</w:t>
            </w:r>
          </w:p>
        </w:tc>
      </w:tr>
      <w:tr w14:paraId="43F31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3A102E1E">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7.是否在安徽省固体废物管理信息系统备案危险废物管理计划：</w:t>
            </w:r>
          </w:p>
        </w:tc>
      </w:tr>
      <w:tr w14:paraId="2413F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509C87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8.是否在安徽省固体废物管理信息系统全面、准确的申报危险废物的种类、产生量、利用处置情况：（年报、季报、月报）</w:t>
            </w:r>
          </w:p>
        </w:tc>
      </w:tr>
      <w:tr w14:paraId="473C7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34111C8">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9.是否如实填写、运行转移联单，与管理台账、现场存放情况是否相符：</w:t>
            </w:r>
          </w:p>
        </w:tc>
      </w:tr>
      <w:tr w14:paraId="58B11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3800D9A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10.是否跨省转移（是：是否获得省厅批准/否）：</w:t>
            </w:r>
          </w:p>
        </w:tc>
      </w:tr>
      <w:tr w14:paraId="77497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BB7FA51">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11.是否按要求落实信息公开制度：</w:t>
            </w:r>
          </w:p>
        </w:tc>
      </w:tr>
      <w:tr w14:paraId="7998C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4C0B2247">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12.是否为危险废物经营单位：</w:t>
            </w:r>
          </w:p>
        </w:tc>
      </w:tr>
      <w:tr w14:paraId="39C5A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0F18AE77">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13.危险废物经营单位的危险废物贮存超过一年是否报经颁发许可证的生态环境部门批准：</w:t>
            </w:r>
          </w:p>
        </w:tc>
      </w:tr>
      <w:tr w14:paraId="6CB2F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04E4C86A">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14.危险废物经营单位是否建立了经营管理台账，如实记载危险废物经营情况：</w:t>
            </w:r>
          </w:p>
        </w:tc>
      </w:tr>
      <w:tr w14:paraId="4BD5E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75C4718">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黑体" w:hAnsi="黑体" w:eastAsia="黑体" w:cs="黑体"/>
                <w:b w:val="0"/>
                <w:bCs w:val="0"/>
                <w:i w:val="0"/>
                <w:iCs w:val="0"/>
                <w:color w:val="auto"/>
                <w:kern w:val="0"/>
                <w:sz w:val="21"/>
                <w:szCs w:val="21"/>
                <w:u w:val="none"/>
                <w:lang w:val="en-US" w:eastAsia="zh-CN" w:bidi="ar"/>
              </w:rPr>
            </w:pPr>
            <w:r>
              <w:rPr>
                <w:rFonts w:hint="eastAsia" w:ascii="黑体" w:hAnsi="黑体" w:eastAsia="黑体" w:cs="黑体"/>
                <w:b w:val="0"/>
                <w:bCs w:val="0"/>
                <w:i w:val="0"/>
                <w:iCs w:val="0"/>
                <w:color w:val="auto"/>
                <w:kern w:val="0"/>
                <w:sz w:val="21"/>
                <w:szCs w:val="21"/>
                <w:u w:val="none"/>
                <w:lang w:val="en-US" w:eastAsia="zh-CN" w:bidi="ar"/>
              </w:rPr>
              <w:t>五、生态环境应急管理方面</w:t>
            </w:r>
          </w:p>
        </w:tc>
      </w:tr>
      <w:tr w14:paraId="170D4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7F8172E">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1.突发环境事件应急预案及备案情况：</w:t>
            </w:r>
          </w:p>
        </w:tc>
      </w:tr>
      <w:tr w14:paraId="73F5E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24C14B7">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2.应急预案是否包含应急预案文本、风险评估报告、应急物资调查，是否有专家评审：</w:t>
            </w:r>
          </w:p>
        </w:tc>
      </w:tr>
      <w:tr w14:paraId="38EE0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33B9ABC1">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3.企业是否按照应急预案中要求频次和预设突发环境事件开展演练，并开展环境应急演练的总结和评估工作：</w:t>
            </w:r>
          </w:p>
        </w:tc>
      </w:tr>
      <w:tr w14:paraId="1D01F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B6A1ABE">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4.是否和其他公司签订突发环境事件应急互助协议，是否与第三检测公司签订应急检测协议：</w:t>
            </w:r>
          </w:p>
        </w:tc>
      </w:tr>
      <w:tr w14:paraId="6A7F6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60BF4F5E">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5.是否公开突发环境事件应急预案及演练情况：</w:t>
            </w:r>
          </w:p>
        </w:tc>
      </w:tr>
      <w:tr w14:paraId="5615D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A61EFE7">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6.是否设置应急池，应急池容积是否满足环评文件及批复等相关文件要求，应急池是否被占用：</w:t>
            </w:r>
          </w:p>
        </w:tc>
      </w:tr>
      <w:tr w14:paraId="72FB5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351F8BA8">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7.涉危险化学品或其他有毒有害物质的各个生产装置、罐区是否设置有围堰：</w:t>
            </w:r>
          </w:p>
        </w:tc>
      </w:tr>
      <w:tr w14:paraId="5808C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5BAFC083">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8.雨水、清净下水和污水的总排口，是否设置监视及关闭闸（阀），是否设专人负责在紧急情况下关闭总排口：</w:t>
            </w:r>
          </w:p>
        </w:tc>
      </w:tr>
      <w:tr w14:paraId="063F6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56955EFD">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9.土壤污染重点监管单位是否建立土壤污染隐患排查制度，按期开展土壤污染隐患排查工作：</w:t>
            </w:r>
          </w:p>
        </w:tc>
      </w:tr>
      <w:tr w14:paraId="4AE38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22B7DEE">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黑体" w:hAnsi="黑体" w:eastAsia="黑体" w:cs="黑体"/>
                <w:b w:val="0"/>
                <w:bCs w:val="0"/>
                <w:i w:val="0"/>
                <w:iCs w:val="0"/>
                <w:color w:val="auto"/>
                <w:kern w:val="0"/>
                <w:sz w:val="21"/>
                <w:szCs w:val="21"/>
                <w:u w:val="none"/>
                <w:lang w:val="en-US" w:eastAsia="zh-CN" w:bidi="ar"/>
              </w:rPr>
            </w:pPr>
            <w:r>
              <w:rPr>
                <w:rFonts w:hint="eastAsia" w:ascii="黑体" w:hAnsi="黑体" w:eastAsia="黑体" w:cs="黑体"/>
                <w:b w:val="0"/>
                <w:bCs w:val="0"/>
                <w:i w:val="0"/>
                <w:iCs w:val="0"/>
                <w:color w:val="auto"/>
                <w:kern w:val="0"/>
                <w:sz w:val="21"/>
                <w:szCs w:val="21"/>
                <w:u w:val="none"/>
                <w:lang w:val="en-US" w:eastAsia="zh-CN" w:bidi="ar"/>
              </w:rPr>
              <w:t>六、污染源自动监控方面</w:t>
            </w:r>
          </w:p>
        </w:tc>
      </w:tr>
      <w:tr w14:paraId="54B7C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D9EDAC9">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1.是否按照重点排污单位/排污许可证监测要求安装使用自动监控设备：</w:t>
            </w:r>
          </w:p>
        </w:tc>
      </w:tr>
      <w:tr w14:paraId="26617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DD8472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2.自动监控设备是否正常联网：</w:t>
            </w:r>
          </w:p>
        </w:tc>
      </w:tr>
      <w:tr w14:paraId="4A499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AA1BFA2">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3.自动监控设备是否进行验收并通过：</w:t>
            </w:r>
          </w:p>
        </w:tc>
      </w:tr>
      <w:tr w14:paraId="77FE0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4DA1906D">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4.现场安装设备型号与验收手续是否一致：</w:t>
            </w:r>
          </w:p>
        </w:tc>
      </w:tr>
      <w:tr w14:paraId="754FD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6029E48B">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5.标气、标液、试剂等是否在有效期内：</w:t>
            </w:r>
          </w:p>
        </w:tc>
      </w:tr>
      <w:tr w14:paraId="2858E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47355ED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6.是否按要求开展比对监测（水1个月、气3个月）：</w:t>
            </w:r>
          </w:p>
        </w:tc>
      </w:tr>
      <w:tr w14:paraId="709C1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0E1E314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7.是否存在不正常运行自动监测设备情形：《安徽省污染源自动监控管理办法（试行）》第十八条情形</w:t>
            </w:r>
          </w:p>
        </w:tc>
      </w:tr>
      <w:tr w14:paraId="7506F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0490296A">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8.存在涉嫌弄虚作假问题：</w:t>
            </w:r>
          </w:p>
        </w:tc>
      </w:tr>
      <w:tr w14:paraId="3AC01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45C767CF">
            <w:pPr>
              <w:pStyle w:val="5"/>
              <w:keepNext w:val="0"/>
              <w:keepLines w:val="0"/>
              <w:pageBreakBefore w:val="0"/>
              <w:widowControl w:val="0"/>
              <w:numPr>
                <w:ilvl w:val="0"/>
                <w:numId w:val="0"/>
              </w:numPr>
              <w:kinsoku/>
              <w:wordWrap/>
              <w:overflowPunct/>
              <w:topLinePunct w:val="0"/>
              <w:autoSpaceDE/>
              <w:autoSpaceDN/>
              <w:bidi w:val="0"/>
              <w:adjustRightInd/>
              <w:snapToGrid/>
              <w:spacing w:before="156" w:beforeLines="50"/>
              <w:ind w:leftChars="0"/>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color w:val="auto"/>
                <w:sz w:val="21"/>
                <w:szCs w:val="21"/>
                <w:lang w:val="en-US" w:eastAsia="zh-CN"/>
              </w:rPr>
              <w:t>9.</w:t>
            </w:r>
            <w:r>
              <w:rPr>
                <w:rFonts w:hint="eastAsia" w:ascii="宋体" w:hAnsi="宋体" w:eastAsia="宋体" w:cs="宋体"/>
                <w:b w:val="0"/>
                <w:bCs w:val="0"/>
                <w:color w:val="auto"/>
                <w:sz w:val="21"/>
                <w:szCs w:val="21"/>
              </w:rPr>
              <w:t>在线监测设备基准氧含量设置</w:t>
            </w:r>
            <w:r>
              <w:rPr>
                <w:rFonts w:hint="eastAsia" w:ascii="宋体" w:hAnsi="宋体" w:eastAsia="宋体" w:cs="宋体"/>
                <w:b w:val="0"/>
                <w:bCs w:val="0"/>
                <w:color w:val="auto"/>
                <w:sz w:val="21"/>
                <w:szCs w:val="21"/>
                <w:lang w:val="en-US" w:eastAsia="zh-CN"/>
              </w:rPr>
              <w:t>是否符合规范，结果是否需要折算：</w:t>
            </w:r>
          </w:p>
        </w:tc>
      </w:tr>
      <w:tr w14:paraId="19494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23C26A6">
            <w:pPr>
              <w:pStyle w:val="5"/>
              <w:keepNext w:val="0"/>
              <w:keepLines w:val="0"/>
              <w:pageBreakBefore w:val="0"/>
              <w:widowControl w:val="0"/>
              <w:numPr>
                <w:ilvl w:val="0"/>
                <w:numId w:val="0"/>
              </w:numPr>
              <w:kinsoku/>
              <w:wordWrap/>
              <w:overflowPunct/>
              <w:topLinePunct w:val="0"/>
              <w:autoSpaceDE/>
              <w:autoSpaceDN/>
              <w:bidi w:val="0"/>
              <w:adjustRightInd/>
              <w:snapToGrid/>
              <w:spacing w:before="156" w:beforeLines="50"/>
              <w:ind w:leftChars="0"/>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10.</w:t>
            </w:r>
            <w:r>
              <w:rPr>
                <w:rFonts w:hint="eastAsia" w:ascii="宋体" w:hAnsi="宋体" w:eastAsia="宋体" w:cs="宋体"/>
                <w:b w:val="0"/>
                <w:bCs w:val="0"/>
                <w:color w:val="auto"/>
                <w:sz w:val="21"/>
                <w:szCs w:val="21"/>
                <w:lang w:val="en-US" w:eastAsia="zh-CN"/>
              </w:rPr>
              <w:t>在线监测设备通标测试情况，是否符合技术规范：</w:t>
            </w:r>
          </w:p>
        </w:tc>
      </w:tr>
      <w:tr w14:paraId="700FA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02C9B81">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黑体" w:hAnsi="黑体" w:eastAsia="黑体" w:cs="黑体"/>
                <w:b w:val="0"/>
                <w:bCs w:val="0"/>
                <w:i w:val="0"/>
                <w:iCs w:val="0"/>
                <w:color w:val="auto"/>
                <w:kern w:val="0"/>
                <w:sz w:val="21"/>
                <w:szCs w:val="21"/>
                <w:u w:val="none"/>
                <w:lang w:val="en-US" w:eastAsia="zh-CN" w:bidi="ar"/>
              </w:rPr>
            </w:pPr>
            <w:r>
              <w:rPr>
                <w:rFonts w:hint="eastAsia" w:ascii="黑体" w:hAnsi="黑体" w:eastAsia="黑体" w:cs="黑体"/>
                <w:b w:val="0"/>
                <w:bCs w:val="0"/>
                <w:i w:val="0"/>
                <w:iCs w:val="0"/>
                <w:color w:val="auto"/>
                <w:kern w:val="0"/>
                <w:sz w:val="21"/>
                <w:szCs w:val="21"/>
                <w:u w:val="none"/>
                <w:lang w:val="en-US" w:eastAsia="zh-CN" w:bidi="ar"/>
              </w:rPr>
              <w:t>七、重污染天气应急方面</w:t>
            </w:r>
          </w:p>
        </w:tc>
      </w:tr>
      <w:tr w14:paraId="69964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4001017A">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1.是否纳入减排清单：是（显示清单内容）/否（未及时纳入等原因）</w:t>
            </w:r>
          </w:p>
        </w:tc>
      </w:tr>
      <w:tr w14:paraId="19E3F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02B6C03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2.重污染期间是否落实重污染天气应急管控措施：</w:t>
            </w:r>
          </w:p>
        </w:tc>
      </w:tr>
      <w:tr w14:paraId="336F0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38448F92">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3.“一厂一策” 公示牌是否设置、内容是否准确：</w:t>
            </w:r>
          </w:p>
        </w:tc>
      </w:tr>
      <w:tr w14:paraId="6876B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93DAC6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4.清单中的生产设施与企业实际建设是否相符：</w:t>
            </w:r>
          </w:p>
        </w:tc>
      </w:tr>
      <w:tr w14:paraId="7E8B3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3B5451B7">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5.排污许可证是否有应急管控要求：</w:t>
            </w:r>
          </w:p>
        </w:tc>
      </w:tr>
      <w:tr w14:paraId="13C94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18832C6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黑体" w:hAnsi="黑体" w:eastAsia="黑体" w:cs="黑体"/>
                <w:b w:val="0"/>
                <w:bCs w:val="0"/>
                <w:i w:val="0"/>
                <w:iCs w:val="0"/>
                <w:color w:val="auto"/>
                <w:kern w:val="0"/>
                <w:sz w:val="21"/>
                <w:szCs w:val="21"/>
                <w:u w:val="none"/>
                <w:lang w:val="en-US" w:eastAsia="zh-CN" w:bidi="ar"/>
              </w:rPr>
            </w:pPr>
            <w:r>
              <w:rPr>
                <w:rFonts w:hint="eastAsia" w:ascii="黑体" w:hAnsi="黑体" w:eastAsia="黑体" w:cs="黑体"/>
                <w:b w:val="0"/>
                <w:bCs w:val="0"/>
                <w:i w:val="0"/>
                <w:iCs w:val="0"/>
                <w:color w:val="auto"/>
                <w:kern w:val="0"/>
                <w:sz w:val="21"/>
                <w:szCs w:val="21"/>
                <w:u w:val="none"/>
                <w:lang w:val="en-US" w:eastAsia="zh-CN" w:bidi="ar"/>
              </w:rPr>
              <w:t>八、再生金属与有色金属压延行业增加排查项</w:t>
            </w:r>
          </w:p>
        </w:tc>
      </w:tr>
      <w:tr w14:paraId="356F0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86E3E6D">
            <w:pPr>
              <w:pStyle w:val="5"/>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1.核实物料密闭、输送、储存情况。</w:t>
            </w:r>
          </w:p>
          <w:p w14:paraId="1BC14AA0">
            <w:pPr>
              <w:pStyle w:val="5"/>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如，</w:t>
            </w:r>
            <w:r>
              <w:rPr>
                <w:rFonts w:hint="eastAsia" w:ascii="宋体" w:hAnsi="宋体" w:eastAsia="宋体" w:cs="宋体"/>
                <w:b w:val="0"/>
                <w:bCs w:val="0"/>
                <w:color w:val="auto"/>
                <w:sz w:val="21"/>
                <w:szCs w:val="21"/>
              </w:rPr>
              <w:t>粉状物料采用料仓、储罐等方式密闭储存，采用管状带式输送机、气力输送设备、罐车等方式密闭输送</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块状或粘湿物料采用仓库或料棚等方式储存</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弃灰采用专用仓库贮存</w:t>
            </w:r>
            <w:r>
              <w:rPr>
                <w:rFonts w:hint="eastAsia" w:ascii="宋体" w:hAnsi="宋体" w:eastAsia="宋体" w:cs="宋体"/>
                <w:b w:val="0"/>
                <w:bCs w:val="0"/>
                <w:color w:val="auto"/>
                <w:sz w:val="21"/>
                <w:szCs w:val="21"/>
                <w:lang w:eastAsia="zh-CN"/>
              </w:rPr>
              <w:t>。</w:t>
            </w:r>
          </w:p>
          <w:p w14:paraId="5CEBEA48">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2</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原料预处理</w:t>
            </w:r>
            <w:r>
              <w:rPr>
                <w:rFonts w:hint="eastAsia" w:ascii="宋体" w:hAnsi="宋体" w:eastAsia="宋体" w:cs="宋体"/>
                <w:b w:val="0"/>
                <w:bCs w:val="0"/>
                <w:color w:val="auto"/>
                <w:sz w:val="21"/>
                <w:szCs w:val="21"/>
                <w:lang w:val="en-US" w:eastAsia="zh-CN"/>
              </w:rPr>
              <w:t>情况：核实</w:t>
            </w:r>
            <w:r>
              <w:rPr>
                <w:rFonts w:hint="eastAsia" w:ascii="宋体" w:hAnsi="宋体" w:eastAsia="宋体" w:cs="宋体"/>
                <w:b w:val="0"/>
                <w:bCs w:val="0"/>
                <w:color w:val="auto"/>
                <w:sz w:val="21"/>
                <w:szCs w:val="21"/>
              </w:rPr>
              <w:t>厂房封闭</w:t>
            </w:r>
            <w:r>
              <w:rPr>
                <w:rFonts w:hint="eastAsia" w:ascii="宋体" w:hAnsi="宋体" w:eastAsia="宋体" w:cs="宋体"/>
                <w:b w:val="0"/>
                <w:bCs w:val="0"/>
                <w:color w:val="auto"/>
                <w:sz w:val="21"/>
                <w:szCs w:val="21"/>
                <w:lang w:val="en-US" w:eastAsia="zh-CN"/>
              </w:rPr>
              <w:t>情况</w:t>
            </w:r>
            <w:r>
              <w:rPr>
                <w:rFonts w:hint="eastAsia" w:ascii="宋体" w:hAnsi="宋体" w:eastAsia="宋体" w:cs="宋体"/>
                <w:b w:val="0"/>
                <w:bCs w:val="0"/>
                <w:color w:val="auto"/>
                <w:sz w:val="21"/>
                <w:szCs w:val="21"/>
              </w:rPr>
              <w:t>，破碎、分选、烘干等产尘工序设置集气罩并配备除尘设施</w:t>
            </w:r>
            <w:r>
              <w:rPr>
                <w:rFonts w:hint="eastAsia" w:ascii="宋体" w:hAnsi="宋体" w:eastAsia="宋体" w:cs="宋体"/>
                <w:b w:val="0"/>
                <w:bCs w:val="0"/>
                <w:color w:val="auto"/>
                <w:sz w:val="21"/>
                <w:szCs w:val="21"/>
                <w:lang w:val="en-US" w:eastAsia="zh-CN"/>
              </w:rPr>
              <w:t>情况</w:t>
            </w:r>
            <w:r>
              <w:rPr>
                <w:rFonts w:hint="eastAsia" w:ascii="宋体" w:hAnsi="宋体" w:eastAsia="宋体" w:cs="宋体"/>
                <w:b w:val="0"/>
                <w:bCs w:val="0"/>
                <w:color w:val="auto"/>
                <w:sz w:val="21"/>
                <w:szCs w:val="21"/>
                <w:lang w:eastAsia="zh-CN"/>
              </w:rPr>
              <w:t>。</w:t>
            </w:r>
          </w:p>
          <w:p w14:paraId="0B924722">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3</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lang w:val="en-US" w:eastAsia="zh-CN"/>
              </w:rPr>
              <w:t>核实</w:t>
            </w:r>
            <w:r>
              <w:rPr>
                <w:rFonts w:hint="eastAsia" w:ascii="宋体" w:hAnsi="宋体" w:eastAsia="宋体" w:cs="宋体"/>
                <w:b w:val="0"/>
                <w:bCs w:val="0"/>
                <w:color w:val="auto"/>
                <w:sz w:val="21"/>
                <w:szCs w:val="21"/>
              </w:rPr>
              <w:t>熔炼、精炼和热灰处理过程负压或密闭措施</w:t>
            </w:r>
            <w:r>
              <w:rPr>
                <w:rFonts w:hint="eastAsia" w:ascii="宋体" w:hAnsi="宋体" w:eastAsia="宋体" w:cs="宋体"/>
                <w:b w:val="0"/>
                <w:bCs w:val="0"/>
                <w:color w:val="auto"/>
                <w:sz w:val="21"/>
                <w:szCs w:val="21"/>
                <w:lang w:val="en-US" w:eastAsia="zh-CN"/>
              </w:rPr>
              <w:t>情况</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熔炼炉加料口、出料口集气罩</w:t>
            </w:r>
            <w:r>
              <w:rPr>
                <w:rFonts w:hint="eastAsia" w:ascii="宋体" w:hAnsi="宋体" w:eastAsia="宋体" w:cs="宋体"/>
                <w:b w:val="0"/>
                <w:bCs w:val="0"/>
                <w:color w:val="auto"/>
                <w:sz w:val="21"/>
                <w:szCs w:val="21"/>
                <w:lang w:val="en-US" w:eastAsia="zh-CN"/>
              </w:rPr>
              <w:t>及</w:t>
            </w:r>
            <w:r>
              <w:rPr>
                <w:rFonts w:hint="eastAsia" w:ascii="宋体" w:hAnsi="宋体" w:eastAsia="宋体" w:cs="宋体"/>
                <w:b w:val="0"/>
                <w:bCs w:val="0"/>
                <w:color w:val="auto"/>
                <w:sz w:val="21"/>
                <w:szCs w:val="21"/>
              </w:rPr>
              <w:t>除尘设施</w:t>
            </w:r>
            <w:r>
              <w:rPr>
                <w:rFonts w:hint="eastAsia" w:ascii="宋体" w:hAnsi="宋体" w:eastAsia="宋体" w:cs="宋体"/>
                <w:b w:val="0"/>
                <w:bCs w:val="0"/>
                <w:color w:val="auto"/>
                <w:sz w:val="21"/>
                <w:szCs w:val="21"/>
                <w:lang w:val="en-US" w:eastAsia="zh-CN"/>
              </w:rPr>
              <w:t>情况</w:t>
            </w:r>
            <w:r>
              <w:rPr>
                <w:rFonts w:hint="eastAsia" w:ascii="宋体" w:hAnsi="宋体" w:eastAsia="宋体" w:cs="宋体"/>
                <w:b w:val="0"/>
                <w:bCs w:val="0"/>
                <w:color w:val="auto"/>
                <w:sz w:val="21"/>
                <w:szCs w:val="21"/>
                <w:lang w:eastAsia="zh-CN"/>
              </w:rPr>
              <w:t>。</w:t>
            </w:r>
          </w:p>
          <w:p w14:paraId="5C3B4192">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4</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厂区道路硬化</w:t>
            </w:r>
            <w:r>
              <w:rPr>
                <w:rFonts w:hint="eastAsia" w:ascii="宋体" w:hAnsi="宋体" w:eastAsia="宋体" w:cs="宋体"/>
                <w:b w:val="0"/>
                <w:bCs w:val="0"/>
                <w:color w:val="auto"/>
                <w:sz w:val="21"/>
                <w:szCs w:val="21"/>
                <w:lang w:val="en-US" w:eastAsia="zh-CN"/>
              </w:rPr>
              <w:t>情况</w:t>
            </w:r>
            <w:r>
              <w:rPr>
                <w:rFonts w:hint="eastAsia" w:ascii="宋体" w:hAnsi="宋体" w:eastAsia="宋体" w:cs="宋体"/>
                <w:b w:val="0"/>
                <w:bCs w:val="0"/>
                <w:color w:val="auto"/>
                <w:sz w:val="21"/>
                <w:szCs w:val="21"/>
                <w:lang w:eastAsia="zh-CN"/>
              </w:rPr>
              <w:t>。</w:t>
            </w:r>
          </w:p>
          <w:p w14:paraId="529A529B">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5.</w:t>
            </w:r>
            <w:r>
              <w:rPr>
                <w:rFonts w:hint="eastAsia" w:ascii="宋体" w:hAnsi="宋体" w:eastAsia="宋体" w:cs="宋体"/>
                <w:b w:val="0"/>
                <w:bCs w:val="0"/>
                <w:color w:val="auto"/>
                <w:sz w:val="21"/>
                <w:szCs w:val="21"/>
                <w:lang w:eastAsia="zh-CN"/>
              </w:rPr>
              <w:t>除尘：</w:t>
            </w:r>
            <w:r>
              <w:rPr>
                <w:rFonts w:hint="eastAsia" w:ascii="宋体" w:hAnsi="宋体" w:eastAsia="宋体" w:cs="宋体"/>
                <w:b w:val="0"/>
                <w:bCs w:val="0"/>
                <w:color w:val="auto"/>
                <w:sz w:val="21"/>
                <w:szCs w:val="21"/>
                <w:lang w:val="en-US" w:eastAsia="zh-CN"/>
              </w:rPr>
              <w:t>核实</w:t>
            </w:r>
            <w:r>
              <w:rPr>
                <w:rFonts w:hint="eastAsia" w:ascii="宋体" w:hAnsi="宋体" w:eastAsia="宋体" w:cs="宋体"/>
                <w:b w:val="0"/>
                <w:bCs w:val="0"/>
                <w:color w:val="auto"/>
                <w:sz w:val="21"/>
                <w:szCs w:val="21"/>
                <w:lang w:eastAsia="zh-CN"/>
              </w:rPr>
              <w:t>电极、滤袋（筒）的更换情况。</w:t>
            </w:r>
          </w:p>
          <w:p w14:paraId="0378894D">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color w:val="auto"/>
                <w:sz w:val="21"/>
                <w:szCs w:val="21"/>
                <w:lang w:val="en-US" w:eastAsia="zh-CN"/>
              </w:rPr>
              <w:t>6.核实</w:t>
            </w:r>
            <w:r>
              <w:rPr>
                <w:rFonts w:hint="eastAsia" w:ascii="宋体" w:hAnsi="宋体" w:eastAsia="宋体" w:cs="宋体"/>
                <w:b w:val="0"/>
                <w:bCs w:val="0"/>
                <w:color w:val="auto"/>
                <w:sz w:val="21"/>
                <w:szCs w:val="21"/>
                <w:lang w:eastAsia="zh-CN"/>
              </w:rPr>
              <w:t>布袋除尘器</w:t>
            </w:r>
            <w:r>
              <w:rPr>
                <w:rFonts w:hint="eastAsia" w:ascii="宋体" w:hAnsi="宋体" w:eastAsia="宋体" w:cs="宋体"/>
                <w:b w:val="0"/>
                <w:bCs w:val="0"/>
                <w:color w:val="auto"/>
                <w:sz w:val="21"/>
                <w:szCs w:val="21"/>
                <w:lang w:val="en-US" w:eastAsia="zh-CN"/>
              </w:rPr>
              <w:t>运行情况。</w:t>
            </w:r>
          </w:p>
        </w:tc>
      </w:tr>
      <w:tr w14:paraId="6257A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3C6A6FE">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黑体" w:hAnsi="黑体" w:eastAsia="黑体" w:cs="黑体"/>
                <w:b w:val="0"/>
                <w:bCs w:val="0"/>
                <w:i w:val="0"/>
                <w:iCs w:val="0"/>
                <w:color w:val="auto"/>
                <w:kern w:val="0"/>
                <w:sz w:val="21"/>
                <w:szCs w:val="21"/>
                <w:u w:val="none"/>
                <w:lang w:val="en-US" w:eastAsia="zh-CN" w:bidi="ar"/>
              </w:rPr>
            </w:pPr>
            <w:r>
              <w:rPr>
                <w:rFonts w:hint="eastAsia" w:ascii="黑体" w:hAnsi="黑体" w:eastAsia="黑体" w:cs="黑体"/>
                <w:b w:val="0"/>
                <w:bCs w:val="0"/>
                <w:i w:val="0"/>
                <w:iCs w:val="0"/>
                <w:color w:val="auto"/>
                <w:kern w:val="0"/>
                <w:sz w:val="21"/>
                <w:szCs w:val="21"/>
                <w:u w:val="none"/>
                <w:lang w:val="en-US" w:eastAsia="zh-CN" w:bidi="ar"/>
              </w:rPr>
              <w:t>九、铸造行业增加排查项</w:t>
            </w:r>
          </w:p>
        </w:tc>
      </w:tr>
      <w:tr w14:paraId="7149B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43F3EF2D">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1.核实粘土砂工艺、消失模工艺是否采用机械化；</w:t>
            </w:r>
          </w:p>
          <w:p w14:paraId="46DBF002">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2.核实烟气脱硫是否应急排口及现场排放情况；</w:t>
            </w:r>
          </w:p>
          <w:p w14:paraId="79234115">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3.核实涂装工序处理设施情况：如使用水性、粉末、高固体分、无溶剂、辐射固化等低VOCs含量的涂料或采用辊涂、静电喷涂、高压无气喷涂、空气辅助无气喷涂、热喷涂等涂装技术的涂装工序可不设置处理措施；</w:t>
            </w:r>
          </w:p>
          <w:p w14:paraId="52F4F36C">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4.物料储存</w:t>
            </w:r>
          </w:p>
          <w:p w14:paraId="12B908CA">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1）核实煤粉、膨润土、硅砂等粉状物料储存方式；</w:t>
            </w:r>
          </w:p>
          <w:p w14:paraId="461D43F9">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2）核实生铁、废钢、焦炭和铁合金等粒状、块状散装物料储存、密闭、抑尘措施情况。</w:t>
            </w:r>
          </w:p>
          <w:p w14:paraId="5976EE3F">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5.物料转移和输送</w:t>
            </w:r>
          </w:p>
          <w:p w14:paraId="652DA4AE">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1）核实粉状、粒状等易散发粉尘的物料厂内转移、输送时，是否采取密闭或覆盖等抑尘措施；转移、输送、装卸过程中是否采取集气除尘措施，或喷淋（雾）等抑尘措施；</w:t>
            </w:r>
          </w:p>
          <w:p w14:paraId="009C1633">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2）核实除尘器卸灰口是否采取密闭措施，除尘灰不得直接卸落到地面。除尘灰是否采取袋装、罐装等密闭措施收集、存放和运输；</w:t>
            </w:r>
          </w:p>
          <w:p w14:paraId="29C26AD6">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3）厂区道路硬化情况；</w:t>
            </w:r>
          </w:p>
          <w:p w14:paraId="7779C439">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6.核实孕育、变质、炉外精炼、除气等金属液预处理工序PM排放环节是否安装半封闭空间并配备除尘设施；</w:t>
            </w:r>
          </w:p>
          <w:p w14:paraId="3016238D">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7.核实浇注工序是否设置浇注区或浇注段，用外部罩的罩口是否尽可能接近污染源；落砂、抛丸清理、砂处理工序是否在密闭设备内操作，废气是否收集至除尘设施；</w:t>
            </w:r>
          </w:p>
          <w:p w14:paraId="668E5096">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8.核实树脂砂工艺生产特殊尺寸（特大等）铸件或使用地坑造型的，浇注和冷却工序是否采取固定式或移动式集气设备并配备废气处理设施，待砂型冷却至无可见烟尘外逸时，环保设备方可停止运行；对于水玻璃砂工艺生产特殊尺寸（特大等）铸件或使用地坑造型的，浇注工序是否采取固定式或移动式集气设备并配备除尘设施设置集气罩；落砂工序是否采取有效集气除尘或抑尘措施；</w:t>
            </w:r>
          </w:p>
          <w:p w14:paraId="7FCB1DDB">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9.核实清理（去除浇冒口、铲飞边毛刺等）和浇包、渣包的维修等工序是否在封闭设备或排风柜内操作，废气是否收集至除尘设施；</w:t>
            </w:r>
          </w:p>
          <w:p w14:paraId="7857E11E">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color w:val="auto"/>
                <w:sz w:val="21"/>
                <w:szCs w:val="21"/>
                <w:lang w:val="en-US" w:eastAsia="zh-CN"/>
              </w:rPr>
              <w:t>10.车间不得有可见烟粉尘外逸。</w:t>
            </w:r>
          </w:p>
        </w:tc>
      </w:tr>
      <w:tr w14:paraId="273CD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A232047">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黑体" w:hAnsi="黑体" w:eastAsia="黑体" w:cs="黑体"/>
                <w:b w:val="0"/>
                <w:bCs w:val="0"/>
                <w:i w:val="0"/>
                <w:iCs w:val="0"/>
                <w:color w:val="auto"/>
                <w:kern w:val="0"/>
                <w:sz w:val="21"/>
                <w:szCs w:val="21"/>
                <w:u w:val="none"/>
                <w:lang w:val="en-US" w:eastAsia="zh-CN" w:bidi="ar"/>
              </w:rPr>
            </w:pPr>
            <w:r>
              <w:rPr>
                <w:rFonts w:hint="eastAsia" w:ascii="黑体" w:hAnsi="黑体" w:eastAsia="黑体" w:cs="黑体"/>
                <w:b w:val="0"/>
                <w:bCs w:val="0"/>
                <w:i w:val="0"/>
                <w:iCs w:val="0"/>
                <w:color w:val="auto"/>
                <w:kern w:val="0"/>
                <w:sz w:val="21"/>
                <w:szCs w:val="21"/>
                <w:u w:val="none"/>
                <w:lang w:val="en-US" w:eastAsia="zh-CN" w:bidi="ar"/>
              </w:rPr>
              <w:t>十、石灰行业增加排查项</w:t>
            </w:r>
          </w:p>
        </w:tc>
      </w:tr>
      <w:tr w14:paraId="66282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63288B78">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1.核实石灰窑上料、布料、卸料方式，是否采用DCS或PLC控制系统实现煅（焙）烧全过程自动化控制；</w:t>
            </w:r>
          </w:p>
          <w:p w14:paraId="5EC7F195">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2.核实粉状物料储存、输送方式；</w:t>
            </w:r>
          </w:p>
          <w:p w14:paraId="7983F56C">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3.核实块状物料堆场储存、运输方式；</w:t>
            </w:r>
          </w:p>
          <w:p w14:paraId="2042CE73">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4.核实破碎、筛分等工序密闭及除尘设施情况；</w:t>
            </w:r>
          </w:p>
          <w:p w14:paraId="37DDF650">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5.核实物料输送过程中产尘点是否采取有效抑尘措施；</w:t>
            </w:r>
          </w:p>
          <w:p w14:paraId="5A360BC3">
            <w:pPr>
              <w:pStyle w:val="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color w:val="auto"/>
                <w:sz w:val="21"/>
                <w:szCs w:val="21"/>
                <w:lang w:val="en-US" w:eastAsia="zh-CN"/>
              </w:rPr>
              <w:t>6.厂区道路硬化。</w:t>
            </w:r>
          </w:p>
        </w:tc>
      </w:tr>
      <w:tr w14:paraId="357DE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2B584132">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黑体" w:hAnsi="黑体" w:eastAsia="黑体" w:cs="黑体"/>
                <w:b w:val="0"/>
                <w:bCs w:val="0"/>
                <w:i w:val="0"/>
                <w:iCs w:val="0"/>
                <w:color w:val="auto"/>
                <w:kern w:val="0"/>
                <w:sz w:val="21"/>
                <w:szCs w:val="21"/>
                <w:u w:val="none"/>
                <w:lang w:val="en-US" w:eastAsia="zh-CN" w:bidi="ar"/>
              </w:rPr>
            </w:pPr>
            <w:r>
              <w:rPr>
                <w:rFonts w:hint="eastAsia" w:ascii="黑体" w:hAnsi="黑体" w:eastAsia="黑体" w:cs="黑体"/>
                <w:b w:val="0"/>
                <w:bCs w:val="0"/>
                <w:i w:val="0"/>
                <w:iCs w:val="0"/>
                <w:color w:val="auto"/>
                <w:kern w:val="0"/>
                <w:sz w:val="21"/>
                <w:szCs w:val="21"/>
                <w:u w:val="none"/>
                <w:lang w:val="en-US" w:eastAsia="zh-CN" w:bidi="ar"/>
              </w:rPr>
              <w:t>十一、VOCs行业增加排查项</w:t>
            </w:r>
          </w:p>
        </w:tc>
      </w:tr>
      <w:tr w14:paraId="0E0C4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000000" w:sz="4" w:space="0"/>
              <w:left w:val="single" w:color="000000" w:sz="4" w:space="0"/>
              <w:bottom w:val="single" w:color="000000" w:sz="4" w:space="0"/>
              <w:right w:val="single" w:color="000000" w:sz="4" w:space="0"/>
            </w:tcBorders>
            <w:noWrap w:val="0"/>
            <w:vAlign w:val="center"/>
          </w:tcPr>
          <w:p w14:paraId="7478E755">
            <w:pPr>
              <w:keepNext w:val="0"/>
              <w:keepLines w:val="0"/>
              <w:pageBreakBefore w:val="0"/>
              <w:widowControl w:val="0"/>
              <w:numPr>
                <w:ilvl w:val="0"/>
                <w:numId w:val="0"/>
              </w:numPr>
              <w:kinsoku/>
              <w:wordWrap/>
              <w:overflowPunct/>
              <w:topLinePunct w:val="0"/>
              <w:autoSpaceDE/>
              <w:autoSpaceDN/>
              <w:bidi w:val="0"/>
              <w:adjustRightInd/>
              <w:snapToGrid/>
              <w:jc w:val="left"/>
              <w:outlineLvl w:val="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1.核实使用的原辅料种类是否与环评、排污许可证一致。</w:t>
            </w:r>
          </w:p>
          <w:p w14:paraId="6AC0D361">
            <w:pPr>
              <w:keepNext w:val="0"/>
              <w:keepLines w:val="0"/>
              <w:pageBreakBefore w:val="0"/>
              <w:widowControl w:val="0"/>
              <w:numPr>
                <w:ilvl w:val="0"/>
                <w:numId w:val="0"/>
              </w:numPr>
              <w:kinsoku/>
              <w:wordWrap/>
              <w:overflowPunct/>
              <w:topLinePunct w:val="0"/>
              <w:autoSpaceDE/>
              <w:autoSpaceDN/>
              <w:bidi w:val="0"/>
              <w:adjustRightInd/>
              <w:snapToGrid/>
              <w:jc w:val="left"/>
              <w:outlineLvl w:val="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2.核实涂料、稀释剂、清洗剂、固化剂、PVC胶、隔热防震涂料、胶粘、剂、密封胶等VOCs物料密闭储存。</w:t>
            </w:r>
          </w:p>
          <w:p w14:paraId="4E45ADC7">
            <w:pPr>
              <w:keepNext w:val="0"/>
              <w:keepLines w:val="0"/>
              <w:pageBreakBefore w:val="0"/>
              <w:widowControl w:val="0"/>
              <w:numPr>
                <w:ilvl w:val="0"/>
                <w:numId w:val="0"/>
              </w:numPr>
              <w:kinsoku/>
              <w:wordWrap/>
              <w:overflowPunct/>
              <w:topLinePunct w:val="0"/>
              <w:autoSpaceDE/>
              <w:autoSpaceDN/>
              <w:bidi w:val="0"/>
              <w:adjustRightInd/>
              <w:snapToGrid/>
              <w:jc w:val="left"/>
              <w:outlineLvl w:val="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3.核实盛装VOCs物料的容器或包装袋应存放于室内，或存放于设置有雨棚、遮阳和防渗设施的专用场地。</w:t>
            </w:r>
          </w:p>
          <w:p w14:paraId="12373BB5">
            <w:pPr>
              <w:keepNext w:val="0"/>
              <w:keepLines w:val="0"/>
              <w:pageBreakBefore w:val="0"/>
              <w:widowControl w:val="0"/>
              <w:numPr>
                <w:ilvl w:val="0"/>
                <w:numId w:val="0"/>
              </w:numPr>
              <w:kinsoku/>
              <w:wordWrap/>
              <w:overflowPunct/>
              <w:topLinePunct w:val="0"/>
              <w:autoSpaceDE/>
              <w:autoSpaceDN/>
              <w:bidi w:val="0"/>
              <w:adjustRightInd/>
              <w:snapToGrid/>
              <w:jc w:val="left"/>
              <w:outlineLvl w:val="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4.核实盛装VOCs物料的容器或包装袋在非取用状态时是否加盖、封口，保持密闭。</w:t>
            </w:r>
          </w:p>
          <w:p w14:paraId="19615B04">
            <w:pPr>
              <w:keepNext w:val="0"/>
              <w:keepLines w:val="0"/>
              <w:pageBreakBefore w:val="0"/>
              <w:widowControl w:val="0"/>
              <w:numPr>
                <w:ilvl w:val="0"/>
                <w:numId w:val="0"/>
              </w:numPr>
              <w:kinsoku/>
              <w:wordWrap/>
              <w:overflowPunct/>
              <w:topLinePunct w:val="0"/>
              <w:autoSpaceDE/>
              <w:autoSpaceDN/>
              <w:bidi w:val="0"/>
              <w:adjustRightInd/>
              <w:snapToGrid/>
              <w:jc w:val="left"/>
              <w:outlineLvl w:val="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5.核实废涂料、废稀释剂、废清洗剂、废活性炭等含VOCs废料（渣、液）以及VOCs物料废包装物等危险废物是否密封储存于危废储存间。</w:t>
            </w:r>
          </w:p>
          <w:p w14:paraId="31E23F0D">
            <w:pPr>
              <w:keepNext w:val="0"/>
              <w:keepLines w:val="0"/>
              <w:pageBreakBefore w:val="0"/>
              <w:widowControl w:val="0"/>
              <w:numPr>
                <w:ilvl w:val="0"/>
                <w:numId w:val="0"/>
              </w:numPr>
              <w:kinsoku/>
              <w:wordWrap/>
              <w:overflowPunct/>
              <w:topLinePunct w:val="0"/>
              <w:autoSpaceDE/>
              <w:autoSpaceDN/>
              <w:bidi w:val="0"/>
              <w:adjustRightInd/>
              <w:snapToGrid/>
              <w:jc w:val="left"/>
              <w:outlineLvl w:val="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6.核实涂料、稀释剂等VOCs物料的调配过程是否采用密闭设备或在密闭空间内操作，废气应排至VOCs废气收集处理系统；无法密闭的，应采取局部气体收集措施，废气应排至VOCs废气收集处理系统。</w:t>
            </w:r>
          </w:p>
          <w:p w14:paraId="32F7C359">
            <w:pPr>
              <w:keepNext w:val="0"/>
              <w:keepLines w:val="0"/>
              <w:pageBreakBefore w:val="0"/>
              <w:widowControl w:val="0"/>
              <w:numPr>
                <w:ilvl w:val="0"/>
                <w:numId w:val="0"/>
              </w:numPr>
              <w:kinsoku/>
              <w:wordWrap/>
              <w:overflowPunct/>
              <w:topLinePunct w:val="0"/>
              <w:autoSpaceDE/>
              <w:autoSpaceDN/>
              <w:bidi w:val="0"/>
              <w:adjustRightInd/>
              <w:snapToGrid/>
              <w:jc w:val="left"/>
              <w:outlineLvl w:val="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7.核实电泳过程是否在密闭空间内操作，宜严格控制电泳槽液VOCs含量，废气宜排至VOCs废气收集处理系统；无法密闭的，是否采取局部气体收集措施，废气排至VOCs废气收集处理系统。</w:t>
            </w:r>
          </w:p>
          <w:p w14:paraId="4DDECB29">
            <w:pPr>
              <w:keepNext w:val="0"/>
              <w:keepLines w:val="0"/>
              <w:pageBreakBefore w:val="0"/>
              <w:widowControl w:val="0"/>
              <w:numPr>
                <w:ilvl w:val="0"/>
                <w:numId w:val="0"/>
              </w:numPr>
              <w:kinsoku/>
              <w:wordWrap/>
              <w:overflowPunct/>
              <w:topLinePunct w:val="0"/>
              <w:autoSpaceDE/>
              <w:autoSpaceDN/>
              <w:bidi w:val="0"/>
              <w:adjustRightInd/>
              <w:snapToGrid/>
              <w:jc w:val="left"/>
              <w:outlineLvl w:val="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8.涂漆、色漆（面漆）、罩光清漆等喷涂过程应在密闭空间内操作，废气应排至VOCs废气收集处理系统；无法密闭的，应采取局部气体收集措施，废气应排至VOCs废气收集处理系统。</w:t>
            </w:r>
          </w:p>
          <w:p w14:paraId="58691459">
            <w:pPr>
              <w:keepNext w:val="0"/>
              <w:keepLines w:val="0"/>
              <w:pageBreakBefore w:val="0"/>
              <w:widowControl w:val="0"/>
              <w:numPr>
                <w:ilvl w:val="0"/>
                <w:numId w:val="0"/>
              </w:numPr>
              <w:kinsoku/>
              <w:wordWrap/>
              <w:overflowPunct/>
              <w:topLinePunct w:val="0"/>
              <w:autoSpaceDE/>
              <w:autoSpaceDN/>
              <w:bidi w:val="0"/>
              <w:adjustRightInd/>
              <w:snapToGrid/>
              <w:jc w:val="left"/>
              <w:outlineLvl w:val="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9.核实流平过程是否在密闭空间内操作，废气是否排至VOCs废气收集处理系统；无法密闭的，是否采取局部气体收集措施，废气是否排至VOCs废气收集处理系统。</w:t>
            </w:r>
          </w:p>
          <w:p w14:paraId="531BB292">
            <w:pPr>
              <w:keepNext w:val="0"/>
              <w:keepLines w:val="0"/>
              <w:pageBreakBefore w:val="0"/>
              <w:widowControl w:val="0"/>
              <w:numPr>
                <w:ilvl w:val="0"/>
                <w:numId w:val="0"/>
              </w:numPr>
              <w:kinsoku/>
              <w:wordWrap/>
              <w:overflowPunct/>
              <w:topLinePunct w:val="0"/>
              <w:autoSpaceDE/>
              <w:autoSpaceDN/>
              <w:bidi w:val="0"/>
              <w:adjustRightInd/>
              <w:snapToGrid/>
              <w:jc w:val="left"/>
              <w:outlineLvl w:val="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10.核实流平过程中是否安装大风量风扇或其他通风措施故意稀释排放。</w:t>
            </w:r>
          </w:p>
          <w:p w14:paraId="388763A4">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outlineLvl w:val="0"/>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color w:val="auto"/>
                <w:sz w:val="21"/>
                <w:szCs w:val="21"/>
                <w:lang w:val="en-US" w:eastAsia="zh-CN"/>
              </w:rPr>
              <w:t>11.核实烘干过程是否在密闭空间内操作，废气是否排至VOCs废气收集处理系统。</w:t>
            </w:r>
          </w:p>
        </w:tc>
      </w:tr>
      <w:tr w14:paraId="2508C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80" w:hRule="atLeast"/>
          <w:jc w:val="center"/>
        </w:trPr>
        <w:tc>
          <w:tcPr>
            <w:tcW w:w="9288" w:type="dxa"/>
            <w:gridSpan w:val="2"/>
            <w:tcBorders>
              <w:top w:val="single" w:color="000000" w:sz="4" w:space="0"/>
              <w:left w:val="single" w:color="000000" w:sz="4" w:space="0"/>
              <w:bottom w:val="single" w:color="auto" w:sz="4" w:space="0"/>
              <w:right w:val="single" w:color="000000" w:sz="4" w:space="0"/>
            </w:tcBorders>
            <w:noWrap w:val="0"/>
            <w:vAlign w:val="center"/>
          </w:tcPr>
          <w:p w14:paraId="013F15F8">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发现问题汇总：</w:t>
            </w:r>
          </w:p>
          <w:p w14:paraId="53347FE6">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4D96F6D8">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3AA1E523">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20E4A9BF">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5D17BF6D">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1E085ABB">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46D30865">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0FC9FDA1">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3E870D88">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3F8E2542">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4EEEB0BD">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2D482261">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3C45BD0B">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0AD13327">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1B8079D6">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433D0DDB">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6FAC1996">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1F6D0CFA">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234BC11D">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355CE022">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color w:val="auto"/>
                <w:sz w:val="21"/>
                <w:szCs w:val="21"/>
                <w:lang w:val="en-US" w:eastAsia="zh-CN"/>
              </w:rPr>
            </w:pPr>
          </w:p>
          <w:p w14:paraId="65B70018">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color w:val="auto"/>
                <w:sz w:val="21"/>
                <w:szCs w:val="21"/>
                <w:lang w:val="en-US" w:eastAsia="zh-CN"/>
              </w:rPr>
            </w:pPr>
          </w:p>
          <w:p w14:paraId="64BA2E56">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16CCF129">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kern w:val="0"/>
                <w:sz w:val="21"/>
                <w:szCs w:val="21"/>
                <w:u w:val="none"/>
                <w:lang w:val="en-US" w:eastAsia="zh-CN" w:bidi="ar"/>
              </w:rPr>
            </w:pPr>
          </w:p>
          <w:p w14:paraId="03B3B111">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color w:val="auto"/>
                <w:sz w:val="21"/>
                <w:szCs w:val="21"/>
                <w:lang w:val="en-US" w:eastAsia="zh-CN"/>
              </w:rPr>
            </w:pPr>
          </w:p>
          <w:p w14:paraId="2508AFDD">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color w:val="auto"/>
                <w:sz w:val="21"/>
                <w:szCs w:val="21"/>
                <w:lang w:val="en-US" w:eastAsia="zh-CN"/>
              </w:rPr>
            </w:pPr>
          </w:p>
        </w:tc>
      </w:tr>
      <w:tr w14:paraId="2AFE4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288" w:type="dxa"/>
            <w:gridSpan w:val="2"/>
            <w:tcBorders>
              <w:top w:val="single" w:color="auto" w:sz="4" w:space="0"/>
              <w:left w:val="single" w:color="auto" w:sz="4" w:space="0"/>
              <w:bottom w:val="single" w:color="auto" w:sz="4" w:space="0"/>
              <w:right w:val="single" w:color="auto" w:sz="4" w:space="0"/>
            </w:tcBorders>
            <w:noWrap w:val="0"/>
            <w:vAlign w:val="center"/>
          </w:tcPr>
          <w:p w14:paraId="59F9E89E">
            <w:pPr>
              <w:keepNext w:val="0"/>
              <w:keepLines w:val="0"/>
              <w:pageBreakBefore w:val="0"/>
              <w:widowControl w:val="0"/>
              <w:suppressLineNumbers w:val="0"/>
              <w:kinsoku/>
              <w:wordWrap/>
              <w:overflowPunct/>
              <w:topLinePunct w:val="0"/>
              <w:autoSpaceDE/>
              <w:autoSpaceDN/>
              <w:bidi w:val="0"/>
              <w:adjustRightInd/>
              <w:snapToGrid/>
              <w:jc w:val="left"/>
              <w:rPr>
                <w:rFonts w:hint="eastAsia" w:ascii="宋体" w:hAnsi="宋体" w:eastAsia="宋体" w:cs="宋体"/>
                <w:sz w:val="21"/>
                <w:szCs w:val="21"/>
                <w:u w:val="none"/>
              </w:rPr>
            </w:pPr>
          </w:p>
          <w:p w14:paraId="0218C6C1">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企业陪同人员意见：</w:t>
            </w:r>
          </w:p>
          <w:p w14:paraId="6F277F8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p>
          <w:p w14:paraId="42B4F774">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color w:val="auto"/>
                <w:sz w:val="21"/>
                <w:szCs w:val="21"/>
                <w:lang w:val="en-US" w:eastAsia="zh-CN"/>
              </w:rPr>
            </w:pPr>
          </w:p>
          <w:p w14:paraId="70AFBC1C">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p>
          <w:p w14:paraId="4E71685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企业陪同人员签字（盖章）：</w:t>
            </w:r>
          </w:p>
          <w:p w14:paraId="7DFF7F1F">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color w:val="auto"/>
                <w:sz w:val="21"/>
                <w:szCs w:val="21"/>
                <w:lang w:val="en-US" w:eastAsia="zh-CN"/>
              </w:rPr>
            </w:pPr>
          </w:p>
          <w:p w14:paraId="75D8A83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p>
          <w:p w14:paraId="768523A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p>
          <w:p w14:paraId="60E60A38">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帮扶组人员签字：</w:t>
            </w:r>
          </w:p>
          <w:p w14:paraId="755E185B">
            <w:pPr>
              <w:pStyle w:val="2"/>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color w:val="auto"/>
                <w:sz w:val="21"/>
                <w:szCs w:val="21"/>
                <w:lang w:val="en-US" w:eastAsia="zh-CN"/>
              </w:rPr>
            </w:pPr>
          </w:p>
          <w:p w14:paraId="0F967EBA">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auto"/>
                <w:kern w:val="0"/>
                <w:sz w:val="21"/>
                <w:szCs w:val="21"/>
                <w:u w:val="none"/>
                <w:lang w:val="en-US" w:eastAsia="zh-CN" w:bidi="ar"/>
              </w:rPr>
            </w:pPr>
          </w:p>
          <w:p w14:paraId="6FA88231">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val="0"/>
                <w:bCs w:val="0"/>
                <w:i w:val="0"/>
                <w:iCs w:val="0"/>
                <w:color w:val="auto"/>
                <w:sz w:val="21"/>
                <w:szCs w:val="21"/>
                <w:u w:val="none"/>
              </w:rPr>
            </w:pPr>
          </w:p>
        </w:tc>
      </w:tr>
    </w:tbl>
    <w:p w14:paraId="4B847B4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A206E9"/>
    <w:rsid w:val="0DA20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Indent 2"/>
    <w:basedOn w:val="1"/>
    <w:next w:val="1"/>
    <w:qFormat/>
    <w:uiPriority w:val="0"/>
    <w:pPr>
      <w:ind w:firstLine="640" w:firstLineChars="200"/>
    </w:pPr>
    <w:rPr>
      <w:sz w:val="32"/>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2025-09-18T02:06:00Z</dcterms:created>
  <dc:creator>89753</dc:creator>
  <cp:lastModifiedBy>89753</cp:lastModifiedBy>
  <dcterms:modified xsi:type="dcterms:W3CDTF">2025-09-18T02:09:53Z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1362834163DA46BFAB12F2D3519A27EC_11</vt:lpwstr>
  </property>
  <property fmtid="{D5CDD505-2E9C-101B-9397-08002B2CF9AE}" pid="4" name="KSOTemplateDocerSaveRecord">
    <vt:lpwstr>eyJoZGlkIjoiZjM1MjM0Yjc3Y2NlMzJmOWU1YjIzOTNmY2Q4MjljODMifQ==</vt:lpwstr>
  </property>
</Properties>
</file>