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84AEF">
      <w:pPr>
        <w:spacing w:line="360" w:lineRule="auto"/>
        <w:ind w:left="0" w:leftChars="0" w:firstLine="0" w:firstLineChars="0"/>
        <w:jc w:val="center"/>
        <w:rPr>
          <w:rFonts w:hint="eastAsia" w:ascii="Times New Roman" w:hAnsi="Times New Roman"/>
          <w:b/>
          <w:bCs/>
          <w:color w:val="auto"/>
          <w:spacing w:val="40"/>
          <w:kern w:val="2"/>
          <w:sz w:val="44"/>
          <w:szCs w:val="44"/>
        </w:rPr>
      </w:pPr>
    </w:p>
    <w:p w14:paraId="20492533">
      <w:pPr>
        <w:spacing w:line="360" w:lineRule="auto"/>
        <w:ind w:left="0" w:leftChars="0" w:firstLine="0" w:firstLineChars="0"/>
        <w:jc w:val="center"/>
        <w:rPr>
          <w:rFonts w:hint="eastAsia" w:ascii="Times New Roman" w:hAnsi="Times New Roman"/>
          <w:b/>
          <w:bCs/>
          <w:color w:val="auto"/>
          <w:spacing w:val="40"/>
          <w:kern w:val="2"/>
          <w:sz w:val="44"/>
          <w:szCs w:val="44"/>
        </w:rPr>
      </w:pPr>
    </w:p>
    <w:p w14:paraId="1E7F726C">
      <w:pPr>
        <w:spacing w:line="360" w:lineRule="auto"/>
        <w:ind w:left="0" w:leftChars="0" w:firstLine="0" w:firstLineChars="0"/>
        <w:jc w:val="center"/>
        <w:rPr>
          <w:rFonts w:hint="eastAsia" w:ascii="Times New Roman" w:hAnsi="Times New Roman"/>
          <w:b/>
          <w:bCs/>
          <w:color w:val="auto"/>
          <w:spacing w:val="40"/>
          <w:kern w:val="2"/>
          <w:sz w:val="44"/>
          <w:szCs w:val="44"/>
        </w:rPr>
      </w:pPr>
    </w:p>
    <w:p w14:paraId="5F8A55A5">
      <w:pPr>
        <w:spacing w:line="360" w:lineRule="auto"/>
        <w:ind w:left="0" w:leftChars="0" w:firstLine="0" w:firstLineChars="0"/>
        <w:jc w:val="center"/>
        <w:rPr>
          <w:rFonts w:hint="eastAsia" w:ascii="Times New Roman" w:hAnsi="Times New Roman" w:eastAsia="宋体"/>
          <w:b/>
          <w:bCs/>
          <w:color w:val="auto"/>
          <w:spacing w:val="40"/>
          <w:kern w:val="2"/>
          <w:sz w:val="44"/>
          <w:szCs w:val="44"/>
          <w:lang w:val="en-US" w:eastAsia="zh-CN"/>
        </w:rPr>
      </w:pPr>
      <w:r>
        <w:rPr>
          <w:rFonts w:hint="eastAsia" w:ascii="Times New Roman" w:hAnsi="Times New Roman" w:eastAsia="宋体"/>
          <w:b/>
          <w:bCs/>
          <w:color w:val="auto"/>
          <w:spacing w:val="40"/>
          <w:kern w:val="2"/>
          <w:sz w:val="44"/>
          <w:szCs w:val="44"/>
          <w:lang w:val="en-US" w:eastAsia="zh-CN"/>
        </w:rPr>
        <w:t>秋浦河航道整治工程5号、6号抛泥区</w:t>
      </w:r>
    </w:p>
    <w:p w14:paraId="2745D2F9">
      <w:pPr>
        <w:spacing w:line="360" w:lineRule="auto"/>
        <w:ind w:left="0" w:leftChars="0" w:firstLine="0" w:firstLineChars="0"/>
        <w:jc w:val="center"/>
        <w:rPr>
          <w:rFonts w:hint="eastAsia" w:ascii="Times New Roman" w:hAnsi="Times New Roman" w:eastAsia="宋体"/>
          <w:b/>
          <w:bCs/>
          <w:color w:val="auto"/>
          <w:spacing w:val="40"/>
          <w:kern w:val="2"/>
          <w:sz w:val="44"/>
          <w:szCs w:val="44"/>
          <w:lang w:val="en-US" w:eastAsia="zh-CN"/>
        </w:rPr>
      </w:pPr>
      <w:r>
        <w:rPr>
          <w:rFonts w:hint="eastAsia" w:ascii="Times New Roman" w:hAnsi="Times New Roman" w:eastAsia="宋体"/>
          <w:b/>
          <w:bCs/>
          <w:color w:val="auto"/>
          <w:spacing w:val="40"/>
          <w:kern w:val="2"/>
          <w:sz w:val="44"/>
          <w:szCs w:val="44"/>
          <w:lang w:val="en-US" w:eastAsia="zh-CN"/>
        </w:rPr>
        <w:t>抛泥清除恢复项目</w:t>
      </w:r>
    </w:p>
    <w:p w14:paraId="62F7837F">
      <w:pPr>
        <w:spacing w:before="240" w:beforeLines="100" w:line="360" w:lineRule="auto"/>
        <w:ind w:left="0" w:leftChars="0" w:firstLine="0" w:firstLineChars="0"/>
        <w:jc w:val="center"/>
        <w:rPr>
          <w:rFonts w:ascii="Times New Roman" w:hAnsi="Times New Roman"/>
          <w:b/>
          <w:bCs/>
          <w:color w:val="auto"/>
          <w:spacing w:val="100"/>
          <w:kern w:val="2"/>
          <w:sz w:val="72"/>
          <w:szCs w:val="72"/>
        </w:rPr>
      </w:pPr>
      <w:r>
        <w:rPr>
          <w:rFonts w:ascii="Times New Roman" w:hAnsi="Times New Roman"/>
          <w:b/>
          <w:bCs/>
          <w:color w:val="auto"/>
          <w:spacing w:val="100"/>
          <w:kern w:val="2"/>
          <w:sz w:val="72"/>
          <w:szCs w:val="72"/>
        </w:rPr>
        <w:t>环境影响报告书</w:t>
      </w:r>
    </w:p>
    <w:p w14:paraId="5E3FAA39">
      <w:pPr>
        <w:ind w:left="0" w:leftChars="0" w:firstLine="0" w:firstLineChars="0"/>
        <w:rPr>
          <w:rFonts w:ascii="Times New Roman" w:hAnsi="Times New Roman"/>
          <w:color w:val="auto"/>
        </w:rPr>
      </w:pPr>
    </w:p>
    <w:p w14:paraId="5D4D6287">
      <w:pPr>
        <w:bidi w:val="0"/>
        <w:ind w:left="0" w:leftChars="0" w:firstLine="0" w:firstLineChars="0"/>
        <w:jc w:val="center"/>
        <w:rPr>
          <w:color w:val="auto"/>
        </w:rPr>
      </w:pPr>
      <w:r>
        <w:rPr>
          <w:rFonts w:hint="eastAsia" w:ascii="Times New Roman" w:hAnsi="Times New Roman"/>
          <w:b/>
          <w:color w:val="auto"/>
          <w:sz w:val="36"/>
          <w:szCs w:val="36"/>
        </w:rPr>
        <w:t>（</w:t>
      </w:r>
      <w:r>
        <w:rPr>
          <w:rFonts w:hint="eastAsia"/>
          <w:b/>
          <w:color w:val="auto"/>
          <w:sz w:val="36"/>
          <w:szCs w:val="36"/>
          <w:lang w:val="en-US" w:eastAsia="zh-CN"/>
        </w:rPr>
        <w:t>征求意见稿</w:t>
      </w:r>
      <w:r>
        <w:rPr>
          <w:rFonts w:hint="eastAsia" w:ascii="Times New Roman" w:hAnsi="Times New Roman"/>
          <w:b/>
          <w:color w:val="auto"/>
          <w:sz w:val="36"/>
          <w:szCs w:val="36"/>
        </w:rPr>
        <w:t>）</w:t>
      </w:r>
    </w:p>
    <w:p w14:paraId="7963491A">
      <w:pPr>
        <w:bidi w:val="0"/>
        <w:jc w:val="left"/>
        <w:rPr>
          <w:color w:val="auto"/>
        </w:rPr>
      </w:pPr>
    </w:p>
    <w:p w14:paraId="08151BC5">
      <w:pPr>
        <w:bidi w:val="0"/>
        <w:jc w:val="left"/>
        <w:rPr>
          <w:color w:val="auto"/>
        </w:rPr>
      </w:pPr>
    </w:p>
    <w:p w14:paraId="4E2BBB79">
      <w:pPr>
        <w:bidi w:val="0"/>
        <w:jc w:val="left"/>
        <w:rPr>
          <w:color w:val="auto"/>
        </w:rPr>
      </w:pPr>
    </w:p>
    <w:p w14:paraId="6D4E0884">
      <w:pPr>
        <w:bidi w:val="0"/>
        <w:jc w:val="left"/>
        <w:rPr>
          <w:color w:val="auto"/>
        </w:rPr>
      </w:pPr>
    </w:p>
    <w:p w14:paraId="7302F426">
      <w:pPr>
        <w:bidi w:val="0"/>
        <w:jc w:val="left"/>
        <w:rPr>
          <w:color w:val="auto"/>
        </w:rPr>
      </w:pPr>
    </w:p>
    <w:p w14:paraId="7BAB24E2">
      <w:pPr>
        <w:bidi w:val="0"/>
        <w:jc w:val="left"/>
        <w:rPr>
          <w:color w:val="auto"/>
        </w:rPr>
      </w:pPr>
    </w:p>
    <w:p w14:paraId="6F5679A6">
      <w:pPr>
        <w:bidi w:val="0"/>
        <w:jc w:val="left"/>
        <w:rPr>
          <w:color w:val="auto"/>
        </w:rPr>
      </w:pPr>
    </w:p>
    <w:p w14:paraId="572DE793">
      <w:pPr>
        <w:bidi w:val="0"/>
        <w:jc w:val="left"/>
        <w:rPr>
          <w:color w:val="auto"/>
        </w:rPr>
      </w:pPr>
    </w:p>
    <w:p w14:paraId="3B14E4C5">
      <w:pPr>
        <w:ind w:firstLine="1928" w:firstLineChars="600"/>
        <w:jc w:val="both"/>
        <w:rPr>
          <w:color w:val="auto"/>
        </w:rPr>
      </w:pPr>
      <w:r>
        <w:rPr>
          <w:rFonts w:hint="eastAsia" w:ascii="Times New Roman" w:hAnsi="Times New Roman" w:cs="Times New Roman"/>
          <w:b/>
          <w:bCs/>
          <w:color w:val="auto"/>
          <w:sz w:val="32"/>
          <w:szCs w:val="32"/>
          <w:highlight w:val="none"/>
          <w:lang w:val="en-US" w:eastAsia="zh-CN"/>
        </w:rPr>
        <w:t>建设单位：</w:t>
      </w:r>
      <w:r>
        <w:rPr>
          <w:rFonts w:hint="eastAsia" w:cs="Times New Roman"/>
          <w:b/>
          <w:bCs/>
          <w:color w:val="auto"/>
          <w:sz w:val="32"/>
          <w:szCs w:val="32"/>
          <w:highlight w:val="none"/>
          <w:lang w:val="en-US" w:eastAsia="zh-CN"/>
        </w:rPr>
        <w:t>池州市贵池区交通运输局</w:t>
      </w:r>
    </w:p>
    <w:p w14:paraId="1ADC4ECF">
      <w:pPr>
        <w:spacing w:line="360" w:lineRule="auto"/>
        <w:jc w:val="center"/>
        <w:rPr>
          <w:rFonts w:hint="eastAsia" w:ascii="Times New Roman" w:hAnsi="Times New Roman" w:eastAsia="宋体"/>
          <w:b/>
          <w:bCs/>
          <w:color w:val="auto"/>
          <w:kern w:val="2"/>
          <w:sz w:val="32"/>
          <w:szCs w:val="32"/>
          <w:lang w:eastAsia="zh-CN"/>
        </w:rPr>
      </w:pPr>
      <w:r>
        <w:rPr>
          <w:rFonts w:ascii="Times New Roman" w:hAnsi="Times New Roman"/>
          <w:b/>
          <w:bCs/>
          <w:color w:val="auto"/>
          <w:kern w:val="2"/>
          <w:sz w:val="32"/>
          <w:szCs w:val="32"/>
        </w:rPr>
        <w:t>编制单位：</w:t>
      </w:r>
      <w:r>
        <w:rPr>
          <w:rFonts w:hint="eastAsia"/>
          <w:b/>
          <w:bCs/>
          <w:color w:val="auto"/>
          <w:kern w:val="2"/>
          <w:sz w:val="32"/>
          <w:szCs w:val="32"/>
          <w:lang w:eastAsia="zh-CN"/>
        </w:rPr>
        <w:t>安徽重晨生态科技有限责任公司</w:t>
      </w:r>
    </w:p>
    <w:p w14:paraId="0A0949FC">
      <w:pPr>
        <w:spacing w:line="360" w:lineRule="auto"/>
        <w:jc w:val="center"/>
        <w:rPr>
          <w:rFonts w:ascii="Times New Roman" w:hAnsi="Times New Roman"/>
          <w:b/>
          <w:bCs/>
          <w:color w:val="auto"/>
          <w:kern w:val="2"/>
          <w:sz w:val="32"/>
          <w:szCs w:val="32"/>
        </w:rPr>
      </w:pPr>
      <w:r>
        <w:rPr>
          <w:rFonts w:ascii="Times New Roman" w:hAnsi="Times New Roman"/>
          <w:b/>
          <w:bCs/>
          <w:color w:val="auto"/>
          <w:kern w:val="2"/>
          <w:sz w:val="32"/>
          <w:szCs w:val="32"/>
        </w:rPr>
        <w:t>二〇二</w:t>
      </w:r>
      <w:r>
        <w:rPr>
          <w:rFonts w:hint="eastAsia"/>
          <w:b/>
          <w:bCs/>
          <w:color w:val="auto"/>
          <w:kern w:val="2"/>
          <w:sz w:val="32"/>
          <w:szCs w:val="32"/>
          <w:lang w:val="en-US" w:eastAsia="zh-CN"/>
        </w:rPr>
        <w:t>五</w:t>
      </w:r>
      <w:r>
        <w:rPr>
          <w:rFonts w:ascii="Times New Roman" w:hAnsi="Times New Roman"/>
          <w:b/>
          <w:bCs/>
          <w:color w:val="auto"/>
          <w:kern w:val="2"/>
          <w:sz w:val="32"/>
          <w:szCs w:val="32"/>
        </w:rPr>
        <w:t>年</w:t>
      </w:r>
      <w:r>
        <w:rPr>
          <w:rFonts w:hint="eastAsia"/>
          <w:b/>
          <w:bCs/>
          <w:color w:val="auto"/>
          <w:kern w:val="2"/>
          <w:sz w:val="32"/>
          <w:szCs w:val="32"/>
          <w:lang w:val="en-US" w:eastAsia="zh-CN"/>
        </w:rPr>
        <w:t>四</w:t>
      </w:r>
      <w:r>
        <w:rPr>
          <w:rFonts w:ascii="Times New Roman" w:hAnsi="Times New Roman"/>
          <w:b/>
          <w:bCs/>
          <w:color w:val="auto"/>
          <w:kern w:val="2"/>
          <w:sz w:val="32"/>
          <w:szCs w:val="32"/>
        </w:rPr>
        <w:t>月</w:t>
      </w:r>
    </w:p>
    <w:p w14:paraId="06D777A0">
      <w:pPr>
        <w:rPr>
          <w:rFonts w:ascii="Times New Roman" w:hAnsi="Times New Roman"/>
          <w:color w:val="auto"/>
        </w:rPr>
      </w:pPr>
    </w:p>
    <w:p w14:paraId="1993FC6D">
      <w:pPr>
        <w:rPr>
          <w:rFonts w:ascii="Times New Roman" w:hAnsi="Times New Roman"/>
          <w:color w:val="auto"/>
        </w:rPr>
      </w:pPr>
    </w:p>
    <w:p w14:paraId="775704C7">
      <w:pPr>
        <w:rPr>
          <w:rFonts w:ascii="Times New Roman" w:hAnsi="Times New Roman"/>
          <w:color w:val="auto"/>
        </w:rPr>
      </w:pPr>
    </w:p>
    <w:p w14:paraId="006EE5A4">
      <w:pPr>
        <w:rPr>
          <w:rFonts w:ascii="Times New Roman" w:hAnsi="Times New Roman"/>
          <w:color w:val="auto"/>
        </w:rPr>
        <w:sectPr>
          <w:headerReference r:id="rId5" w:type="default"/>
          <w:footerReference r:id="rId6" w:type="default"/>
          <w:pgSz w:w="11906" w:h="16838"/>
          <w:pgMar w:top="1418" w:right="1361" w:bottom="1418" w:left="1361" w:header="851" w:footer="992" w:gutter="0"/>
          <w:pgBorders>
            <w:top w:val="none" w:sz="0" w:space="0"/>
            <w:left w:val="none" w:sz="0" w:space="0"/>
            <w:bottom w:val="none" w:sz="0" w:space="0"/>
            <w:right w:val="none" w:sz="0" w:space="0"/>
          </w:pgBorders>
          <w:pgNumType w:fmt="upperRoman" w:start="1"/>
          <w:cols w:space="720" w:num="1"/>
          <w:docGrid w:linePitch="312" w:charSpace="0"/>
        </w:sectPr>
      </w:pPr>
    </w:p>
    <w:sdt>
      <w:sdtPr>
        <w:rPr>
          <w:rFonts w:ascii="宋体" w:hAnsi="宋体" w:eastAsia="宋体" w:cs="Times New Roman"/>
          <w:color w:val="auto"/>
          <w:sz w:val="21"/>
          <w:lang w:val="en-US" w:eastAsia="zh-CN" w:bidi="ar-SA"/>
        </w:rPr>
        <w:id w:val="147458381"/>
        <w15:color w:val="DBDBDB"/>
        <w:docPartObj>
          <w:docPartGallery w:val="Table of Contents"/>
          <w:docPartUnique/>
        </w:docPartObj>
      </w:sdtPr>
      <w:sdtEndPr>
        <w:rPr>
          <w:rFonts w:ascii="宋体" w:hAnsi="宋体" w:eastAsia="宋体" w:cs="Times New Roman"/>
          <w:color w:val="auto"/>
          <w:sz w:val="21"/>
          <w:lang w:val="en-US" w:eastAsia="zh-CN" w:bidi="ar-SA"/>
        </w:rPr>
      </w:sdtEndPr>
      <w:sdtContent>
        <w:p w14:paraId="0B7D3AAD">
          <w:pPr>
            <w:spacing w:before="0" w:beforeLines="0" w:after="0" w:afterLines="0" w:line="240" w:lineRule="auto"/>
            <w:ind w:left="0" w:leftChars="0" w:right="0" w:rightChars="0" w:firstLine="0" w:firstLineChars="0"/>
            <w:jc w:val="center"/>
            <w:rPr>
              <w:b/>
              <w:bCs/>
              <w:color w:val="auto"/>
              <w:sz w:val="44"/>
              <w:szCs w:val="44"/>
            </w:rPr>
          </w:pPr>
          <w:r>
            <w:rPr>
              <w:rFonts w:ascii="宋体" w:hAnsi="宋体" w:eastAsia="宋体"/>
              <w:b/>
              <w:bCs/>
              <w:color w:val="auto"/>
              <w:sz w:val="44"/>
              <w:szCs w:val="44"/>
            </w:rPr>
            <w:t>目录</w:t>
          </w:r>
        </w:p>
        <w:p w14:paraId="63845E64">
          <w:pPr>
            <w:pStyle w:val="20"/>
            <w:tabs>
              <w:tab w:val="right" w:leader="dot" w:pos="9179"/>
            </w:tabs>
          </w:pPr>
          <w:r>
            <w:rPr>
              <w:color w:val="auto"/>
            </w:rPr>
            <w:fldChar w:fldCharType="begin"/>
          </w:r>
          <w:r>
            <w:rPr>
              <w:color w:val="auto"/>
            </w:rPr>
            <w:instrText xml:space="preserve">TOC \o "1-3" \h \u </w:instrText>
          </w:r>
          <w:r>
            <w:rPr>
              <w:color w:val="auto"/>
            </w:rPr>
            <w:fldChar w:fldCharType="separate"/>
          </w:r>
          <w:r>
            <w:rPr>
              <w:color w:val="auto"/>
            </w:rPr>
            <w:fldChar w:fldCharType="begin"/>
          </w:r>
          <w:r>
            <w:instrText xml:space="preserve"> HYPERLINK \l _Toc22388 </w:instrText>
          </w:r>
          <w:r>
            <w:fldChar w:fldCharType="separate"/>
          </w:r>
          <w:r>
            <w:rPr>
              <w:rFonts w:cs="Times New Roman"/>
            </w:rPr>
            <w:t xml:space="preserve">1 </w:t>
          </w:r>
          <w:r>
            <w:t>概述</w:t>
          </w:r>
          <w:r>
            <w:tab/>
          </w:r>
          <w:r>
            <w:fldChar w:fldCharType="begin"/>
          </w:r>
          <w:r>
            <w:instrText xml:space="preserve"> PAGEREF _Toc22388 \h </w:instrText>
          </w:r>
          <w:r>
            <w:fldChar w:fldCharType="separate"/>
          </w:r>
          <w:r>
            <w:t>- 1 -</w:t>
          </w:r>
          <w:r>
            <w:fldChar w:fldCharType="end"/>
          </w:r>
          <w:r>
            <w:rPr>
              <w:color w:val="auto"/>
            </w:rPr>
            <w:fldChar w:fldCharType="end"/>
          </w:r>
        </w:p>
        <w:p w14:paraId="0B5A1DE0">
          <w:pPr>
            <w:pStyle w:val="21"/>
            <w:tabs>
              <w:tab w:val="right" w:leader="dot" w:pos="9179"/>
            </w:tabs>
          </w:pPr>
          <w:r>
            <w:rPr>
              <w:color w:val="auto"/>
            </w:rPr>
            <w:fldChar w:fldCharType="begin"/>
          </w:r>
          <w:r>
            <w:instrText xml:space="preserve"> HYPERLINK \l _Toc4973 </w:instrText>
          </w:r>
          <w:r>
            <w:fldChar w:fldCharType="separate"/>
          </w:r>
          <w:r>
            <w:rPr>
              <w:rFonts w:cs="Times New Roman"/>
            </w:rPr>
            <w:t xml:space="preserve">1.1 </w:t>
          </w:r>
          <w:r>
            <w:t>项目</w:t>
          </w:r>
          <w:r>
            <w:rPr>
              <w:bCs/>
            </w:rPr>
            <w:t>建设</w:t>
          </w:r>
          <w:r>
            <w:rPr>
              <w:rFonts w:hint="eastAsia"/>
              <w:bCs/>
              <w:lang w:val="en-US" w:eastAsia="zh-CN"/>
            </w:rPr>
            <w:t>由来</w:t>
          </w:r>
          <w:r>
            <w:tab/>
          </w:r>
          <w:r>
            <w:fldChar w:fldCharType="begin"/>
          </w:r>
          <w:r>
            <w:instrText xml:space="preserve"> PAGEREF _Toc4973 \h </w:instrText>
          </w:r>
          <w:r>
            <w:fldChar w:fldCharType="separate"/>
          </w:r>
          <w:r>
            <w:t>- 1 -</w:t>
          </w:r>
          <w:r>
            <w:fldChar w:fldCharType="end"/>
          </w:r>
          <w:r>
            <w:rPr>
              <w:color w:val="auto"/>
            </w:rPr>
            <w:fldChar w:fldCharType="end"/>
          </w:r>
        </w:p>
        <w:p w14:paraId="7B8A451B">
          <w:pPr>
            <w:pStyle w:val="21"/>
            <w:tabs>
              <w:tab w:val="right" w:leader="dot" w:pos="9179"/>
            </w:tabs>
          </w:pPr>
          <w:r>
            <w:rPr>
              <w:color w:val="auto"/>
            </w:rPr>
            <w:fldChar w:fldCharType="begin"/>
          </w:r>
          <w:r>
            <w:instrText xml:space="preserve"> HYPERLINK \l _Toc26820 </w:instrText>
          </w:r>
          <w:r>
            <w:fldChar w:fldCharType="separate"/>
          </w:r>
          <w:r>
            <w:rPr>
              <w:rFonts w:cs="Times New Roman"/>
            </w:rPr>
            <w:t xml:space="preserve">1.2 </w:t>
          </w:r>
          <w:r>
            <w:t>环境影响评价过程</w:t>
          </w:r>
          <w:r>
            <w:tab/>
          </w:r>
          <w:r>
            <w:fldChar w:fldCharType="begin"/>
          </w:r>
          <w:r>
            <w:instrText xml:space="preserve"> PAGEREF _Toc26820 \h </w:instrText>
          </w:r>
          <w:r>
            <w:fldChar w:fldCharType="separate"/>
          </w:r>
          <w:r>
            <w:t>- 2 -</w:t>
          </w:r>
          <w:r>
            <w:fldChar w:fldCharType="end"/>
          </w:r>
          <w:r>
            <w:rPr>
              <w:color w:val="auto"/>
            </w:rPr>
            <w:fldChar w:fldCharType="end"/>
          </w:r>
        </w:p>
        <w:p w14:paraId="30D77735">
          <w:pPr>
            <w:pStyle w:val="21"/>
            <w:tabs>
              <w:tab w:val="right" w:leader="dot" w:pos="9179"/>
            </w:tabs>
          </w:pPr>
          <w:r>
            <w:rPr>
              <w:color w:val="auto"/>
            </w:rPr>
            <w:fldChar w:fldCharType="begin"/>
          </w:r>
          <w:r>
            <w:instrText xml:space="preserve"> HYPERLINK \l _Toc29098 </w:instrText>
          </w:r>
          <w:r>
            <w:fldChar w:fldCharType="separate"/>
          </w:r>
          <w:r>
            <w:rPr>
              <w:rFonts w:cs="Times New Roman"/>
              <w:lang w:val="en-US" w:eastAsia="zh-CN"/>
            </w:rPr>
            <w:t xml:space="preserve">1.3 </w:t>
          </w:r>
          <w:r>
            <w:rPr>
              <w:lang w:val="en-US" w:eastAsia="zh-CN"/>
            </w:rPr>
            <w:t>分析判定相关情况</w:t>
          </w:r>
          <w:r>
            <w:tab/>
          </w:r>
          <w:r>
            <w:fldChar w:fldCharType="begin"/>
          </w:r>
          <w:r>
            <w:instrText xml:space="preserve"> PAGEREF _Toc29098 \h </w:instrText>
          </w:r>
          <w:r>
            <w:fldChar w:fldCharType="separate"/>
          </w:r>
          <w:r>
            <w:t>- 3 -</w:t>
          </w:r>
          <w:r>
            <w:fldChar w:fldCharType="end"/>
          </w:r>
          <w:r>
            <w:rPr>
              <w:color w:val="auto"/>
            </w:rPr>
            <w:fldChar w:fldCharType="end"/>
          </w:r>
        </w:p>
        <w:p w14:paraId="6C085298">
          <w:pPr>
            <w:pStyle w:val="21"/>
            <w:tabs>
              <w:tab w:val="right" w:leader="dot" w:pos="9179"/>
            </w:tabs>
          </w:pPr>
          <w:r>
            <w:rPr>
              <w:color w:val="auto"/>
            </w:rPr>
            <w:fldChar w:fldCharType="begin"/>
          </w:r>
          <w:r>
            <w:instrText xml:space="preserve"> HYPERLINK \l _Toc11387 </w:instrText>
          </w:r>
          <w:r>
            <w:fldChar w:fldCharType="separate"/>
          </w:r>
          <w:r>
            <w:rPr>
              <w:rFonts w:cs="Times New Roman"/>
            </w:rPr>
            <w:t xml:space="preserve">1.4 </w:t>
          </w:r>
          <w:r>
            <w:t>本次环评关注的主要环境问题及环境影响</w:t>
          </w:r>
          <w:r>
            <w:tab/>
          </w:r>
          <w:r>
            <w:fldChar w:fldCharType="begin"/>
          </w:r>
          <w:r>
            <w:instrText xml:space="preserve"> PAGEREF _Toc11387 \h </w:instrText>
          </w:r>
          <w:r>
            <w:fldChar w:fldCharType="separate"/>
          </w:r>
          <w:r>
            <w:t>- 5 -</w:t>
          </w:r>
          <w:r>
            <w:fldChar w:fldCharType="end"/>
          </w:r>
          <w:r>
            <w:rPr>
              <w:color w:val="auto"/>
            </w:rPr>
            <w:fldChar w:fldCharType="end"/>
          </w:r>
        </w:p>
        <w:p w14:paraId="11591591">
          <w:pPr>
            <w:pStyle w:val="21"/>
            <w:tabs>
              <w:tab w:val="right" w:leader="dot" w:pos="9179"/>
            </w:tabs>
          </w:pPr>
          <w:r>
            <w:rPr>
              <w:color w:val="auto"/>
            </w:rPr>
            <w:fldChar w:fldCharType="begin"/>
          </w:r>
          <w:r>
            <w:instrText xml:space="preserve"> HYPERLINK \l _Toc24188 </w:instrText>
          </w:r>
          <w:r>
            <w:fldChar w:fldCharType="separate"/>
          </w:r>
          <w:r>
            <w:rPr>
              <w:rFonts w:cs="Times New Roman"/>
            </w:rPr>
            <w:t xml:space="preserve">1.5 </w:t>
          </w:r>
          <w:r>
            <w:t>环境影响报告书主要结论</w:t>
          </w:r>
          <w:r>
            <w:tab/>
          </w:r>
          <w:r>
            <w:fldChar w:fldCharType="begin"/>
          </w:r>
          <w:r>
            <w:instrText xml:space="preserve"> PAGEREF _Toc24188 \h </w:instrText>
          </w:r>
          <w:r>
            <w:fldChar w:fldCharType="separate"/>
          </w:r>
          <w:r>
            <w:t>- 5 -</w:t>
          </w:r>
          <w:r>
            <w:fldChar w:fldCharType="end"/>
          </w:r>
          <w:r>
            <w:rPr>
              <w:color w:val="auto"/>
            </w:rPr>
            <w:fldChar w:fldCharType="end"/>
          </w:r>
        </w:p>
        <w:p w14:paraId="18701CFD">
          <w:pPr>
            <w:pStyle w:val="20"/>
            <w:tabs>
              <w:tab w:val="right" w:leader="dot" w:pos="9179"/>
            </w:tabs>
          </w:pPr>
          <w:r>
            <w:rPr>
              <w:color w:val="auto"/>
            </w:rPr>
            <w:fldChar w:fldCharType="begin"/>
          </w:r>
          <w:r>
            <w:instrText xml:space="preserve"> HYPERLINK \l _Toc8618 </w:instrText>
          </w:r>
          <w:r>
            <w:fldChar w:fldCharType="separate"/>
          </w:r>
          <w:r>
            <w:rPr>
              <w:rFonts w:cs="Times New Roman"/>
            </w:rPr>
            <w:t xml:space="preserve">2 </w:t>
          </w:r>
          <w:r>
            <w:t>总则</w:t>
          </w:r>
          <w:r>
            <w:tab/>
          </w:r>
          <w:r>
            <w:fldChar w:fldCharType="begin"/>
          </w:r>
          <w:r>
            <w:instrText xml:space="preserve"> PAGEREF _Toc8618 \h </w:instrText>
          </w:r>
          <w:r>
            <w:fldChar w:fldCharType="separate"/>
          </w:r>
          <w:r>
            <w:t>- 6 -</w:t>
          </w:r>
          <w:r>
            <w:fldChar w:fldCharType="end"/>
          </w:r>
          <w:r>
            <w:rPr>
              <w:color w:val="auto"/>
            </w:rPr>
            <w:fldChar w:fldCharType="end"/>
          </w:r>
        </w:p>
        <w:p w14:paraId="5EF1B176">
          <w:pPr>
            <w:pStyle w:val="21"/>
            <w:tabs>
              <w:tab w:val="right" w:leader="dot" w:pos="9179"/>
            </w:tabs>
          </w:pPr>
          <w:r>
            <w:rPr>
              <w:color w:val="auto"/>
            </w:rPr>
            <w:fldChar w:fldCharType="begin"/>
          </w:r>
          <w:r>
            <w:instrText xml:space="preserve"> HYPERLINK \l _Toc3901 </w:instrText>
          </w:r>
          <w:r>
            <w:fldChar w:fldCharType="separate"/>
          </w:r>
          <w:r>
            <w:rPr>
              <w:rFonts w:cs="Times New Roman"/>
            </w:rPr>
            <w:t xml:space="preserve">2.1 </w:t>
          </w:r>
          <w:r>
            <w:t>编制依据</w:t>
          </w:r>
          <w:r>
            <w:tab/>
          </w:r>
          <w:r>
            <w:fldChar w:fldCharType="begin"/>
          </w:r>
          <w:r>
            <w:instrText xml:space="preserve"> PAGEREF _Toc3901 \h </w:instrText>
          </w:r>
          <w:r>
            <w:fldChar w:fldCharType="separate"/>
          </w:r>
          <w:r>
            <w:t>- 6 -</w:t>
          </w:r>
          <w:r>
            <w:fldChar w:fldCharType="end"/>
          </w:r>
          <w:r>
            <w:rPr>
              <w:color w:val="auto"/>
            </w:rPr>
            <w:fldChar w:fldCharType="end"/>
          </w:r>
        </w:p>
        <w:p w14:paraId="3AB2C4AF">
          <w:pPr>
            <w:pStyle w:val="21"/>
            <w:tabs>
              <w:tab w:val="right" w:leader="dot" w:pos="9179"/>
            </w:tabs>
          </w:pPr>
          <w:r>
            <w:rPr>
              <w:color w:val="auto"/>
            </w:rPr>
            <w:fldChar w:fldCharType="begin"/>
          </w:r>
          <w:r>
            <w:instrText xml:space="preserve"> HYPERLINK \l _Toc26501 </w:instrText>
          </w:r>
          <w:r>
            <w:fldChar w:fldCharType="separate"/>
          </w:r>
          <w:r>
            <w:rPr>
              <w:rFonts w:cs="Times New Roman"/>
            </w:rPr>
            <w:t xml:space="preserve">2.2 </w:t>
          </w:r>
          <w:r>
            <w:t>评价因子与评价标准</w:t>
          </w:r>
          <w:r>
            <w:tab/>
          </w:r>
          <w:r>
            <w:fldChar w:fldCharType="begin"/>
          </w:r>
          <w:r>
            <w:instrText xml:space="preserve"> PAGEREF _Toc26501 \h </w:instrText>
          </w:r>
          <w:r>
            <w:fldChar w:fldCharType="separate"/>
          </w:r>
          <w:r>
            <w:t>- 9 -</w:t>
          </w:r>
          <w:r>
            <w:fldChar w:fldCharType="end"/>
          </w:r>
          <w:r>
            <w:rPr>
              <w:color w:val="auto"/>
            </w:rPr>
            <w:fldChar w:fldCharType="end"/>
          </w:r>
        </w:p>
        <w:p w14:paraId="335EF6F0">
          <w:pPr>
            <w:pStyle w:val="21"/>
            <w:tabs>
              <w:tab w:val="right" w:leader="dot" w:pos="9179"/>
            </w:tabs>
          </w:pPr>
          <w:r>
            <w:rPr>
              <w:color w:val="auto"/>
            </w:rPr>
            <w:fldChar w:fldCharType="begin"/>
          </w:r>
          <w:r>
            <w:instrText xml:space="preserve"> HYPERLINK \l _Toc10089 </w:instrText>
          </w:r>
          <w:r>
            <w:fldChar w:fldCharType="separate"/>
          </w:r>
          <w:r>
            <w:rPr>
              <w:rFonts w:cs="Times New Roman"/>
            </w:rPr>
            <w:t xml:space="preserve">2.3 </w:t>
          </w:r>
          <w:r>
            <w:t>评价工作等级</w:t>
          </w:r>
          <w:r>
            <w:tab/>
          </w:r>
          <w:r>
            <w:fldChar w:fldCharType="begin"/>
          </w:r>
          <w:r>
            <w:instrText xml:space="preserve"> PAGEREF _Toc10089 \h </w:instrText>
          </w:r>
          <w:r>
            <w:fldChar w:fldCharType="separate"/>
          </w:r>
          <w:r>
            <w:t>- 14 -</w:t>
          </w:r>
          <w:r>
            <w:fldChar w:fldCharType="end"/>
          </w:r>
          <w:r>
            <w:rPr>
              <w:color w:val="auto"/>
            </w:rPr>
            <w:fldChar w:fldCharType="end"/>
          </w:r>
        </w:p>
        <w:p w14:paraId="7D7B968A">
          <w:pPr>
            <w:pStyle w:val="21"/>
            <w:tabs>
              <w:tab w:val="right" w:leader="dot" w:pos="9179"/>
            </w:tabs>
          </w:pPr>
          <w:r>
            <w:rPr>
              <w:color w:val="auto"/>
            </w:rPr>
            <w:fldChar w:fldCharType="begin"/>
          </w:r>
          <w:r>
            <w:instrText xml:space="preserve"> HYPERLINK \l _Toc14153 </w:instrText>
          </w:r>
          <w:r>
            <w:fldChar w:fldCharType="separate"/>
          </w:r>
          <w:r>
            <w:rPr>
              <w:rFonts w:hint="eastAsia" w:cs="Times New Roman"/>
            </w:rPr>
            <w:t xml:space="preserve">2.4 </w:t>
          </w:r>
          <w:r>
            <w:rPr>
              <w:rFonts w:hint="eastAsia"/>
            </w:rPr>
            <w:t>工程与相关法律、政策、规划符合性分析</w:t>
          </w:r>
          <w:r>
            <w:tab/>
          </w:r>
          <w:r>
            <w:fldChar w:fldCharType="begin"/>
          </w:r>
          <w:r>
            <w:instrText xml:space="preserve"> PAGEREF _Toc14153 \h </w:instrText>
          </w:r>
          <w:r>
            <w:fldChar w:fldCharType="separate"/>
          </w:r>
          <w:r>
            <w:t>- 18 -</w:t>
          </w:r>
          <w:r>
            <w:fldChar w:fldCharType="end"/>
          </w:r>
          <w:r>
            <w:rPr>
              <w:color w:val="auto"/>
            </w:rPr>
            <w:fldChar w:fldCharType="end"/>
          </w:r>
        </w:p>
        <w:p w14:paraId="190DE43A">
          <w:pPr>
            <w:pStyle w:val="21"/>
            <w:tabs>
              <w:tab w:val="right" w:leader="dot" w:pos="9179"/>
            </w:tabs>
          </w:pPr>
          <w:r>
            <w:rPr>
              <w:color w:val="auto"/>
            </w:rPr>
            <w:fldChar w:fldCharType="begin"/>
          </w:r>
          <w:r>
            <w:instrText xml:space="preserve"> HYPERLINK \l _Toc16971 </w:instrText>
          </w:r>
          <w:r>
            <w:fldChar w:fldCharType="separate"/>
          </w:r>
          <w:r>
            <w:rPr>
              <w:rFonts w:hint="eastAsia" w:cs="Times New Roman"/>
            </w:rPr>
            <w:t xml:space="preserve">2.5 </w:t>
          </w:r>
          <w:r>
            <w:rPr>
              <w:rFonts w:hint="eastAsia"/>
            </w:rPr>
            <w:t>环境保护目标</w:t>
          </w:r>
          <w:r>
            <w:tab/>
          </w:r>
          <w:r>
            <w:fldChar w:fldCharType="begin"/>
          </w:r>
          <w:r>
            <w:instrText xml:space="preserve"> PAGEREF _Toc16971 \h </w:instrText>
          </w:r>
          <w:r>
            <w:fldChar w:fldCharType="separate"/>
          </w:r>
          <w:r>
            <w:t>- 30 -</w:t>
          </w:r>
          <w:r>
            <w:fldChar w:fldCharType="end"/>
          </w:r>
          <w:r>
            <w:rPr>
              <w:color w:val="auto"/>
            </w:rPr>
            <w:fldChar w:fldCharType="end"/>
          </w:r>
        </w:p>
        <w:p w14:paraId="3D97A12C">
          <w:pPr>
            <w:pStyle w:val="20"/>
            <w:tabs>
              <w:tab w:val="right" w:leader="dot" w:pos="9179"/>
            </w:tabs>
          </w:pPr>
          <w:r>
            <w:rPr>
              <w:color w:val="auto"/>
            </w:rPr>
            <w:fldChar w:fldCharType="begin"/>
          </w:r>
          <w:r>
            <w:instrText xml:space="preserve"> HYPERLINK \l _Toc19268 </w:instrText>
          </w:r>
          <w:r>
            <w:fldChar w:fldCharType="separate"/>
          </w:r>
          <w:r>
            <w:rPr>
              <w:rFonts w:hint="eastAsia" w:cs="Times New Roman"/>
              <w:lang w:val="zh-CN" w:eastAsia="zh-CN"/>
            </w:rPr>
            <w:t xml:space="preserve">3 </w:t>
          </w:r>
          <w:r>
            <w:rPr>
              <w:rFonts w:hint="eastAsia"/>
            </w:rPr>
            <w:t>项目概况及工程分析</w:t>
          </w:r>
          <w:r>
            <w:tab/>
          </w:r>
          <w:r>
            <w:fldChar w:fldCharType="begin"/>
          </w:r>
          <w:r>
            <w:instrText xml:space="preserve"> PAGEREF _Toc19268 \h </w:instrText>
          </w:r>
          <w:r>
            <w:fldChar w:fldCharType="separate"/>
          </w:r>
          <w:r>
            <w:t>- 32 -</w:t>
          </w:r>
          <w:r>
            <w:fldChar w:fldCharType="end"/>
          </w:r>
          <w:r>
            <w:rPr>
              <w:color w:val="auto"/>
            </w:rPr>
            <w:fldChar w:fldCharType="end"/>
          </w:r>
        </w:p>
        <w:p w14:paraId="41733726">
          <w:pPr>
            <w:pStyle w:val="21"/>
            <w:tabs>
              <w:tab w:val="right" w:leader="dot" w:pos="9179"/>
            </w:tabs>
          </w:pPr>
          <w:r>
            <w:rPr>
              <w:color w:val="auto"/>
            </w:rPr>
            <w:fldChar w:fldCharType="begin"/>
          </w:r>
          <w:r>
            <w:instrText xml:space="preserve"> HYPERLINK \l _Toc26161 </w:instrText>
          </w:r>
          <w:r>
            <w:fldChar w:fldCharType="separate"/>
          </w:r>
          <w:r>
            <w:rPr>
              <w:rFonts w:hint="eastAsia" w:cs="Times New Roman"/>
              <w:lang w:val="zh-CN" w:eastAsia="zh-CN"/>
            </w:rPr>
            <w:t xml:space="preserve">3.1 </w:t>
          </w:r>
          <w:r>
            <w:rPr>
              <w:rFonts w:hint="eastAsia"/>
              <w:lang w:val="en-US" w:eastAsia="zh-CN"/>
            </w:rPr>
            <w:t>项目</w:t>
          </w:r>
          <w:r>
            <w:rPr>
              <w:rFonts w:hint="eastAsia"/>
              <w:lang w:val="zh-CN" w:eastAsia="zh-CN"/>
            </w:rPr>
            <w:t>概况</w:t>
          </w:r>
          <w:r>
            <w:tab/>
          </w:r>
          <w:r>
            <w:fldChar w:fldCharType="begin"/>
          </w:r>
          <w:r>
            <w:instrText xml:space="preserve"> PAGEREF _Toc26161 \h </w:instrText>
          </w:r>
          <w:r>
            <w:fldChar w:fldCharType="separate"/>
          </w:r>
          <w:r>
            <w:t>- 32 -</w:t>
          </w:r>
          <w:r>
            <w:fldChar w:fldCharType="end"/>
          </w:r>
          <w:r>
            <w:rPr>
              <w:color w:val="auto"/>
            </w:rPr>
            <w:fldChar w:fldCharType="end"/>
          </w:r>
        </w:p>
        <w:p w14:paraId="41CA8F4E">
          <w:pPr>
            <w:pStyle w:val="21"/>
            <w:tabs>
              <w:tab w:val="right" w:leader="dot" w:pos="9179"/>
            </w:tabs>
          </w:pPr>
          <w:r>
            <w:rPr>
              <w:color w:val="auto"/>
            </w:rPr>
            <w:fldChar w:fldCharType="begin"/>
          </w:r>
          <w:r>
            <w:instrText xml:space="preserve"> HYPERLINK \l _Toc13768 </w:instrText>
          </w:r>
          <w:r>
            <w:fldChar w:fldCharType="separate"/>
          </w:r>
          <w:r>
            <w:rPr>
              <w:rFonts w:hint="eastAsia" w:cs="Times New Roman"/>
              <w:lang w:val="zh-CN" w:eastAsia="zh-CN"/>
            </w:rPr>
            <w:t xml:space="preserve">3.2 </w:t>
          </w:r>
          <w:r>
            <w:rPr>
              <w:rFonts w:hint="eastAsia"/>
              <w:lang w:val="zh-CN" w:eastAsia="zh-CN"/>
            </w:rPr>
            <w:t>工程具体内容和方案</w:t>
          </w:r>
          <w:r>
            <w:tab/>
          </w:r>
          <w:r>
            <w:fldChar w:fldCharType="begin"/>
          </w:r>
          <w:r>
            <w:instrText xml:space="preserve"> PAGEREF _Toc13768 \h </w:instrText>
          </w:r>
          <w:r>
            <w:fldChar w:fldCharType="separate"/>
          </w:r>
          <w:r>
            <w:t>- 38 -</w:t>
          </w:r>
          <w:r>
            <w:fldChar w:fldCharType="end"/>
          </w:r>
          <w:r>
            <w:rPr>
              <w:color w:val="auto"/>
            </w:rPr>
            <w:fldChar w:fldCharType="end"/>
          </w:r>
        </w:p>
        <w:p w14:paraId="591435E8">
          <w:pPr>
            <w:pStyle w:val="21"/>
            <w:tabs>
              <w:tab w:val="right" w:leader="dot" w:pos="9179"/>
            </w:tabs>
          </w:pPr>
          <w:r>
            <w:rPr>
              <w:color w:val="auto"/>
            </w:rPr>
            <w:fldChar w:fldCharType="begin"/>
          </w:r>
          <w:r>
            <w:instrText xml:space="preserve"> HYPERLINK \l _Toc8854 </w:instrText>
          </w:r>
          <w:r>
            <w:fldChar w:fldCharType="separate"/>
          </w:r>
          <w:r>
            <w:rPr>
              <w:rFonts w:hint="eastAsia" w:cs="Times New Roman"/>
            </w:rPr>
            <w:t xml:space="preserve">3.3 </w:t>
          </w:r>
          <w:r>
            <w:rPr>
              <w:rFonts w:hint="eastAsia"/>
            </w:rPr>
            <w:t>施工总进度</w:t>
          </w:r>
          <w:r>
            <w:tab/>
          </w:r>
          <w:r>
            <w:fldChar w:fldCharType="begin"/>
          </w:r>
          <w:r>
            <w:instrText xml:space="preserve"> PAGEREF _Toc8854 \h </w:instrText>
          </w:r>
          <w:r>
            <w:fldChar w:fldCharType="separate"/>
          </w:r>
          <w:r>
            <w:t>- 53 -</w:t>
          </w:r>
          <w:r>
            <w:fldChar w:fldCharType="end"/>
          </w:r>
          <w:r>
            <w:rPr>
              <w:color w:val="auto"/>
            </w:rPr>
            <w:fldChar w:fldCharType="end"/>
          </w:r>
        </w:p>
        <w:p w14:paraId="75DAB569">
          <w:pPr>
            <w:pStyle w:val="21"/>
            <w:tabs>
              <w:tab w:val="right" w:leader="dot" w:pos="9179"/>
            </w:tabs>
          </w:pPr>
          <w:r>
            <w:rPr>
              <w:color w:val="auto"/>
            </w:rPr>
            <w:fldChar w:fldCharType="begin"/>
          </w:r>
          <w:r>
            <w:instrText xml:space="preserve"> HYPERLINK \l _Toc1784 </w:instrText>
          </w:r>
          <w:r>
            <w:fldChar w:fldCharType="separate"/>
          </w:r>
          <w:r>
            <w:rPr>
              <w:rFonts w:hint="eastAsia" w:cs="Times New Roman"/>
              <w:lang w:val="zh-CN" w:eastAsia="zh-CN"/>
            </w:rPr>
            <w:t xml:space="preserve">3.4 </w:t>
          </w:r>
          <w:r>
            <w:rPr>
              <w:rFonts w:hint="eastAsia"/>
              <w:lang w:val="zh-CN" w:eastAsia="zh-CN"/>
            </w:rPr>
            <w:t>工程分析</w:t>
          </w:r>
          <w:r>
            <w:tab/>
          </w:r>
          <w:r>
            <w:fldChar w:fldCharType="begin"/>
          </w:r>
          <w:r>
            <w:instrText xml:space="preserve"> PAGEREF _Toc1784 \h </w:instrText>
          </w:r>
          <w:r>
            <w:fldChar w:fldCharType="separate"/>
          </w:r>
          <w:r>
            <w:t>- 53 -</w:t>
          </w:r>
          <w:r>
            <w:fldChar w:fldCharType="end"/>
          </w:r>
          <w:r>
            <w:rPr>
              <w:color w:val="auto"/>
            </w:rPr>
            <w:fldChar w:fldCharType="end"/>
          </w:r>
        </w:p>
        <w:p w14:paraId="78D0CEE7">
          <w:pPr>
            <w:pStyle w:val="20"/>
            <w:tabs>
              <w:tab w:val="right" w:leader="dot" w:pos="9179"/>
            </w:tabs>
          </w:pPr>
          <w:r>
            <w:rPr>
              <w:color w:val="auto"/>
            </w:rPr>
            <w:fldChar w:fldCharType="begin"/>
          </w:r>
          <w:r>
            <w:instrText xml:space="preserve"> HYPERLINK \l _Toc9757 </w:instrText>
          </w:r>
          <w:r>
            <w:fldChar w:fldCharType="separate"/>
          </w:r>
          <w:r>
            <w:rPr>
              <w:rFonts w:hint="eastAsia" w:cs="Times New Roman"/>
              <w:lang w:val="zh-CN" w:eastAsia="zh-CN"/>
            </w:rPr>
            <w:t xml:space="preserve">4 </w:t>
          </w:r>
          <w:r>
            <w:rPr>
              <w:rFonts w:hint="eastAsia"/>
              <w:lang w:val="zh-CN" w:eastAsia="zh-CN"/>
            </w:rPr>
            <w:t>环境现状调查与评价</w:t>
          </w:r>
          <w:r>
            <w:tab/>
          </w:r>
          <w:r>
            <w:fldChar w:fldCharType="begin"/>
          </w:r>
          <w:r>
            <w:instrText xml:space="preserve"> PAGEREF _Toc9757 \h </w:instrText>
          </w:r>
          <w:r>
            <w:fldChar w:fldCharType="separate"/>
          </w:r>
          <w:r>
            <w:t>- 62 -</w:t>
          </w:r>
          <w:r>
            <w:fldChar w:fldCharType="end"/>
          </w:r>
          <w:r>
            <w:rPr>
              <w:color w:val="auto"/>
            </w:rPr>
            <w:fldChar w:fldCharType="end"/>
          </w:r>
        </w:p>
        <w:p w14:paraId="3CF46E71">
          <w:pPr>
            <w:pStyle w:val="21"/>
            <w:tabs>
              <w:tab w:val="right" w:leader="dot" w:pos="9179"/>
            </w:tabs>
          </w:pPr>
          <w:r>
            <w:rPr>
              <w:color w:val="auto"/>
            </w:rPr>
            <w:fldChar w:fldCharType="begin"/>
          </w:r>
          <w:r>
            <w:instrText xml:space="preserve"> HYPERLINK \l _Toc28597 </w:instrText>
          </w:r>
          <w:r>
            <w:fldChar w:fldCharType="separate"/>
          </w:r>
          <w:r>
            <w:rPr>
              <w:rFonts w:hint="eastAsia" w:cs="Times New Roman"/>
              <w:lang w:val="zh-CN" w:eastAsia="zh-CN"/>
            </w:rPr>
            <w:t xml:space="preserve">4.1 </w:t>
          </w:r>
          <w:r>
            <w:rPr>
              <w:rFonts w:hint="eastAsia"/>
              <w:lang w:val="zh-CN" w:eastAsia="zh-CN"/>
            </w:rPr>
            <w:t>自然环境概况</w:t>
          </w:r>
          <w:r>
            <w:tab/>
          </w:r>
          <w:r>
            <w:fldChar w:fldCharType="begin"/>
          </w:r>
          <w:r>
            <w:instrText xml:space="preserve"> PAGEREF _Toc28597 \h </w:instrText>
          </w:r>
          <w:r>
            <w:fldChar w:fldCharType="separate"/>
          </w:r>
          <w:r>
            <w:t>- 62 -</w:t>
          </w:r>
          <w:r>
            <w:fldChar w:fldCharType="end"/>
          </w:r>
          <w:r>
            <w:rPr>
              <w:color w:val="auto"/>
            </w:rPr>
            <w:fldChar w:fldCharType="end"/>
          </w:r>
        </w:p>
        <w:p w14:paraId="68957F12">
          <w:pPr>
            <w:pStyle w:val="21"/>
            <w:tabs>
              <w:tab w:val="right" w:leader="dot" w:pos="9179"/>
            </w:tabs>
          </w:pPr>
          <w:r>
            <w:rPr>
              <w:color w:val="auto"/>
            </w:rPr>
            <w:fldChar w:fldCharType="begin"/>
          </w:r>
          <w:r>
            <w:instrText xml:space="preserve"> HYPERLINK \l _Toc28328 </w:instrText>
          </w:r>
          <w:r>
            <w:fldChar w:fldCharType="separate"/>
          </w:r>
          <w:r>
            <w:rPr>
              <w:rFonts w:hint="eastAsia" w:cs="Times New Roman"/>
              <w:lang w:val="zh-CN" w:eastAsia="zh-CN"/>
            </w:rPr>
            <w:t xml:space="preserve">4.2 </w:t>
          </w:r>
          <w:r>
            <w:rPr>
              <w:rFonts w:hint="eastAsia"/>
              <w:lang w:val="zh-CN" w:eastAsia="zh-CN"/>
            </w:rPr>
            <w:t>环境质量现状监测与评价</w:t>
          </w:r>
          <w:r>
            <w:tab/>
          </w:r>
          <w:r>
            <w:fldChar w:fldCharType="begin"/>
          </w:r>
          <w:r>
            <w:instrText xml:space="preserve"> PAGEREF _Toc28328 \h </w:instrText>
          </w:r>
          <w:r>
            <w:fldChar w:fldCharType="separate"/>
          </w:r>
          <w:r>
            <w:t>- 65 -</w:t>
          </w:r>
          <w:r>
            <w:fldChar w:fldCharType="end"/>
          </w:r>
          <w:r>
            <w:rPr>
              <w:color w:val="auto"/>
            </w:rPr>
            <w:fldChar w:fldCharType="end"/>
          </w:r>
        </w:p>
        <w:p w14:paraId="332B0672">
          <w:pPr>
            <w:pStyle w:val="21"/>
            <w:tabs>
              <w:tab w:val="right" w:leader="dot" w:pos="9179"/>
            </w:tabs>
          </w:pPr>
          <w:r>
            <w:rPr>
              <w:color w:val="auto"/>
            </w:rPr>
            <w:fldChar w:fldCharType="begin"/>
          </w:r>
          <w:r>
            <w:instrText xml:space="preserve"> HYPERLINK \l _Toc26625 </w:instrText>
          </w:r>
          <w:r>
            <w:fldChar w:fldCharType="separate"/>
          </w:r>
          <w:r>
            <w:rPr>
              <w:rFonts w:hint="eastAsia" w:cs="Times New Roman"/>
              <w:lang w:val="zh-CN" w:eastAsia="zh-CN"/>
            </w:rPr>
            <w:t xml:space="preserve">4.3 </w:t>
          </w:r>
          <w:r>
            <w:rPr>
              <w:rFonts w:hint="eastAsia"/>
              <w:lang w:val="zh-CN" w:eastAsia="zh-CN"/>
            </w:rPr>
            <w:t>生态环境现状调查与评价</w:t>
          </w:r>
          <w:r>
            <w:tab/>
          </w:r>
          <w:r>
            <w:fldChar w:fldCharType="begin"/>
          </w:r>
          <w:r>
            <w:instrText xml:space="preserve"> PAGEREF _Toc26625 \h </w:instrText>
          </w:r>
          <w:r>
            <w:fldChar w:fldCharType="separate"/>
          </w:r>
          <w:r>
            <w:t>- 82 -</w:t>
          </w:r>
          <w:r>
            <w:fldChar w:fldCharType="end"/>
          </w:r>
          <w:r>
            <w:rPr>
              <w:color w:val="auto"/>
            </w:rPr>
            <w:fldChar w:fldCharType="end"/>
          </w:r>
        </w:p>
        <w:p w14:paraId="1930E44D">
          <w:pPr>
            <w:pStyle w:val="20"/>
            <w:tabs>
              <w:tab w:val="right" w:leader="dot" w:pos="9179"/>
            </w:tabs>
          </w:pPr>
          <w:r>
            <w:rPr>
              <w:color w:val="auto"/>
            </w:rPr>
            <w:fldChar w:fldCharType="begin"/>
          </w:r>
          <w:r>
            <w:instrText xml:space="preserve"> HYPERLINK \l _Toc3551 </w:instrText>
          </w:r>
          <w:r>
            <w:fldChar w:fldCharType="separate"/>
          </w:r>
          <w:r>
            <w:rPr>
              <w:rFonts w:hint="eastAsia" w:cs="Times New Roman"/>
              <w:lang w:val="zh-CN" w:eastAsia="zh-CN"/>
            </w:rPr>
            <w:t xml:space="preserve">5 </w:t>
          </w:r>
          <w:r>
            <w:rPr>
              <w:rFonts w:hint="eastAsia"/>
              <w:lang w:val="zh-CN" w:eastAsia="zh-CN"/>
            </w:rPr>
            <w:t>环境影响预测与评价</w:t>
          </w:r>
          <w:r>
            <w:tab/>
          </w:r>
          <w:r>
            <w:fldChar w:fldCharType="begin"/>
          </w:r>
          <w:r>
            <w:instrText xml:space="preserve"> PAGEREF _Toc3551 \h </w:instrText>
          </w:r>
          <w:r>
            <w:fldChar w:fldCharType="separate"/>
          </w:r>
          <w:r>
            <w:t>- 115 -</w:t>
          </w:r>
          <w:r>
            <w:fldChar w:fldCharType="end"/>
          </w:r>
          <w:r>
            <w:rPr>
              <w:color w:val="auto"/>
            </w:rPr>
            <w:fldChar w:fldCharType="end"/>
          </w:r>
        </w:p>
        <w:p w14:paraId="588B454F">
          <w:pPr>
            <w:pStyle w:val="21"/>
            <w:tabs>
              <w:tab w:val="right" w:leader="dot" w:pos="9179"/>
            </w:tabs>
          </w:pPr>
          <w:r>
            <w:rPr>
              <w:color w:val="auto"/>
            </w:rPr>
            <w:fldChar w:fldCharType="begin"/>
          </w:r>
          <w:r>
            <w:instrText xml:space="preserve"> HYPERLINK \l _Toc25670 </w:instrText>
          </w:r>
          <w:r>
            <w:fldChar w:fldCharType="separate"/>
          </w:r>
          <w:r>
            <w:rPr>
              <w:rFonts w:hint="eastAsia" w:cs="Times New Roman"/>
              <w:lang w:val="zh-CN" w:eastAsia="zh-CN"/>
            </w:rPr>
            <w:t xml:space="preserve">5.1 </w:t>
          </w:r>
          <w:r>
            <w:rPr>
              <w:rFonts w:hint="eastAsia"/>
              <w:lang w:val="en-US" w:eastAsia="zh-CN"/>
            </w:rPr>
            <w:t>施工期环境影响预测与评价</w:t>
          </w:r>
          <w:r>
            <w:tab/>
          </w:r>
          <w:r>
            <w:fldChar w:fldCharType="begin"/>
          </w:r>
          <w:r>
            <w:instrText xml:space="preserve"> PAGEREF _Toc25670 \h </w:instrText>
          </w:r>
          <w:r>
            <w:fldChar w:fldCharType="separate"/>
          </w:r>
          <w:r>
            <w:t>- 115 -</w:t>
          </w:r>
          <w:r>
            <w:fldChar w:fldCharType="end"/>
          </w:r>
          <w:r>
            <w:rPr>
              <w:color w:val="auto"/>
            </w:rPr>
            <w:fldChar w:fldCharType="end"/>
          </w:r>
        </w:p>
        <w:p w14:paraId="79B37942">
          <w:pPr>
            <w:pStyle w:val="21"/>
            <w:tabs>
              <w:tab w:val="right" w:leader="dot" w:pos="9179"/>
            </w:tabs>
          </w:pPr>
          <w:r>
            <w:rPr>
              <w:color w:val="auto"/>
            </w:rPr>
            <w:fldChar w:fldCharType="begin"/>
          </w:r>
          <w:r>
            <w:instrText xml:space="preserve"> HYPERLINK \l _Toc23491 </w:instrText>
          </w:r>
          <w:r>
            <w:fldChar w:fldCharType="separate"/>
          </w:r>
          <w:r>
            <w:rPr>
              <w:rFonts w:hint="eastAsia" w:cs="Times New Roman"/>
              <w:lang w:val="zh-CN" w:eastAsia="zh-CN"/>
            </w:rPr>
            <w:t xml:space="preserve">5.2 </w:t>
          </w:r>
          <w:r>
            <w:rPr>
              <w:rFonts w:hint="eastAsia"/>
              <w:lang w:val="zh-CN" w:eastAsia="zh-CN"/>
            </w:rPr>
            <w:t>环境风险评价</w:t>
          </w:r>
          <w:r>
            <w:tab/>
          </w:r>
          <w:r>
            <w:fldChar w:fldCharType="begin"/>
          </w:r>
          <w:r>
            <w:instrText xml:space="preserve"> PAGEREF _Toc23491 \h </w:instrText>
          </w:r>
          <w:r>
            <w:fldChar w:fldCharType="separate"/>
          </w:r>
          <w:r>
            <w:t>- 130 -</w:t>
          </w:r>
          <w:r>
            <w:fldChar w:fldCharType="end"/>
          </w:r>
          <w:r>
            <w:rPr>
              <w:color w:val="auto"/>
            </w:rPr>
            <w:fldChar w:fldCharType="end"/>
          </w:r>
        </w:p>
        <w:p w14:paraId="608A420C">
          <w:pPr>
            <w:pStyle w:val="20"/>
            <w:tabs>
              <w:tab w:val="right" w:leader="dot" w:pos="9179"/>
            </w:tabs>
          </w:pPr>
          <w:r>
            <w:rPr>
              <w:color w:val="auto"/>
            </w:rPr>
            <w:fldChar w:fldCharType="begin"/>
          </w:r>
          <w:r>
            <w:instrText xml:space="preserve"> HYPERLINK \l _Toc27964 </w:instrText>
          </w:r>
          <w:r>
            <w:fldChar w:fldCharType="separate"/>
          </w:r>
          <w:r>
            <w:rPr>
              <w:rFonts w:hint="eastAsia" w:cs="Times New Roman"/>
              <w:lang w:val="zh-CN" w:eastAsia="zh-CN"/>
            </w:rPr>
            <w:t xml:space="preserve">6 </w:t>
          </w:r>
          <w:r>
            <w:t>施工期环境保护措施及可行性论证</w:t>
          </w:r>
          <w:r>
            <w:tab/>
          </w:r>
          <w:r>
            <w:fldChar w:fldCharType="begin"/>
          </w:r>
          <w:r>
            <w:instrText xml:space="preserve"> PAGEREF _Toc27964 \h </w:instrText>
          </w:r>
          <w:r>
            <w:fldChar w:fldCharType="separate"/>
          </w:r>
          <w:r>
            <w:t>- 134 -</w:t>
          </w:r>
          <w:r>
            <w:fldChar w:fldCharType="end"/>
          </w:r>
          <w:r>
            <w:rPr>
              <w:color w:val="auto"/>
            </w:rPr>
            <w:fldChar w:fldCharType="end"/>
          </w:r>
        </w:p>
        <w:p w14:paraId="7811D021">
          <w:pPr>
            <w:pStyle w:val="21"/>
            <w:tabs>
              <w:tab w:val="right" w:leader="dot" w:pos="9179"/>
            </w:tabs>
          </w:pPr>
          <w:r>
            <w:rPr>
              <w:color w:val="auto"/>
            </w:rPr>
            <w:fldChar w:fldCharType="begin"/>
          </w:r>
          <w:r>
            <w:instrText xml:space="preserve"> HYPERLINK \l _Toc10798 </w:instrText>
          </w:r>
          <w:r>
            <w:fldChar w:fldCharType="separate"/>
          </w:r>
          <w:r>
            <w:rPr>
              <w:rFonts w:hint="eastAsia" w:cs="Times New Roman"/>
              <w:lang w:val="zh-CN" w:eastAsia="zh-CN"/>
            </w:rPr>
            <w:t xml:space="preserve">6.1 </w:t>
          </w:r>
          <w:r>
            <w:rPr>
              <w:rFonts w:hint="eastAsia"/>
              <w:lang w:val="zh-CN" w:eastAsia="zh-CN"/>
            </w:rPr>
            <w:t>地表水环境保护措施</w:t>
          </w:r>
          <w:r>
            <w:tab/>
          </w:r>
          <w:r>
            <w:fldChar w:fldCharType="begin"/>
          </w:r>
          <w:r>
            <w:instrText xml:space="preserve"> PAGEREF _Toc10798 \h </w:instrText>
          </w:r>
          <w:r>
            <w:fldChar w:fldCharType="separate"/>
          </w:r>
          <w:r>
            <w:t>- 134 -</w:t>
          </w:r>
          <w:r>
            <w:fldChar w:fldCharType="end"/>
          </w:r>
          <w:r>
            <w:rPr>
              <w:color w:val="auto"/>
            </w:rPr>
            <w:fldChar w:fldCharType="end"/>
          </w:r>
        </w:p>
        <w:p w14:paraId="39D26FC3">
          <w:pPr>
            <w:pStyle w:val="21"/>
            <w:tabs>
              <w:tab w:val="right" w:leader="dot" w:pos="9179"/>
            </w:tabs>
          </w:pPr>
          <w:r>
            <w:rPr>
              <w:color w:val="auto"/>
            </w:rPr>
            <w:fldChar w:fldCharType="begin"/>
          </w:r>
          <w:r>
            <w:instrText xml:space="preserve"> HYPERLINK \l _Toc3006 </w:instrText>
          </w:r>
          <w:r>
            <w:fldChar w:fldCharType="separate"/>
          </w:r>
          <w:r>
            <w:rPr>
              <w:rFonts w:hint="eastAsia" w:cs="Times New Roman"/>
              <w:lang w:val="zh-CN" w:eastAsia="zh-CN"/>
            </w:rPr>
            <w:t xml:space="preserve">6.2 </w:t>
          </w:r>
          <w:r>
            <w:rPr>
              <w:rFonts w:hint="eastAsia"/>
              <w:lang w:val="zh-CN" w:eastAsia="zh-CN"/>
            </w:rPr>
            <w:t>地下水环境保护措施</w:t>
          </w:r>
          <w:r>
            <w:tab/>
          </w:r>
          <w:r>
            <w:fldChar w:fldCharType="begin"/>
          </w:r>
          <w:r>
            <w:instrText xml:space="preserve"> PAGEREF _Toc3006 \h </w:instrText>
          </w:r>
          <w:r>
            <w:fldChar w:fldCharType="separate"/>
          </w:r>
          <w:r>
            <w:t>- 135 -</w:t>
          </w:r>
          <w:r>
            <w:fldChar w:fldCharType="end"/>
          </w:r>
          <w:r>
            <w:rPr>
              <w:color w:val="auto"/>
            </w:rPr>
            <w:fldChar w:fldCharType="end"/>
          </w:r>
        </w:p>
        <w:p w14:paraId="6DC738EA">
          <w:pPr>
            <w:pStyle w:val="21"/>
            <w:tabs>
              <w:tab w:val="right" w:leader="dot" w:pos="9179"/>
            </w:tabs>
          </w:pPr>
          <w:r>
            <w:rPr>
              <w:color w:val="auto"/>
            </w:rPr>
            <w:fldChar w:fldCharType="begin"/>
          </w:r>
          <w:r>
            <w:instrText xml:space="preserve"> HYPERLINK \l _Toc15524 </w:instrText>
          </w:r>
          <w:r>
            <w:fldChar w:fldCharType="separate"/>
          </w:r>
          <w:r>
            <w:rPr>
              <w:rFonts w:hint="eastAsia" w:cs="Times New Roman"/>
              <w:lang w:val="zh-CN" w:eastAsia="zh-CN"/>
            </w:rPr>
            <w:t xml:space="preserve">6.3 </w:t>
          </w:r>
          <w:r>
            <w:rPr>
              <w:rFonts w:hint="eastAsia"/>
              <w:lang w:val="zh-CN" w:eastAsia="zh-CN"/>
            </w:rPr>
            <w:t>环境空气保护措施</w:t>
          </w:r>
          <w:r>
            <w:tab/>
          </w:r>
          <w:r>
            <w:fldChar w:fldCharType="begin"/>
          </w:r>
          <w:r>
            <w:instrText xml:space="preserve"> PAGEREF _Toc15524 \h </w:instrText>
          </w:r>
          <w:r>
            <w:fldChar w:fldCharType="separate"/>
          </w:r>
          <w:r>
            <w:t>- 136 -</w:t>
          </w:r>
          <w:r>
            <w:fldChar w:fldCharType="end"/>
          </w:r>
          <w:r>
            <w:rPr>
              <w:color w:val="auto"/>
            </w:rPr>
            <w:fldChar w:fldCharType="end"/>
          </w:r>
        </w:p>
        <w:p w14:paraId="24F5D65D">
          <w:pPr>
            <w:pStyle w:val="21"/>
            <w:tabs>
              <w:tab w:val="right" w:leader="dot" w:pos="9179"/>
            </w:tabs>
          </w:pPr>
          <w:r>
            <w:rPr>
              <w:color w:val="auto"/>
            </w:rPr>
            <w:fldChar w:fldCharType="begin"/>
          </w:r>
          <w:r>
            <w:instrText xml:space="preserve"> HYPERLINK \l _Toc26379 </w:instrText>
          </w:r>
          <w:r>
            <w:fldChar w:fldCharType="separate"/>
          </w:r>
          <w:r>
            <w:rPr>
              <w:rFonts w:hint="eastAsia" w:cs="Times New Roman"/>
              <w:lang w:val="zh-CN" w:eastAsia="zh-CN"/>
            </w:rPr>
            <w:t xml:space="preserve">6.4 </w:t>
          </w:r>
          <w:r>
            <w:rPr>
              <w:rFonts w:hint="eastAsia"/>
              <w:lang w:val="zh-CN" w:eastAsia="zh-CN"/>
            </w:rPr>
            <w:t>声环境保护措施</w:t>
          </w:r>
          <w:r>
            <w:tab/>
          </w:r>
          <w:r>
            <w:fldChar w:fldCharType="begin"/>
          </w:r>
          <w:r>
            <w:instrText xml:space="preserve"> PAGEREF _Toc26379 \h </w:instrText>
          </w:r>
          <w:r>
            <w:fldChar w:fldCharType="separate"/>
          </w:r>
          <w:r>
            <w:t>- 138 -</w:t>
          </w:r>
          <w:r>
            <w:fldChar w:fldCharType="end"/>
          </w:r>
          <w:r>
            <w:rPr>
              <w:color w:val="auto"/>
            </w:rPr>
            <w:fldChar w:fldCharType="end"/>
          </w:r>
        </w:p>
        <w:p w14:paraId="57063C0A">
          <w:pPr>
            <w:pStyle w:val="21"/>
            <w:tabs>
              <w:tab w:val="right" w:leader="dot" w:pos="9179"/>
            </w:tabs>
          </w:pPr>
          <w:r>
            <w:rPr>
              <w:color w:val="auto"/>
            </w:rPr>
            <w:fldChar w:fldCharType="begin"/>
          </w:r>
          <w:r>
            <w:instrText xml:space="preserve"> HYPERLINK \l _Toc25991 </w:instrText>
          </w:r>
          <w:r>
            <w:fldChar w:fldCharType="separate"/>
          </w:r>
          <w:r>
            <w:rPr>
              <w:rFonts w:hint="eastAsia" w:cs="Times New Roman"/>
              <w:lang w:val="zh-CN" w:eastAsia="zh-CN"/>
            </w:rPr>
            <w:t xml:space="preserve">6.5 </w:t>
          </w:r>
          <w:r>
            <w:rPr>
              <w:rFonts w:hint="eastAsia"/>
              <w:lang w:val="zh-CN" w:eastAsia="zh-CN"/>
            </w:rPr>
            <w:t>固体废物污染防治措施</w:t>
          </w:r>
          <w:r>
            <w:tab/>
          </w:r>
          <w:r>
            <w:fldChar w:fldCharType="begin"/>
          </w:r>
          <w:r>
            <w:instrText xml:space="preserve"> PAGEREF _Toc25991 \h </w:instrText>
          </w:r>
          <w:r>
            <w:fldChar w:fldCharType="separate"/>
          </w:r>
          <w:r>
            <w:t>- 140 -</w:t>
          </w:r>
          <w:r>
            <w:fldChar w:fldCharType="end"/>
          </w:r>
          <w:r>
            <w:rPr>
              <w:color w:val="auto"/>
            </w:rPr>
            <w:fldChar w:fldCharType="end"/>
          </w:r>
        </w:p>
        <w:p w14:paraId="51AC6F74">
          <w:pPr>
            <w:pStyle w:val="21"/>
            <w:tabs>
              <w:tab w:val="right" w:leader="dot" w:pos="9179"/>
            </w:tabs>
          </w:pPr>
          <w:r>
            <w:rPr>
              <w:color w:val="auto"/>
            </w:rPr>
            <w:fldChar w:fldCharType="begin"/>
          </w:r>
          <w:r>
            <w:instrText xml:space="preserve"> HYPERLINK \l _Toc22546 </w:instrText>
          </w:r>
          <w:r>
            <w:fldChar w:fldCharType="separate"/>
          </w:r>
          <w:r>
            <w:rPr>
              <w:rFonts w:hint="eastAsia" w:cs="Times New Roman"/>
              <w:lang w:val="zh-CN" w:eastAsia="zh-CN"/>
            </w:rPr>
            <w:t xml:space="preserve">6.6 </w:t>
          </w:r>
          <w:r>
            <w:rPr>
              <w:rFonts w:hint="eastAsia"/>
              <w:lang w:val="zh-CN" w:eastAsia="zh-CN"/>
            </w:rPr>
            <w:t>生态环境保护措施</w:t>
          </w:r>
          <w:r>
            <w:tab/>
          </w:r>
          <w:r>
            <w:fldChar w:fldCharType="begin"/>
          </w:r>
          <w:r>
            <w:instrText xml:space="preserve"> PAGEREF _Toc22546 \h </w:instrText>
          </w:r>
          <w:r>
            <w:fldChar w:fldCharType="separate"/>
          </w:r>
          <w:r>
            <w:t>- 141 -</w:t>
          </w:r>
          <w:r>
            <w:fldChar w:fldCharType="end"/>
          </w:r>
          <w:r>
            <w:rPr>
              <w:color w:val="auto"/>
            </w:rPr>
            <w:fldChar w:fldCharType="end"/>
          </w:r>
        </w:p>
        <w:p w14:paraId="2D3CC4BD">
          <w:pPr>
            <w:pStyle w:val="20"/>
            <w:tabs>
              <w:tab w:val="right" w:leader="dot" w:pos="9179"/>
            </w:tabs>
          </w:pPr>
          <w:r>
            <w:rPr>
              <w:color w:val="auto"/>
            </w:rPr>
            <w:fldChar w:fldCharType="begin"/>
          </w:r>
          <w:r>
            <w:instrText xml:space="preserve"> HYPERLINK \l _Toc27236 </w:instrText>
          </w:r>
          <w:r>
            <w:fldChar w:fldCharType="separate"/>
          </w:r>
          <w:r>
            <w:rPr>
              <w:rFonts w:hint="eastAsia" w:cs="Times New Roman"/>
              <w:lang w:val="zh-CN" w:eastAsia="zh-CN"/>
            </w:rPr>
            <w:t xml:space="preserve">7 </w:t>
          </w:r>
          <w:r>
            <w:rPr>
              <w:rFonts w:hint="eastAsia"/>
              <w:lang w:val="zh-CN" w:eastAsia="zh-CN"/>
            </w:rPr>
            <w:t>环境影响经济损益分析</w:t>
          </w:r>
          <w:r>
            <w:tab/>
          </w:r>
          <w:r>
            <w:fldChar w:fldCharType="begin"/>
          </w:r>
          <w:r>
            <w:instrText xml:space="preserve"> PAGEREF _Toc27236 \h </w:instrText>
          </w:r>
          <w:r>
            <w:fldChar w:fldCharType="separate"/>
          </w:r>
          <w:r>
            <w:t>- 144 -</w:t>
          </w:r>
          <w:r>
            <w:fldChar w:fldCharType="end"/>
          </w:r>
          <w:r>
            <w:rPr>
              <w:color w:val="auto"/>
            </w:rPr>
            <w:fldChar w:fldCharType="end"/>
          </w:r>
        </w:p>
        <w:p w14:paraId="3AE16880">
          <w:pPr>
            <w:pStyle w:val="21"/>
            <w:tabs>
              <w:tab w:val="right" w:leader="dot" w:pos="9179"/>
            </w:tabs>
          </w:pPr>
          <w:r>
            <w:rPr>
              <w:color w:val="auto"/>
            </w:rPr>
            <w:fldChar w:fldCharType="begin"/>
          </w:r>
          <w:r>
            <w:instrText xml:space="preserve"> HYPERLINK \l _Toc12387 </w:instrText>
          </w:r>
          <w:r>
            <w:fldChar w:fldCharType="separate"/>
          </w:r>
          <w:r>
            <w:rPr>
              <w:rFonts w:hint="eastAsia" w:cs="Times New Roman"/>
              <w:lang w:val="zh-CN" w:eastAsia="zh-CN"/>
            </w:rPr>
            <w:t xml:space="preserve">7.1 </w:t>
          </w:r>
          <w:r>
            <w:rPr>
              <w:rFonts w:hint="eastAsia"/>
              <w:lang w:val="zh-CN" w:eastAsia="zh-CN"/>
            </w:rPr>
            <w:t>建设项目经济效益</w:t>
          </w:r>
          <w:r>
            <w:tab/>
          </w:r>
          <w:r>
            <w:fldChar w:fldCharType="begin"/>
          </w:r>
          <w:r>
            <w:instrText xml:space="preserve"> PAGEREF _Toc12387 \h </w:instrText>
          </w:r>
          <w:r>
            <w:fldChar w:fldCharType="separate"/>
          </w:r>
          <w:r>
            <w:t>- 144 -</w:t>
          </w:r>
          <w:r>
            <w:fldChar w:fldCharType="end"/>
          </w:r>
          <w:r>
            <w:rPr>
              <w:color w:val="auto"/>
            </w:rPr>
            <w:fldChar w:fldCharType="end"/>
          </w:r>
        </w:p>
        <w:p w14:paraId="4F52BBEF">
          <w:pPr>
            <w:pStyle w:val="21"/>
            <w:tabs>
              <w:tab w:val="right" w:leader="dot" w:pos="9179"/>
            </w:tabs>
          </w:pPr>
          <w:r>
            <w:rPr>
              <w:color w:val="auto"/>
            </w:rPr>
            <w:fldChar w:fldCharType="begin"/>
          </w:r>
          <w:r>
            <w:instrText xml:space="preserve"> HYPERLINK \l _Toc27089 </w:instrText>
          </w:r>
          <w:r>
            <w:fldChar w:fldCharType="separate"/>
          </w:r>
          <w:r>
            <w:rPr>
              <w:rFonts w:hint="eastAsia" w:cs="Times New Roman"/>
              <w:lang w:val="zh-CN" w:eastAsia="zh-CN"/>
            </w:rPr>
            <w:t xml:space="preserve">7.2 </w:t>
          </w:r>
          <w:r>
            <w:rPr>
              <w:rFonts w:hint="eastAsia"/>
              <w:lang w:val="zh-CN" w:eastAsia="zh-CN"/>
            </w:rPr>
            <w:t>建设项目生态效益</w:t>
          </w:r>
          <w:r>
            <w:tab/>
          </w:r>
          <w:r>
            <w:fldChar w:fldCharType="begin"/>
          </w:r>
          <w:r>
            <w:instrText xml:space="preserve"> PAGEREF _Toc27089 \h </w:instrText>
          </w:r>
          <w:r>
            <w:fldChar w:fldCharType="separate"/>
          </w:r>
          <w:r>
            <w:t>- 144 -</w:t>
          </w:r>
          <w:r>
            <w:fldChar w:fldCharType="end"/>
          </w:r>
          <w:r>
            <w:rPr>
              <w:color w:val="auto"/>
            </w:rPr>
            <w:fldChar w:fldCharType="end"/>
          </w:r>
        </w:p>
        <w:p w14:paraId="53927C69">
          <w:pPr>
            <w:pStyle w:val="21"/>
            <w:tabs>
              <w:tab w:val="right" w:leader="dot" w:pos="9179"/>
            </w:tabs>
          </w:pPr>
          <w:r>
            <w:rPr>
              <w:color w:val="auto"/>
            </w:rPr>
            <w:fldChar w:fldCharType="begin"/>
          </w:r>
          <w:r>
            <w:instrText xml:space="preserve"> HYPERLINK \l _Toc23285 </w:instrText>
          </w:r>
          <w:r>
            <w:fldChar w:fldCharType="separate"/>
          </w:r>
          <w:r>
            <w:rPr>
              <w:rFonts w:hint="eastAsia" w:cs="Times New Roman"/>
              <w:lang w:val="zh-CN" w:eastAsia="zh-CN"/>
            </w:rPr>
            <w:t xml:space="preserve">7.3 </w:t>
          </w:r>
          <w:r>
            <w:rPr>
              <w:rFonts w:hint="eastAsia"/>
              <w:lang w:val="zh-CN" w:eastAsia="zh-CN"/>
            </w:rPr>
            <w:t>项目环保投资</w:t>
          </w:r>
          <w:r>
            <w:tab/>
          </w:r>
          <w:r>
            <w:fldChar w:fldCharType="begin"/>
          </w:r>
          <w:r>
            <w:instrText xml:space="preserve"> PAGEREF _Toc23285 \h </w:instrText>
          </w:r>
          <w:r>
            <w:fldChar w:fldCharType="separate"/>
          </w:r>
          <w:r>
            <w:t>- 144 -</w:t>
          </w:r>
          <w:r>
            <w:fldChar w:fldCharType="end"/>
          </w:r>
          <w:r>
            <w:rPr>
              <w:color w:val="auto"/>
            </w:rPr>
            <w:fldChar w:fldCharType="end"/>
          </w:r>
        </w:p>
        <w:p w14:paraId="040BAE0C">
          <w:pPr>
            <w:pStyle w:val="20"/>
            <w:tabs>
              <w:tab w:val="right" w:leader="dot" w:pos="9179"/>
            </w:tabs>
          </w:pPr>
          <w:r>
            <w:rPr>
              <w:color w:val="auto"/>
            </w:rPr>
            <w:fldChar w:fldCharType="begin"/>
          </w:r>
          <w:r>
            <w:instrText xml:space="preserve"> HYPERLINK \l _Toc12341 </w:instrText>
          </w:r>
          <w:r>
            <w:fldChar w:fldCharType="separate"/>
          </w:r>
          <w:r>
            <w:rPr>
              <w:rFonts w:hint="eastAsia" w:cs="Times New Roman"/>
              <w:lang w:val="zh-CN" w:eastAsia="zh-CN"/>
            </w:rPr>
            <w:t xml:space="preserve">8 </w:t>
          </w:r>
          <w:r>
            <w:rPr>
              <w:rFonts w:hint="eastAsia"/>
              <w:lang w:val="zh-CN" w:eastAsia="zh-CN"/>
            </w:rPr>
            <w:t>环境管理与监测计划</w:t>
          </w:r>
          <w:r>
            <w:tab/>
          </w:r>
          <w:r>
            <w:fldChar w:fldCharType="begin"/>
          </w:r>
          <w:r>
            <w:instrText xml:space="preserve"> PAGEREF _Toc12341 \h </w:instrText>
          </w:r>
          <w:r>
            <w:fldChar w:fldCharType="separate"/>
          </w:r>
          <w:r>
            <w:t>- 145 -</w:t>
          </w:r>
          <w:r>
            <w:fldChar w:fldCharType="end"/>
          </w:r>
          <w:r>
            <w:rPr>
              <w:color w:val="auto"/>
            </w:rPr>
            <w:fldChar w:fldCharType="end"/>
          </w:r>
        </w:p>
        <w:p w14:paraId="1840F750">
          <w:pPr>
            <w:pStyle w:val="21"/>
            <w:tabs>
              <w:tab w:val="right" w:leader="dot" w:pos="9179"/>
            </w:tabs>
          </w:pPr>
          <w:r>
            <w:rPr>
              <w:color w:val="auto"/>
            </w:rPr>
            <w:fldChar w:fldCharType="begin"/>
          </w:r>
          <w:r>
            <w:instrText xml:space="preserve"> HYPERLINK \l _Toc29595 </w:instrText>
          </w:r>
          <w:r>
            <w:fldChar w:fldCharType="separate"/>
          </w:r>
          <w:r>
            <w:rPr>
              <w:rFonts w:hint="eastAsia" w:cs="Times New Roman"/>
              <w:lang w:val="zh-CN" w:eastAsia="zh-CN"/>
            </w:rPr>
            <w:t xml:space="preserve">8.1 </w:t>
          </w:r>
          <w:r>
            <w:rPr>
              <w:rFonts w:hint="eastAsia"/>
              <w:lang w:val="zh-CN" w:eastAsia="zh-CN"/>
            </w:rPr>
            <w:t>建设项目环境管理</w:t>
          </w:r>
          <w:r>
            <w:tab/>
          </w:r>
          <w:r>
            <w:fldChar w:fldCharType="begin"/>
          </w:r>
          <w:r>
            <w:instrText xml:space="preserve"> PAGEREF _Toc29595 \h </w:instrText>
          </w:r>
          <w:r>
            <w:fldChar w:fldCharType="separate"/>
          </w:r>
          <w:r>
            <w:t>- 145 -</w:t>
          </w:r>
          <w:r>
            <w:fldChar w:fldCharType="end"/>
          </w:r>
          <w:r>
            <w:rPr>
              <w:color w:val="auto"/>
            </w:rPr>
            <w:fldChar w:fldCharType="end"/>
          </w:r>
        </w:p>
        <w:p w14:paraId="1378BC85">
          <w:pPr>
            <w:pStyle w:val="21"/>
            <w:tabs>
              <w:tab w:val="right" w:leader="dot" w:pos="9179"/>
            </w:tabs>
          </w:pPr>
          <w:r>
            <w:rPr>
              <w:color w:val="auto"/>
            </w:rPr>
            <w:fldChar w:fldCharType="begin"/>
          </w:r>
          <w:r>
            <w:instrText xml:space="preserve"> HYPERLINK \l _Toc26724 </w:instrText>
          </w:r>
          <w:r>
            <w:fldChar w:fldCharType="separate"/>
          </w:r>
          <w:r>
            <w:rPr>
              <w:rFonts w:hint="eastAsia" w:ascii="Times New Roman" w:hAnsi="Times New Roman" w:eastAsia="宋体" w:cs="Times New Roman"/>
              <w:lang w:val="zh-CN" w:eastAsia="zh-CN"/>
            </w:rPr>
            <w:t xml:space="preserve">8.2 </w:t>
          </w:r>
          <w:r>
            <w:rPr>
              <w:rFonts w:hint="eastAsia" w:ascii="Times New Roman" w:hAnsi="Times New Roman" w:eastAsia="宋体" w:cs="Times New Roman"/>
              <w:lang w:val="zh-CN" w:eastAsia="zh-CN"/>
            </w:rPr>
            <w:t>环境监测</w:t>
          </w:r>
          <w:r>
            <w:tab/>
          </w:r>
          <w:r>
            <w:fldChar w:fldCharType="begin"/>
          </w:r>
          <w:r>
            <w:instrText xml:space="preserve"> PAGEREF _Toc26724 \h </w:instrText>
          </w:r>
          <w:r>
            <w:fldChar w:fldCharType="separate"/>
          </w:r>
          <w:r>
            <w:t>- 145 -</w:t>
          </w:r>
          <w:r>
            <w:fldChar w:fldCharType="end"/>
          </w:r>
          <w:r>
            <w:rPr>
              <w:color w:val="auto"/>
            </w:rPr>
            <w:fldChar w:fldCharType="end"/>
          </w:r>
        </w:p>
        <w:p w14:paraId="0CCBD94A">
          <w:pPr>
            <w:pStyle w:val="20"/>
            <w:tabs>
              <w:tab w:val="right" w:leader="dot" w:pos="9179"/>
            </w:tabs>
          </w:pPr>
          <w:r>
            <w:rPr>
              <w:color w:val="auto"/>
            </w:rPr>
            <w:fldChar w:fldCharType="begin"/>
          </w:r>
          <w:r>
            <w:instrText xml:space="preserve"> HYPERLINK \l _Toc19230 </w:instrText>
          </w:r>
          <w:r>
            <w:fldChar w:fldCharType="separate"/>
          </w:r>
          <w:r>
            <w:rPr>
              <w:rFonts w:hint="eastAsia" w:cs="Times New Roman"/>
              <w:lang w:val="zh-CN" w:eastAsia="zh-CN"/>
            </w:rPr>
            <w:t xml:space="preserve">9 </w:t>
          </w:r>
          <w:r>
            <w:rPr>
              <w:rFonts w:hint="eastAsia"/>
              <w:lang w:val="zh-CN" w:eastAsia="zh-CN"/>
            </w:rPr>
            <w:t>环境影响评价结论</w:t>
          </w:r>
          <w:r>
            <w:tab/>
          </w:r>
          <w:r>
            <w:fldChar w:fldCharType="begin"/>
          </w:r>
          <w:r>
            <w:instrText xml:space="preserve"> PAGEREF _Toc19230 \h </w:instrText>
          </w:r>
          <w:r>
            <w:fldChar w:fldCharType="separate"/>
          </w:r>
          <w:r>
            <w:t>- 146 -</w:t>
          </w:r>
          <w:r>
            <w:fldChar w:fldCharType="end"/>
          </w:r>
          <w:r>
            <w:rPr>
              <w:color w:val="auto"/>
            </w:rPr>
            <w:fldChar w:fldCharType="end"/>
          </w:r>
        </w:p>
        <w:p w14:paraId="4416261B">
          <w:pPr>
            <w:pStyle w:val="21"/>
            <w:tabs>
              <w:tab w:val="right" w:leader="dot" w:pos="9179"/>
            </w:tabs>
          </w:pPr>
          <w:r>
            <w:rPr>
              <w:color w:val="auto"/>
            </w:rPr>
            <w:fldChar w:fldCharType="begin"/>
          </w:r>
          <w:r>
            <w:instrText xml:space="preserve"> HYPERLINK \l _Toc9550 </w:instrText>
          </w:r>
          <w:r>
            <w:fldChar w:fldCharType="separate"/>
          </w:r>
          <w:r>
            <w:rPr>
              <w:rFonts w:hint="eastAsia" w:cs="Times New Roman"/>
              <w:lang w:val="zh-CN" w:eastAsia="zh-CN"/>
            </w:rPr>
            <w:t xml:space="preserve">9.1 </w:t>
          </w:r>
          <w:r>
            <w:rPr>
              <w:rFonts w:hint="eastAsia"/>
              <w:lang w:val="zh-CN" w:eastAsia="zh-CN"/>
            </w:rPr>
            <w:t>项目建设概况</w:t>
          </w:r>
          <w:r>
            <w:tab/>
          </w:r>
          <w:r>
            <w:fldChar w:fldCharType="begin"/>
          </w:r>
          <w:r>
            <w:instrText xml:space="preserve"> PAGEREF _Toc9550 \h </w:instrText>
          </w:r>
          <w:r>
            <w:fldChar w:fldCharType="separate"/>
          </w:r>
          <w:r>
            <w:t>- 146 -</w:t>
          </w:r>
          <w:r>
            <w:fldChar w:fldCharType="end"/>
          </w:r>
          <w:r>
            <w:rPr>
              <w:color w:val="auto"/>
            </w:rPr>
            <w:fldChar w:fldCharType="end"/>
          </w:r>
        </w:p>
        <w:p w14:paraId="547A6A55">
          <w:pPr>
            <w:pStyle w:val="21"/>
            <w:tabs>
              <w:tab w:val="right" w:leader="dot" w:pos="9179"/>
            </w:tabs>
          </w:pPr>
          <w:r>
            <w:rPr>
              <w:color w:val="auto"/>
            </w:rPr>
            <w:fldChar w:fldCharType="begin"/>
          </w:r>
          <w:r>
            <w:instrText xml:space="preserve"> HYPERLINK \l _Toc1012 </w:instrText>
          </w:r>
          <w:r>
            <w:fldChar w:fldCharType="separate"/>
          </w:r>
          <w:r>
            <w:rPr>
              <w:rFonts w:hint="eastAsia" w:cs="Times New Roman"/>
              <w:lang w:val="zh-CN" w:eastAsia="zh-CN"/>
            </w:rPr>
            <w:t xml:space="preserve">9.2 </w:t>
          </w:r>
          <w:r>
            <w:rPr>
              <w:rFonts w:hint="eastAsia"/>
              <w:lang w:val="zh-CN" w:eastAsia="zh-CN"/>
            </w:rPr>
            <w:t>产业政策符合性分析</w:t>
          </w:r>
          <w:r>
            <w:tab/>
          </w:r>
          <w:r>
            <w:fldChar w:fldCharType="begin"/>
          </w:r>
          <w:r>
            <w:instrText xml:space="preserve"> PAGEREF _Toc1012 \h </w:instrText>
          </w:r>
          <w:r>
            <w:fldChar w:fldCharType="separate"/>
          </w:r>
          <w:r>
            <w:t>- 146 -</w:t>
          </w:r>
          <w:r>
            <w:fldChar w:fldCharType="end"/>
          </w:r>
          <w:r>
            <w:rPr>
              <w:color w:val="auto"/>
            </w:rPr>
            <w:fldChar w:fldCharType="end"/>
          </w:r>
        </w:p>
        <w:p w14:paraId="505C0D5D">
          <w:pPr>
            <w:pStyle w:val="21"/>
            <w:tabs>
              <w:tab w:val="right" w:leader="dot" w:pos="9179"/>
            </w:tabs>
          </w:pPr>
          <w:r>
            <w:rPr>
              <w:color w:val="auto"/>
            </w:rPr>
            <w:fldChar w:fldCharType="begin"/>
          </w:r>
          <w:r>
            <w:instrText xml:space="preserve"> HYPERLINK \l _Toc10065 </w:instrText>
          </w:r>
          <w:r>
            <w:fldChar w:fldCharType="separate"/>
          </w:r>
          <w:r>
            <w:rPr>
              <w:rFonts w:hint="eastAsia" w:cs="Times New Roman"/>
              <w:lang w:val="zh-CN" w:eastAsia="zh-CN"/>
            </w:rPr>
            <w:t xml:space="preserve">9.3 </w:t>
          </w:r>
          <w:r>
            <w:rPr>
              <w:rFonts w:hint="eastAsia"/>
              <w:lang w:val="zh-CN" w:eastAsia="zh-CN"/>
            </w:rPr>
            <w:t>环境质量现状</w:t>
          </w:r>
          <w:r>
            <w:tab/>
          </w:r>
          <w:r>
            <w:fldChar w:fldCharType="begin"/>
          </w:r>
          <w:r>
            <w:instrText xml:space="preserve"> PAGEREF _Toc10065 \h </w:instrText>
          </w:r>
          <w:r>
            <w:fldChar w:fldCharType="separate"/>
          </w:r>
          <w:r>
            <w:t>- 146 -</w:t>
          </w:r>
          <w:r>
            <w:fldChar w:fldCharType="end"/>
          </w:r>
          <w:r>
            <w:rPr>
              <w:color w:val="auto"/>
            </w:rPr>
            <w:fldChar w:fldCharType="end"/>
          </w:r>
        </w:p>
        <w:p w14:paraId="1E6A2E06">
          <w:pPr>
            <w:pStyle w:val="21"/>
            <w:tabs>
              <w:tab w:val="right" w:leader="dot" w:pos="9179"/>
            </w:tabs>
          </w:pPr>
          <w:r>
            <w:rPr>
              <w:color w:val="auto"/>
            </w:rPr>
            <w:fldChar w:fldCharType="begin"/>
          </w:r>
          <w:r>
            <w:instrText xml:space="preserve"> HYPERLINK \l _Toc10871 </w:instrText>
          </w:r>
          <w:r>
            <w:fldChar w:fldCharType="separate"/>
          </w:r>
          <w:r>
            <w:rPr>
              <w:rFonts w:hint="eastAsia" w:cs="Times New Roman"/>
              <w:lang w:val="zh-CN" w:eastAsia="zh-CN"/>
            </w:rPr>
            <w:t xml:space="preserve">9.4 </w:t>
          </w:r>
          <w:r>
            <w:rPr>
              <w:rFonts w:hint="eastAsia"/>
              <w:lang w:val="zh-CN" w:eastAsia="zh-CN"/>
            </w:rPr>
            <w:t>主要环境影响及环境保护措施</w:t>
          </w:r>
          <w:r>
            <w:tab/>
          </w:r>
          <w:r>
            <w:fldChar w:fldCharType="begin"/>
          </w:r>
          <w:r>
            <w:instrText xml:space="preserve"> PAGEREF _Toc10871 \h </w:instrText>
          </w:r>
          <w:r>
            <w:fldChar w:fldCharType="separate"/>
          </w:r>
          <w:r>
            <w:t>- 147 -</w:t>
          </w:r>
          <w:r>
            <w:fldChar w:fldCharType="end"/>
          </w:r>
          <w:r>
            <w:rPr>
              <w:color w:val="auto"/>
            </w:rPr>
            <w:fldChar w:fldCharType="end"/>
          </w:r>
        </w:p>
        <w:p w14:paraId="6F66764C">
          <w:pPr>
            <w:pStyle w:val="21"/>
            <w:tabs>
              <w:tab w:val="right" w:leader="dot" w:pos="9179"/>
            </w:tabs>
          </w:pPr>
          <w:bookmarkStart w:id="242" w:name="_GoBack"/>
          <w:bookmarkEnd w:id="242"/>
          <w:r>
            <w:rPr>
              <w:color w:val="auto"/>
            </w:rPr>
            <w:fldChar w:fldCharType="begin"/>
          </w:r>
          <w:r>
            <w:instrText xml:space="preserve"> HYPERLINK \l _Toc18993 </w:instrText>
          </w:r>
          <w:r>
            <w:fldChar w:fldCharType="separate"/>
          </w:r>
          <w:r>
            <w:rPr>
              <w:rFonts w:hint="eastAsia" w:cs="Times New Roman"/>
              <w:lang w:val="zh-CN" w:eastAsia="zh-CN"/>
            </w:rPr>
            <w:t xml:space="preserve">9.5 </w:t>
          </w:r>
          <w:r>
            <w:rPr>
              <w:rFonts w:hint="eastAsia"/>
              <w:lang w:val="zh-CN" w:eastAsia="zh-CN"/>
            </w:rPr>
            <w:t>环境保护竣工验收</w:t>
          </w:r>
          <w:r>
            <w:tab/>
          </w:r>
          <w:r>
            <w:fldChar w:fldCharType="begin"/>
          </w:r>
          <w:r>
            <w:instrText xml:space="preserve"> PAGEREF _Toc18993 \h </w:instrText>
          </w:r>
          <w:r>
            <w:fldChar w:fldCharType="separate"/>
          </w:r>
          <w:r>
            <w:t>- 150 -</w:t>
          </w:r>
          <w:r>
            <w:fldChar w:fldCharType="end"/>
          </w:r>
          <w:r>
            <w:rPr>
              <w:color w:val="auto"/>
            </w:rPr>
            <w:fldChar w:fldCharType="end"/>
          </w:r>
        </w:p>
        <w:p w14:paraId="15C815CB">
          <w:pPr>
            <w:pStyle w:val="21"/>
            <w:tabs>
              <w:tab w:val="right" w:leader="dot" w:pos="9179"/>
            </w:tabs>
          </w:pPr>
          <w:r>
            <w:rPr>
              <w:color w:val="auto"/>
            </w:rPr>
            <w:fldChar w:fldCharType="begin"/>
          </w:r>
          <w:r>
            <w:instrText xml:space="preserve"> HYPERLINK \l _Toc4763 </w:instrText>
          </w:r>
          <w:r>
            <w:fldChar w:fldCharType="separate"/>
          </w:r>
          <w:r>
            <w:rPr>
              <w:rFonts w:hint="eastAsia" w:cs="Times New Roman"/>
              <w:lang w:val="zh-CN" w:eastAsia="zh-CN"/>
            </w:rPr>
            <w:t xml:space="preserve">9.6 </w:t>
          </w:r>
          <w:r>
            <w:rPr>
              <w:rFonts w:hint="eastAsia"/>
              <w:lang w:val="zh-CN" w:eastAsia="zh-CN"/>
            </w:rPr>
            <w:t>结论</w:t>
          </w:r>
          <w:r>
            <w:tab/>
          </w:r>
          <w:r>
            <w:fldChar w:fldCharType="begin"/>
          </w:r>
          <w:r>
            <w:instrText xml:space="preserve"> PAGEREF _Toc4763 \h </w:instrText>
          </w:r>
          <w:r>
            <w:fldChar w:fldCharType="separate"/>
          </w:r>
          <w:r>
            <w:t>- 152 -</w:t>
          </w:r>
          <w:r>
            <w:fldChar w:fldCharType="end"/>
          </w:r>
          <w:r>
            <w:rPr>
              <w:color w:val="auto"/>
            </w:rPr>
            <w:fldChar w:fldCharType="end"/>
          </w:r>
        </w:p>
        <w:p w14:paraId="3EA6892F">
          <w:pPr>
            <w:rPr>
              <w:color w:val="auto"/>
            </w:rPr>
          </w:pPr>
          <w:r>
            <w:rPr>
              <w:color w:val="auto"/>
            </w:rPr>
            <w:fldChar w:fldCharType="end"/>
          </w:r>
          <w:bookmarkStart w:id="0" w:name="_Toc69228859"/>
        </w:p>
      </w:sdtContent>
    </w:sdt>
    <w:p w14:paraId="7C99A76D">
      <w:pPr>
        <w:rPr>
          <w:color w:val="auto"/>
        </w:rPr>
        <w:sectPr>
          <w:headerReference r:id="rId7" w:type="default"/>
          <w:footerReference r:id="rId8" w:type="default"/>
          <w:pgSz w:w="11906" w:h="16838"/>
          <w:pgMar w:top="1400" w:right="1287" w:bottom="1440" w:left="1440" w:header="935" w:footer="992" w:gutter="0"/>
          <w:pgBorders>
            <w:top w:val="none" w:sz="0" w:space="0"/>
            <w:left w:val="none" w:sz="0" w:space="0"/>
            <w:bottom w:val="none" w:sz="0" w:space="0"/>
            <w:right w:val="none" w:sz="0" w:space="0"/>
          </w:pgBorders>
          <w:pgNumType w:fmt="upperRoman" w:start="1"/>
          <w:cols w:space="720" w:num="1"/>
          <w:docGrid w:linePitch="312" w:charSpace="0"/>
        </w:sectPr>
      </w:pPr>
    </w:p>
    <w:p w14:paraId="62C42F7E">
      <w:pPr>
        <w:pStyle w:val="2"/>
        <w:bidi w:val="0"/>
        <w:rPr>
          <w:color w:val="auto"/>
        </w:rPr>
      </w:pPr>
      <w:bookmarkStart w:id="1" w:name="_Toc22388"/>
      <w:r>
        <w:rPr>
          <w:color w:val="auto"/>
        </w:rPr>
        <w:t>概述</w:t>
      </w:r>
      <w:bookmarkEnd w:id="0"/>
      <w:bookmarkEnd w:id="1"/>
    </w:p>
    <w:p w14:paraId="03A7F43E">
      <w:pPr>
        <w:pStyle w:val="3"/>
        <w:bidi w:val="0"/>
        <w:ind w:left="480" w:leftChars="0" w:firstLineChars="0"/>
        <w:rPr>
          <w:color w:val="auto"/>
        </w:rPr>
      </w:pPr>
      <w:bookmarkStart w:id="2" w:name="_Toc69228860"/>
      <w:bookmarkStart w:id="3" w:name="_Toc4973"/>
      <w:r>
        <w:rPr>
          <w:color w:val="auto"/>
        </w:rPr>
        <w:t>项目</w:t>
      </w:r>
      <w:r>
        <w:rPr>
          <w:rStyle w:val="32"/>
          <w:b/>
          <w:bCs/>
          <w:color w:val="auto"/>
        </w:rPr>
        <w:t>建设</w:t>
      </w:r>
      <w:bookmarkEnd w:id="2"/>
      <w:r>
        <w:rPr>
          <w:rStyle w:val="32"/>
          <w:rFonts w:hint="eastAsia"/>
          <w:b/>
          <w:bCs/>
          <w:color w:val="auto"/>
          <w:lang w:val="en-US" w:eastAsia="zh-CN"/>
        </w:rPr>
        <w:t>由来</w:t>
      </w:r>
      <w:bookmarkEnd w:id="3"/>
    </w:p>
    <w:p w14:paraId="2155BFC2">
      <w:pPr>
        <w:ind w:firstLine="560"/>
        <w:rPr>
          <w:color w:val="auto"/>
        </w:rPr>
      </w:pPr>
      <w:r>
        <w:rPr>
          <w:rFonts w:hint="eastAsia"/>
          <w:color w:val="auto"/>
          <w:szCs w:val="28"/>
        </w:rPr>
        <w:t>秋浦河航道是池州市的一条重要水运通道。《皖江城市带承接产业转移示范区规划》是我省第一个列入国家层面的战略规划，池州市是规划承接产业转移示范区的重要组成部分，《皖江城市带承接产业转移示范区规划》中明确指</w:t>
      </w:r>
      <w:r>
        <w:rPr>
          <w:color w:val="auto"/>
        </w:rPr>
        <w:t>出将秋浦河航道整治作为现代综合交通体系建设的重大工程之一。秋浦河航道整治工程也已列入《安徽省国民经济和社会发展第十三个五年规划纲要》、《安徽省水运“十三五”发展规划》等相关规划。《安徽省高等级航道网规划》规划秋浦河殷汇至木闸为Ⅳ级航道，木闸至入江口为Ⅲ级航道。</w:t>
      </w:r>
    </w:p>
    <w:p w14:paraId="15CEBF25">
      <w:pPr>
        <w:ind w:firstLine="560"/>
        <w:rPr>
          <w:color w:val="auto"/>
        </w:rPr>
      </w:pPr>
      <w:r>
        <w:rPr>
          <w:snapToGrid w:val="0"/>
          <w:color w:val="auto"/>
        </w:rPr>
        <w:t>2009年启动该项目的前期工作，2010年7月该项目获省发改委批准立项，2013年10月省发改委对工可进行了批复，2017年2月省发改委对初步设计进行了批复。</w:t>
      </w:r>
      <w:r>
        <w:rPr>
          <w:color w:val="auto"/>
          <w:lang w:val="zh-CN"/>
        </w:rPr>
        <w:t>2018年2月完成了秋浦河航道整治工程施工图设计，上段为</w:t>
      </w:r>
      <w:r>
        <w:rPr>
          <w:color w:val="auto"/>
        </w:rPr>
        <w:t>殷汇至木闸，下段为木闸至入江口。</w:t>
      </w:r>
      <w:r>
        <w:rPr>
          <w:color w:val="auto"/>
          <w:lang w:val="zh-CN"/>
        </w:rPr>
        <w:t>根据施工图设计文件</w:t>
      </w:r>
      <w:r>
        <w:rPr>
          <w:color w:val="auto"/>
        </w:rPr>
        <w:t>本工程抛泥区沿河道两岸大堤外侧布置，共设置抛泥区9处。其中上段设置抛泥区8处，下段设置抛泥区1处。</w:t>
      </w:r>
    </w:p>
    <w:p w14:paraId="105F5C62">
      <w:pPr>
        <w:ind w:firstLine="472"/>
        <w:rPr>
          <w:rFonts w:hint="eastAsia"/>
          <w:color w:val="auto"/>
          <w:szCs w:val="28"/>
        </w:rPr>
      </w:pPr>
      <w:r>
        <w:rPr>
          <w:rFonts w:hint="eastAsia"/>
          <w:color w:val="auto"/>
        </w:rPr>
        <w:t>根据安徽省生态环境保护委员会办公室文件《关于进一步规范安徽省自然保护区生态环境问题整改销号工作的通知》（安环委办[2024]34号）以及池州市生态文明建设生态环境保函委员会办公室《关于开展“绿盾”自然保护地问题整改销号工作的通知》“杏花村省级湿地公园范围内秋浦河航道整治项目抛泥区侵占湿地”。</w:t>
      </w:r>
      <w:r>
        <w:rPr>
          <w:color w:val="auto"/>
        </w:rPr>
        <w:t>上段航道</w:t>
      </w:r>
      <w:bookmarkStart w:id="4" w:name="_Hlk182488877"/>
      <w:r>
        <w:rPr>
          <w:color w:val="auto"/>
        </w:rPr>
        <w:t>5号抛泥区位于贵池区南闸村，用地832亩，抛泥前用地为现有水塘</w:t>
      </w:r>
      <w:bookmarkEnd w:id="4"/>
      <w:r>
        <w:rPr>
          <w:color w:val="auto"/>
        </w:rPr>
        <w:t>；6号抛泥区位于贵池区中窑，用地</w:t>
      </w:r>
      <w:r>
        <w:rPr>
          <w:rFonts w:hint="eastAsia"/>
          <w:color w:val="auto"/>
        </w:rPr>
        <w:t>451</w:t>
      </w:r>
      <w:r>
        <w:rPr>
          <w:color w:val="auto"/>
        </w:rPr>
        <w:t>亩，抛泥前用地为现有鱼塘。上段5号、6号抛泥区</w:t>
      </w:r>
      <w:r>
        <w:rPr>
          <w:rFonts w:hint="eastAsia"/>
          <w:color w:val="auto"/>
          <w:lang w:val="en-US" w:eastAsia="zh-CN"/>
        </w:rPr>
        <w:t>位于省级湿地公园</w:t>
      </w:r>
      <w:r>
        <w:rPr>
          <w:color w:val="auto"/>
        </w:rPr>
        <w:t>。因此需要对5号、6号抛泥区抛泥清除，恢复5号、6号抛泥区原状。</w:t>
      </w:r>
    </w:p>
    <w:p w14:paraId="3A893073">
      <w:pPr>
        <w:widowControl/>
        <w:ind w:firstLine="472"/>
        <w:jc w:val="left"/>
        <w:rPr>
          <w:rFonts w:hint="eastAsia" w:cs="Times New Roman"/>
          <w:color w:val="auto"/>
          <w:szCs w:val="24"/>
        </w:rPr>
      </w:pPr>
      <w:r>
        <w:rPr>
          <w:rFonts w:hint="eastAsia"/>
          <w:color w:val="auto"/>
          <w:szCs w:val="28"/>
        </w:rPr>
        <w:t>为响应《关于进一步规范安徽省自然保护区生态环境问题整改销号工作的通知》（安环委办[2024]34号）等相关文件要求。池州市贵池区交通运输局件</w:t>
      </w:r>
      <w:r>
        <w:rPr>
          <w:rFonts w:hint="eastAsia" w:cs="Times New Roman"/>
          <w:color w:val="auto"/>
          <w:szCs w:val="28"/>
        </w:rPr>
        <w:t>投</w:t>
      </w:r>
      <w:r>
        <w:rPr>
          <w:rFonts w:cs="Times New Roman"/>
          <w:color w:val="auto"/>
          <w:szCs w:val="28"/>
        </w:rPr>
        <w:t>资</w:t>
      </w:r>
      <w:r>
        <w:rPr>
          <w:rFonts w:hint="eastAsia" w:cs="Times New Roman"/>
          <w:color w:val="auto"/>
          <w:szCs w:val="28"/>
        </w:rPr>
        <w:t>3407.39万元</w:t>
      </w:r>
      <w:r>
        <w:rPr>
          <w:rFonts w:hint="eastAsia"/>
          <w:bCs/>
          <w:color w:val="auto"/>
        </w:rPr>
        <w:t>开展</w:t>
      </w:r>
      <w:r>
        <w:rPr>
          <w:rFonts w:hint="eastAsia"/>
          <w:color w:val="auto"/>
          <w:szCs w:val="28"/>
        </w:rPr>
        <w:t>“秋浦河航道整治工程5号、6号抛泥区抛泥清除恢复项目”</w:t>
      </w:r>
      <w:r>
        <w:rPr>
          <w:rFonts w:hint="eastAsia" w:hAnsi="宋体"/>
          <w:color w:val="auto"/>
          <w:szCs w:val="24"/>
        </w:rPr>
        <w:t>。</w:t>
      </w:r>
    </w:p>
    <w:p w14:paraId="59001B18">
      <w:pPr>
        <w:wordWrap w:val="0"/>
        <w:ind w:firstLine="472"/>
        <w:rPr>
          <w:rFonts w:cs="Times New Roman"/>
          <w:color w:val="auto"/>
        </w:rPr>
      </w:pPr>
      <w:r>
        <w:rPr>
          <w:rFonts w:cs="Times New Roman"/>
          <w:color w:val="auto"/>
          <w:szCs w:val="28"/>
        </w:rPr>
        <w:t>本项目</w:t>
      </w:r>
      <w:r>
        <w:rPr>
          <w:rFonts w:cs="Times New Roman"/>
          <w:color w:val="auto"/>
        </w:rPr>
        <w:t>已于20</w:t>
      </w:r>
      <w:r>
        <w:rPr>
          <w:rFonts w:hint="eastAsia" w:cs="Times New Roman"/>
          <w:color w:val="auto"/>
        </w:rPr>
        <w:t>2</w:t>
      </w:r>
      <w:r>
        <w:rPr>
          <w:rFonts w:hint="eastAsia" w:cs="Times New Roman"/>
          <w:color w:val="auto"/>
          <w:lang w:val="en-US" w:eastAsia="zh-CN"/>
        </w:rPr>
        <w:t>4</w:t>
      </w:r>
      <w:r>
        <w:rPr>
          <w:rFonts w:cs="Times New Roman"/>
          <w:color w:val="auto"/>
        </w:rPr>
        <w:t>年</w:t>
      </w:r>
      <w:r>
        <w:rPr>
          <w:rFonts w:hint="eastAsia" w:cs="Times New Roman"/>
          <w:color w:val="auto"/>
        </w:rPr>
        <w:t>1</w:t>
      </w:r>
      <w:r>
        <w:rPr>
          <w:rFonts w:hint="eastAsia" w:cs="Times New Roman"/>
          <w:color w:val="auto"/>
          <w:lang w:val="en-US" w:eastAsia="zh-CN"/>
        </w:rPr>
        <w:t>2</w:t>
      </w:r>
      <w:r>
        <w:rPr>
          <w:rFonts w:cs="Times New Roman"/>
          <w:color w:val="auto"/>
        </w:rPr>
        <w:t>月</w:t>
      </w:r>
      <w:r>
        <w:rPr>
          <w:rFonts w:hint="eastAsia" w:cs="Times New Roman"/>
          <w:color w:val="auto"/>
          <w:lang w:val="en-US" w:eastAsia="zh-CN"/>
        </w:rPr>
        <w:t>13</w:t>
      </w:r>
      <w:r>
        <w:rPr>
          <w:rFonts w:cs="Times New Roman"/>
          <w:color w:val="auto"/>
        </w:rPr>
        <w:t>日通过</w:t>
      </w:r>
      <w:r>
        <w:rPr>
          <w:rFonts w:hint="eastAsia" w:cs="Times New Roman"/>
          <w:color w:val="auto"/>
        </w:rPr>
        <w:t>池州市贵池区发展</w:t>
      </w:r>
      <w:r>
        <w:rPr>
          <w:rFonts w:hint="eastAsia" w:cs="Times New Roman"/>
          <w:color w:val="auto"/>
          <w:lang w:val="en-US" w:eastAsia="zh-CN"/>
        </w:rPr>
        <w:t>和改革</w:t>
      </w:r>
      <w:r>
        <w:rPr>
          <w:rFonts w:hint="eastAsia" w:cs="Times New Roman"/>
          <w:color w:val="auto"/>
        </w:rPr>
        <w:t>委员会</w:t>
      </w:r>
      <w:r>
        <w:rPr>
          <w:rFonts w:cs="Times New Roman"/>
          <w:color w:val="auto"/>
        </w:rPr>
        <w:t>备案，项目编码为</w:t>
      </w:r>
      <w:r>
        <w:rPr>
          <w:rFonts w:hint="eastAsia" w:cs="Times New Roman"/>
          <w:color w:val="auto"/>
        </w:rPr>
        <w:t>：2412-341702-04-05-939258。</w:t>
      </w:r>
    </w:p>
    <w:p w14:paraId="2F8F1402">
      <w:pPr>
        <w:pStyle w:val="12"/>
        <w:ind w:firstLine="472"/>
        <w:rPr>
          <w:rFonts w:cs="Times New Roman"/>
          <w:color w:val="auto"/>
        </w:rPr>
      </w:pPr>
      <w:r>
        <w:rPr>
          <w:rFonts w:hint="eastAsia" w:cs="Times New Roman"/>
          <w:color w:val="auto"/>
        </w:rPr>
        <w:t>本项目</w:t>
      </w:r>
      <w:r>
        <w:rPr>
          <w:rFonts w:cs="Times New Roman"/>
          <w:color w:val="auto"/>
        </w:rPr>
        <w:t>主要建设内容为：</w:t>
      </w:r>
      <w:r>
        <w:rPr>
          <w:rFonts w:hint="eastAsia" w:cs="Times New Roman"/>
          <w:color w:val="auto"/>
        </w:rPr>
        <w:t>秋浦河航道整治工程5号、6号抛泥区抛泥清除恢复项目重点对现有抛泥区抛泥进行清除。5号抛泥区开挖清除土方765226m</w:t>
      </w:r>
      <w:r>
        <w:rPr>
          <w:rFonts w:hint="eastAsia" w:cs="Times New Roman"/>
          <w:color w:val="auto"/>
          <w:vertAlign w:val="superscript"/>
          <w:lang w:val="en-US" w:eastAsia="zh-CN"/>
        </w:rPr>
        <w:t>3</w:t>
      </w:r>
      <w:r>
        <w:rPr>
          <w:rFonts w:hint="eastAsia" w:cs="Times New Roman"/>
          <w:color w:val="auto"/>
        </w:rPr>
        <w:t>，6号抛泥区开挖清除士方20912m</w:t>
      </w:r>
      <w:r>
        <w:rPr>
          <w:rFonts w:hint="eastAsia" w:cs="Times New Roman"/>
          <w:color w:val="auto"/>
          <w:vertAlign w:val="superscript"/>
          <w:lang w:val="en-US" w:eastAsia="zh-CN"/>
        </w:rPr>
        <w:t>3</w:t>
      </w:r>
      <w:r>
        <w:rPr>
          <w:rFonts w:hint="eastAsia" w:cs="Times New Roman"/>
          <w:color w:val="auto"/>
          <w:vertAlign w:val="baseline"/>
          <w:lang w:val="en-US" w:eastAsia="zh-CN"/>
        </w:rPr>
        <w:t>；</w:t>
      </w:r>
      <w:r>
        <w:rPr>
          <w:rFonts w:hint="eastAsia" w:cs="Times New Roman"/>
          <w:color w:val="auto"/>
        </w:rPr>
        <w:t>重新处置合计弃土786138m</w:t>
      </w:r>
      <w:r>
        <w:rPr>
          <w:rFonts w:hint="eastAsia" w:cs="Times New Roman"/>
          <w:color w:val="auto"/>
          <w:vertAlign w:val="superscript"/>
          <w:lang w:val="en-US" w:eastAsia="zh-CN"/>
        </w:rPr>
        <w:t>3</w:t>
      </w:r>
      <w:r>
        <w:rPr>
          <w:rFonts w:hint="eastAsia" w:cs="Times New Roman"/>
          <w:color w:val="auto"/>
          <w:lang w:eastAsia="zh-CN"/>
        </w:rPr>
        <w:t>，</w:t>
      </w:r>
      <w:r>
        <w:rPr>
          <w:rFonts w:hint="eastAsia" w:cs="Times New Roman"/>
          <w:color w:val="auto"/>
        </w:rPr>
        <w:t>弃土区2处</w:t>
      </w:r>
      <w:r>
        <w:rPr>
          <w:rFonts w:hint="eastAsia" w:cs="Times New Roman"/>
          <w:color w:val="auto"/>
          <w:lang w:eastAsia="zh-CN"/>
        </w:rPr>
        <w:t>，</w:t>
      </w:r>
      <w:r>
        <w:rPr>
          <w:rFonts w:hint="eastAsia" w:cs="Times New Roman"/>
          <w:color w:val="auto"/>
        </w:rPr>
        <w:t>弃土区占地402.51亩</w:t>
      </w:r>
      <w:r>
        <w:rPr>
          <w:rFonts w:hint="eastAsia" w:cs="Times New Roman"/>
          <w:color w:val="auto"/>
          <w:lang w:eastAsia="zh-CN"/>
        </w:rPr>
        <w:t>；</w:t>
      </w:r>
      <w:r>
        <w:rPr>
          <w:rFonts w:hint="eastAsia" w:cs="Times New Roman"/>
          <w:color w:val="auto"/>
        </w:rPr>
        <w:t>修建进场道路约1.487km。在弃土完成后，撒播草籽，草籽面积295175m</w:t>
      </w:r>
      <w:r>
        <w:rPr>
          <w:rFonts w:hint="eastAsia" w:cs="Times New Roman"/>
          <w:color w:val="auto"/>
          <w:vertAlign w:val="superscript"/>
          <w:lang w:val="en-US" w:eastAsia="zh-CN"/>
        </w:rPr>
        <w:t>2</w:t>
      </w:r>
      <w:r>
        <w:rPr>
          <w:rFonts w:hint="eastAsia" w:cs="Times New Roman"/>
          <w:color w:val="auto"/>
          <w:lang w:eastAsia="zh-CN"/>
        </w:rPr>
        <w:t>；</w:t>
      </w:r>
      <w:r>
        <w:rPr>
          <w:rFonts w:hint="eastAsia" w:cs="Times New Roman"/>
          <w:color w:val="auto"/>
        </w:rPr>
        <w:t>为抛泥区及弃土区使用安全，在抛泥区及弃土区外缘设一圈钢丝防护网，高2m，</w:t>
      </w:r>
      <w:r>
        <w:rPr>
          <w:rFonts w:hint="eastAsia" w:cs="Times New Roman"/>
          <w:color w:val="auto"/>
          <w:lang w:val="en-US" w:eastAsia="zh-CN"/>
        </w:rPr>
        <w:t>面</w:t>
      </w:r>
      <w:r>
        <w:rPr>
          <w:rFonts w:hint="eastAsia" w:cs="Times New Roman"/>
          <w:color w:val="auto"/>
        </w:rPr>
        <w:t>积19418m</w:t>
      </w:r>
      <w:r>
        <w:rPr>
          <w:rFonts w:hint="eastAsia" w:cs="Times New Roman"/>
          <w:color w:val="auto"/>
          <w:vertAlign w:val="superscript"/>
        </w:rPr>
        <w:t>2</w:t>
      </w:r>
      <w:r>
        <w:rPr>
          <w:color w:val="auto"/>
          <w:kern w:val="0"/>
          <w:szCs w:val="28"/>
        </w:rPr>
        <w:t>。</w:t>
      </w:r>
    </w:p>
    <w:p w14:paraId="4BF0FA03">
      <w:pPr>
        <w:ind w:firstLine="472"/>
        <w:rPr>
          <w:rFonts w:cs="Times New Roman"/>
          <w:bCs/>
          <w:color w:val="auto"/>
        </w:rPr>
      </w:pPr>
      <w:r>
        <w:rPr>
          <w:rFonts w:cs="Times New Roman"/>
          <w:bCs/>
          <w:color w:val="auto"/>
        </w:rPr>
        <w:t>根据</w:t>
      </w:r>
      <w:r>
        <w:rPr>
          <w:rFonts w:cs="Times New Roman"/>
          <w:color w:val="auto"/>
        </w:rPr>
        <w:t>《中华人民共和国环境影响评价法》</w:t>
      </w:r>
      <w:r>
        <w:rPr>
          <w:rFonts w:cs="Times New Roman"/>
          <w:bCs/>
          <w:color w:val="auto"/>
        </w:rPr>
        <w:t>和《建设项目环境保护管理条例》中的有关规定，应当在工程开工前对该项目进行环境影响评价。</w:t>
      </w:r>
    </w:p>
    <w:p w14:paraId="6CC98DD3">
      <w:pPr>
        <w:ind w:firstLine="472"/>
        <w:rPr>
          <w:rFonts w:cs="Times New Roman"/>
          <w:bCs/>
          <w:color w:val="auto"/>
        </w:rPr>
      </w:pPr>
      <w:r>
        <w:rPr>
          <w:rFonts w:hint="eastAsia" w:cs="Times New Roman"/>
          <w:color w:val="auto"/>
        </w:rPr>
        <w:t>本项目属于</w:t>
      </w:r>
      <w:r>
        <w:rPr>
          <w:rFonts w:hint="eastAsia" w:cs="Times New Roman"/>
          <w:color w:val="auto"/>
          <w:lang w:val="en-US" w:eastAsia="zh-CN"/>
        </w:rPr>
        <w:t>N7610防洪除涝设施管理</w:t>
      </w:r>
      <w:r>
        <w:rPr>
          <w:rFonts w:hint="eastAsia" w:cs="Times New Roman"/>
          <w:color w:val="auto"/>
        </w:rPr>
        <w:t>，</w:t>
      </w:r>
      <w:r>
        <w:rPr>
          <w:rFonts w:cs="Times New Roman"/>
          <w:color w:val="auto"/>
        </w:rPr>
        <w:t>根据《建设项目环境影响评价分类管理名录》，本项目属于</w:t>
      </w:r>
      <w:r>
        <w:rPr>
          <w:rFonts w:hint="eastAsia" w:cs="Times New Roman"/>
          <w:color w:val="auto"/>
        </w:rPr>
        <w:t>“五十一、水利</w:t>
      </w:r>
      <w:r>
        <w:rPr>
          <w:rFonts w:cs="Times New Roman"/>
          <w:color w:val="auto"/>
        </w:rPr>
        <w:t>：</w:t>
      </w:r>
      <w:r>
        <w:rPr>
          <w:rFonts w:hint="eastAsia" w:cs="Times New Roman"/>
          <w:color w:val="auto"/>
        </w:rPr>
        <w:t>128.河湖整治（不含农村塘堰、水渠）”中“涉及环境敏感区的”</w:t>
      </w:r>
      <w:r>
        <w:rPr>
          <w:rFonts w:cs="Times New Roman"/>
          <w:color w:val="auto"/>
        </w:rPr>
        <w:t>，需编制环境影响报告书。</w:t>
      </w:r>
    </w:p>
    <w:p w14:paraId="1BD0172B">
      <w:pPr>
        <w:rPr>
          <w:rFonts w:ascii="Times New Roman" w:hAnsi="Times New Roman"/>
          <w:bCs/>
          <w:color w:val="auto"/>
          <w:sz w:val="24"/>
        </w:rPr>
      </w:pPr>
      <w:r>
        <w:rPr>
          <w:rFonts w:cs="Times New Roman"/>
          <w:bCs/>
          <w:color w:val="auto"/>
        </w:rPr>
        <w:t>为此</w:t>
      </w:r>
      <w:r>
        <w:rPr>
          <w:rFonts w:cs="Times New Roman"/>
          <w:color w:val="auto"/>
        </w:rPr>
        <w:t>，</w:t>
      </w:r>
      <w:r>
        <w:rPr>
          <w:rFonts w:hint="eastAsia" w:cs="Times New Roman"/>
          <w:color w:val="auto"/>
        </w:rPr>
        <w:t>本</w:t>
      </w:r>
      <w:r>
        <w:rPr>
          <w:rFonts w:cs="Times New Roman"/>
          <w:color w:val="auto"/>
        </w:rPr>
        <w:t>项目建设单位</w:t>
      </w:r>
      <w:r>
        <w:rPr>
          <w:rFonts w:hint="eastAsia" w:cs="Times New Roman"/>
          <w:color w:val="auto"/>
        </w:rPr>
        <w:t>池州市贵池区交通运输局</w:t>
      </w:r>
      <w:r>
        <w:rPr>
          <w:rFonts w:cs="Times New Roman"/>
          <w:color w:val="auto"/>
        </w:rPr>
        <w:t>于20</w:t>
      </w:r>
      <w:r>
        <w:rPr>
          <w:rFonts w:hint="eastAsia" w:cs="Times New Roman"/>
          <w:color w:val="auto"/>
        </w:rPr>
        <w:t>2</w:t>
      </w:r>
      <w:r>
        <w:rPr>
          <w:rFonts w:hint="eastAsia" w:cs="Times New Roman"/>
          <w:color w:val="auto"/>
          <w:lang w:val="en-US" w:eastAsia="zh-CN"/>
        </w:rPr>
        <w:t>4</w:t>
      </w:r>
      <w:r>
        <w:rPr>
          <w:rFonts w:cs="Times New Roman"/>
          <w:color w:val="auto"/>
        </w:rPr>
        <w:t>年</w:t>
      </w:r>
      <w:r>
        <w:rPr>
          <w:rFonts w:hint="eastAsia" w:cs="Times New Roman"/>
          <w:color w:val="auto"/>
          <w:lang w:val="en-US" w:eastAsia="zh-CN"/>
        </w:rPr>
        <w:t>12</w:t>
      </w:r>
      <w:r>
        <w:rPr>
          <w:rFonts w:cs="Times New Roman"/>
          <w:color w:val="auto"/>
        </w:rPr>
        <w:t>月委托</w:t>
      </w:r>
      <w:r>
        <w:rPr>
          <w:rFonts w:hint="eastAsia" w:cs="Times New Roman"/>
          <w:color w:val="auto"/>
        </w:rPr>
        <w:t>安徽重晨生态科技有限责任公司</w:t>
      </w:r>
      <w:r>
        <w:rPr>
          <w:color w:val="auto"/>
        </w:rPr>
        <w:t>承担该项目环境影响报告书的编制工作</w:t>
      </w:r>
      <w:r>
        <w:rPr>
          <w:rFonts w:cs="Times New Roman"/>
          <w:color w:val="auto"/>
        </w:rPr>
        <w:t>。</w:t>
      </w:r>
      <w:r>
        <w:rPr>
          <w:rFonts w:hint="eastAsia"/>
          <w:color w:val="auto"/>
        </w:rPr>
        <w:t>环评</w:t>
      </w:r>
      <w:r>
        <w:rPr>
          <w:color w:val="auto"/>
        </w:rPr>
        <w:t>单位接受委托后，对</w:t>
      </w:r>
      <w:r>
        <w:rPr>
          <w:rFonts w:hint="eastAsia"/>
          <w:color w:val="auto"/>
        </w:rPr>
        <w:t>本</w:t>
      </w:r>
      <w:r>
        <w:rPr>
          <w:color w:val="auto"/>
        </w:rPr>
        <w:t>项目</w:t>
      </w:r>
      <w:r>
        <w:rPr>
          <w:rFonts w:hint="eastAsia"/>
          <w:color w:val="auto"/>
        </w:rPr>
        <w:t>所在地</w:t>
      </w:r>
      <w:r>
        <w:rPr>
          <w:color w:val="auto"/>
        </w:rPr>
        <w:t>进行了现场踏勘，调查并收集了有关该项目的资料，并根据国家环保法规和标准编制了本</w:t>
      </w:r>
      <w:r>
        <w:rPr>
          <w:rFonts w:hint="eastAsia"/>
          <w:color w:val="auto"/>
        </w:rPr>
        <w:t>项目</w:t>
      </w:r>
      <w:r>
        <w:rPr>
          <w:color w:val="auto"/>
        </w:rPr>
        <w:t>环境影响报告书。报请</w:t>
      </w:r>
      <w:r>
        <w:rPr>
          <w:rFonts w:hint="eastAsia"/>
          <w:color w:val="auto"/>
        </w:rPr>
        <w:t>生态环境</w:t>
      </w:r>
      <w:r>
        <w:rPr>
          <w:color w:val="auto"/>
        </w:rPr>
        <w:t>主管部门审批后，为</w:t>
      </w:r>
      <w:r>
        <w:rPr>
          <w:rFonts w:hint="eastAsia"/>
          <w:color w:val="auto"/>
        </w:rPr>
        <w:t>本</w:t>
      </w:r>
      <w:r>
        <w:rPr>
          <w:color w:val="auto"/>
        </w:rPr>
        <w:t>项目的工程设计、施工和</w:t>
      </w:r>
      <w:r>
        <w:rPr>
          <w:rFonts w:hint="eastAsia"/>
          <w:color w:val="auto"/>
        </w:rPr>
        <w:t>本</w:t>
      </w:r>
      <w:r>
        <w:rPr>
          <w:color w:val="auto"/>
        </w:rPr>
        <w:t>项目建成后的环境管理提供科学依据。</w:t>
      </w:r>
    </w:p>
    <w:p w14:paraId="08BB0320">
      <w:pPr>
        <w:pStyle w:val="3"/>
        <w:bidi w:val="0"/>
        <w:ind w:left="480" w:leftChars="0" w:firstLineChars="0"/>
        <w:rPr>
          <w:color w:val="auto"/>
        </w:rPr>
      </w:pPr>
      <w:bookmarkStart w:id="5" w:name="_Toc69228861"/>
      <w:bookmarkStart w:id="6" w:name="_Toc18788"/>
      <w:bookmarkStart w:id="7" w:name="_Toc28244118"/>
      <w:bookmarkStart w:id="8" w:name="_Toc9259"/>
      <w:bookmarkStart w:id="9" w:name="_Toc411441003"/>
      <w:bookmarkStart w:id="10" w:name="_Toc365875438"/>
      <w:bookmarkStart w:id="11" w:name="_Toc15098"/>
      <w:bookmarkStart w:id="12" w:name="_Toc364321496"/>
      <w:bookmarkStart w:id="13" w:name="_Toc28188569"/>
      <w:bookmarkStart w:id="14" w:name="_Toc18428"/>
      <w:bookmarkStart w:id="15" w:name="_Toc17905"/>
      <w:bookmarkStart w:id="16" w:name="_Toc363050999"/>
      <w:bookmarkStart w:id="17" w:name="_Toc26820"/>
      <w:r>
        <w:rPr>
          <w:color w:val="auto"/>
        </w:rPr>
        <w:t>环境影响评价过程</w:t>
      </w:r>
      <w:bookmarkEnd w:id="5"/>
      <w:bookmarkEnd w:id="6"/>
      <w:bookmarkEnd w:id="7"/>
      <w:bookmarkEnd w:id="8"/>
      <w:bookmarkEnd w:id="9"/>
      <w:bookmarkEnd w:id="10"/>
      <w:bookmarkEnd w:id="11"/>
      <w:bookmarkEnd w:id="12"/>
      <w:bookmarkEnd w:id="13"/>
      <w:bookmarkEnd w:id="14"/>
      <w:bookmarkEnd w:id="15"/>
      <w:bookmarkEnd w:id="16"/>
      <w:bookmarkEnd w:id="17"/>
    </w:p>
    <w:p w14:paraId="5B425CBD">
      <w:pPr>
        <w:rPr>
          <w:rFonts w:hint="eastAsia" w:ascii="Times New Roman" w:hAnsi="Times New Roman"/>
          <w:color w:val="auto"/>
        </w:rPr>
      </w:pPr>
      <w:r>
        <w:rPr>
          <w:rFonts w:hint="eastAsia" w:ascii="Times New Roman" w:hAnsi="Times New Roman"/>
          <w:color w:val="auto"/>
        </w:rPr>
        <w:t>我单位在接受委托以后，向该公司提交了环评所需的资料清单，并对该项目所在地周围环境状况进行了实地考察，与项目建设单位有关技术人员及环境保护有关人员进行讨论和技术交流，收集了大量的背景资料，初步完成了环评工作的前期准备。环评工作过程如下：</w:t>
      </w:r>
    </w:p>
    <w:p w14:paraId="50866C6B">
      <w:pPr>
        <w:rPr>
          <w:rFonts w:hint="eastAsia" w:ascii="Times New Roman" w:hAnsi="Times New Roman"/>
          <w:color w:val="auto"/>
        </w:rPr>
      </w:pPr>
      <w:r>
        <w:rPr>
          <w:rFonts w:hint="eastAsia" w:ascii="Times New Roman" w:hAnsi="Times New Roman"/>
          <w:color w:val="auto"/>
        </w:rPr>
        <w:t>◆202</w:t>
      </w:r>
      <w:r>
        <w:rPr>
          <w:rFonts w:hint="eastAsia"/>
          <w:color w:val="auto"/>
          <w:lang w:val="en-US" w:eastAsia="zh-CN"/>
        </w:rPr>
        <w:t>4</w:t>
      </w:r>
      <w:r>
        <w:rPr>
          <w:rFonts w:hint="eastAsia" w:ascii="Times New Roman" w:hAnsi="Times New Roman"/>
          <w:color w:val="auto"/>
        </w:rPr>
        <w:t>年</w:t>
      </w:r>
      <w:r>
        <w:rPr>
          <w:rFonts w:hint="eastAsia"/>
          <w:color w:val="auto"/>
          <w:lang w:val="en-US" w:eastAsia="zh-CN"/>
        </w:rPr>
        <w:t>12</w:t>
      </w:r>
      <w:r>
        <w:rPr>
          <w:rFonts w:hint="eastAsia" w:ascii="Times New Roman" w:hAnsi="Times New Roman"/>
          <w:color w:val="auto"/>
        </w:rPr>
        <w:t>月</w:t>
      </w:r>
      <w:r>
        <w:rPr>
          <w:rFonts w:hint="eastAsia"/>
          <w:color w:val="auto"/>
          <w:lang w:val="en-US" w:eastAsia="zh-CN"/>
        </w:rPr>
        <w:t>10</w:t>
      </w:r>
      <w:r>
        <w:rPr>
          <w:rFonts w:hint="eastAsia" w:ascii="Times New Roman" w:hAnsi="Times New Roman"/>
          <w:color w:val="auto"/>
        </w:rPr>
        <w:t>日，</w:t>
      </w:r>
      <w:r>
        <w:rPr>
          <w:rFonts w:hint="eastAsia"/>
          <w:color w:val="auto"/>
          <w:lang w:eastAsia="zh-CN"/>
        </w:rPr>
        <w:t>安徽重晨生态科技有限责任公司</w:t>
      </w:r>
      <w:r>
        <w:rPr>
          <w:rFonts w:hint="eastAsia" w:ascii="Times New Roman" w:hAnsi="Times New Roman"/>
          <w:color w:val="auto"/>
        </w:rPr>
        <w:t>受</w:t>
      </w:r>
      <w:r>
        <w:rPr>
          <w:rFonts w:hint="eastAsia"/>
          <w:color w:val="auto"/>
          <w:lang w:eastAsia="zh-CN"/>
        </w:rPr>
        <w:t>池州市贵池区交通运输局</w:t>
      </w:r>
      <w:r>
        <w:rPr>
          <w:rFonts w:hint="eastAsia" w:ascii="Times New Roman" w:hAnsi="Times New Roman"/>
          <w:color w:val="auto"/>
        </w:rPr>
        <w:t>委托，承担《</w:t>
      </w:r>
      <w:r>
        <w:rPr>
          <w:rFonts w:hint="eastAsia"/>
          <w:color w:val="auto"/>
          <w:lang w:eastAsia="zh-CN"/>
        </w:rPr>
        <w:t>秋浦河航道整治工程5号、6号抛泥区抛泥清除恢复项目</w:t>
      </w:r>
      <w:r>
        <w:rPr>
          <w:rFonts w:hint="eastAsia" w:ascii="Times New Roman" w:hAnsi="Times New Roman"/>
          <w:color w:val="auto"/>
        </w:rPr>
        <w:t>环境影响报告书》的编制工作。</w:t>
      </w:r>
    </w:p>
    <w:p w14:paraId="395387B1">
      <w:pPr>
        <w:rPr>
          <w:rFonts w:hint="eastAsia" w:ascii="Times New Roman" w:hAnsi="Times New Roman"/>
          <w:color w:val="auto"/>
        </w:rPr>
      </w:pPr>
      <w:r>
        <w:rPr>
          <w:rFonts w:hint="eastAsia" w:ascii="Times New Roman" w:hAnsi="Times New Roman"/>
          <w:color w:val="auto"/>
        </w:rPr>
        <w:t>◆202</w:t>
      </w:r>
      <w:r>
        <w:rPr>
          <w:rFonts w:hint="eastAsia"/>
          <w:color w:val="auto"/>
          <w:lang w:val="en-US" w:eastAsia="zh-CN"/>
        </w:rPr>
        <w:t>4</w:t>
      </w:r>
      <w:r>
        <w:rPr>
          <w:rFonts w:hint="eastAsia" w:ascii="Times New Roman" w:hAnsi="Times New Roman"/>
          <w:color w:val="auto"/>
        </w:rPr>
        <w:t>年</w:t>
      </w:r>
      <w:r>
        <w:rPr>
          <w:rFonts w:hint="eastAsia"/>
          <w:color w:val="auto"/>
          <w:lang w:val="en-US" w:eastAsia="zh-CN"/>
        </w:rPr>
        <w:t>12</w:t>
      </w:r>
      <w:r>
        <w:rPr>
          <w:rFonts w:hint="eastAsia" w:ascii="Times New Roman" w:hAnsi="Times New Roman"/>
          <w:color w:val="auto"/>
        </w:rPr>
        <w:t>月</w:t>
      </w:r>
      <w:r>
        <w:rPr>
          <w:rFonts w:hint="eastAsia"/>
          <w:color w:val="auto"/>
          <w:lang w:val="en-US" w:eastAsia="zh-CN"/>
        </w:rPr>
        <w:t>11</w:t>
      </w:r>
      <w:r>
        <w:rPr>
          <w:rFonts w:hint="eastAsia" w:ascii="Times New Roman" w:hAnsi="Times New Roman"/>
          <w:color w:val="auto"/>
        </w:rPr>
        <w:t>日，该项目环境影响评价第一次网络公示在</w:t>
      </w:r>
      <w:r>
        <w:rPr>
          <w:rFonts w:hint="eastAsia"/>
          <w:color w:val="auto"/>
          <w:lang w:val="en-US" w:eastAsia="zh-CN"/>
        </w:rPr>
        <w:t>池州市生态环境局</w:t>
      </w:r>
      <w:r>
        <w:rPr>
          <w:rFonts w:hint="eastAsia"/>
          <w:color w:val="auto"/>
          <w:lang w:eastAsia="zh-CN"/>
        </w:rPr>
        <w:t>网站</w:t>
      </w:r>
      <w:r>
        <w:rPr>
          <w:rFonts w:hint="eastAsia" w:ascii="Times New Roman" w:hAnsi="Times New Roman"/>
          <w:color w:val="auto"/>
        </w:rPr>
        <w:t>上（https://sthjj.chizhou.gov.cn/News/show/728495.html）进行了发布。</w:t>
      </w:r>
    </w:p>
    <w:p w14:paraId="686959BD">
      <w:pPr>
        <w:rPr>
          <w:rFonts w:hint="eastAsia" w:ascii="Times New Roman" w:hAnsi="Times New Roman"/>
          <w:color w:val="auto"/>
        </w:rPr>
      </w:pPr>
      <w:r>
        <w:rPr>
          <w:rFonts w:hint="eastAsia" w:ascii="Times New Roman" w:hAnsi="Times New Roman"/>
          <w:color w:val="auto"/>
        </w:rPr>
        <w:t>◆202</w:t>
      </w:r>
      <w:r>
        <w:rPr>
          <w:rFonts w:hint="eastAsia"/>
          <w:color w:val="auto"/>
          <w:lang w:val="en-US" w:eastAsia="zh-CN"/>
        </w:rPr>
        <w:t>4</w:t>
      </w:r>
      <w:r>
        <w:rPr>
          <w:rFonts w:hint="eastAsia" w:ascii="Times New Roman" w:hAnsi="Times New Roman"/>
          <w:color w:val="auto"/>
        </w:rPr>
        <w:t>年</w:t>
      </w:r>
      <w:r>
        <w:rPr>
          <w:rFonts w:hint="eastAsia"/>
          <w:color w:val="auto"/>
          <w:lang w:val="en-US" w:eastAsia="zh-CN"/>
        </w:rPr>
        <w:t>12</w:t>
      </w:r>
      <w:r>
        <w:rPr>
          <w:rFonts w:hint="eastAsia" w:ascii="Times New Roman" w:hAnsi="Times New Roman"/>
          <w:color w:val="auto"/>
        </w:rPr>
        <w:t>月</w:t>
      </w:r>
      <w:r>
        <w:rPr>
          <w:rFonts w:hint="eastAsia"/>
          <w:color w:val="auto"/>
          <w:lang w:val="en-US" w:eastAsia="zh-CN"/>
        </w:rPr>
        <w:t>12</w:t>
      </w:r>
      <w:r>
        <w:rPr>
          <w:rFonts w:hint="eastAsia" w:ascii="Times New Roman" w:hAnsi="Times New Roman"/>
          <w:color w:val="auto"/>
        </w:rPr>
        <w:t>日~</w:t>
      </w:r>
      <w:r>
        <w:rPr>
          <w:rFonts w:hint="eastAsia"/>
          <w:color w:val="auto"/>
          <w:lang w:val="en-US" w:eastAsia="zh-CN"/>
        </w:rPr>
        <w:t>25</w:t>
      </w:r>
      <w:r>
        <w:rPr>
          <w:rFonts w:hint="eastAsia" w:ascii="Times New Roman" w:hAnsi="Times New Roman"/>
          <w:color w:val="auto"/>
        </w:rPr>
        <w:t>日，根据项目单位提供的技术资料进行工程分析，确定评价思路、评价重点及各环境要素评价等级。</w:t>
      </w:r>
    </w:p>
    <w:p w14:paraId="76218507">
      <w:pPr>
        <w:rPr>
          <w:rFonts w:hint="eastAsia" w:ascii="Times New Roman" w:hAnsi="Times New Roman"/>
          <w:color w:val="auto"/>
        </w:rPr>
      </w:pPr>
      <w:r>
        <w:rPr>
          <w:rFonts w:hint="eastAsia" w:ascii="Times New Roman" w:hAnsi="Times New Roman"/>
          <w:color w:val="auto"/>
        </w:rPr>
        <w:t>◆202</w:t>
      </w:r>
      <w:r>
        <w:rPr>
          <w:rFonts w:hint="eastAsia"/>
          <w:color w:val="auto"/>
          <w:lang w:val="en-US" w:eastAsia="zh-CN"/>
        </w:rPr>
        <w:t>4</w:t>
      </w:r>
      <w:r>
        <w:rPr>
          <w:rFonts w:hint="eastAsia" w:ascii="Times New Roman" w:hAnsi="Times New Roman"/>
          <w:color w:val="auto"/>
        </w:rPr>
        <w:t>年</w:t>
      </w:r>
      <w:r>
        <w:rPr>
          <w:rFonts w:hint="eastAsia"/>
          <w:color w:val="auto"/>
          <w:lang w:val="en-US" w:eastAsia="zh-CN"/>
        </w:rPr>
        <w:t>12</w:t>
      </w:r>
      <w:r>
        <w:rPr>
          <w:rFonts w:hint="eastAsia" w:ascii="Times New Roman" w:hAnsi="Times New Roman"/>
          <w:color w:val="auto"/>
        </w:rPr>
        <w:t>月</w:t>
      </w:r>
      <w:r>
        <w:rPr>
          <w:rFonts w:hint="eastAsia"/>
          <w:color w:val="auto"/>
          <w:lang w:val="en-US" w:eastAsia="zh-CN"/>
        </w:rPr>
        <w:t>15</w:t>
      </w:r>
      <w:r>
        <w:rPr>
          <w:rFonts w:hint="eastAsia" w:ascii="Times New Roman" w:hAnsi="Times New Roman"/>
          <w:color w:val="auto"/>
        </w:rPr>
        <w:t>日~</w:t>
      </w:r>
      <w:r>
        <w:rPr>
          <w:rFonts w:hint="eastAsia"/>
          <w:color w:val="auto"/>
          <w:lang w:val="en-US" w:eastAsia="zh-CN"/>
        </w:rPr>
        <w:t>17</w:t>
      </w:r>
      <w:r>
        <w:rPr>
          <w:rFonts w:hint="eastAsia" w:ascii="Times New Roman" w:hAnsi="Times New Roman"/>
          <w:color w:val="auto"/>
        </w:rPr>
        <w:t>日，对项目区域地下水以及声环境进行了现状监测。</w:t>
      </w:r>
    </w:p>
    <w:p w14:paraId="4D853A0F">
      <w:pPr>
        <w:jc w:val="left"/>
        <w:rPr>
          <w:rFonts w:hint="eastAsia" w:eastAsia="宋体"/>
          <w:color w:val="auto"/>
          <w:lang w:val="en-US" w:eastAsia="zh-CN"/>
        </w:rPr>
      </w:pPr>
      <w:r>
        <w:rPr>
          <w:rFonts w:hint="eastAsia" w:ascii="Times New Roman" w:hAnsi="Times New Roman"/>
          <w:color w:val="auto"/>
        </w:rPr>
        <w:t>◆202</w:t>
      </w:r>
      <w:r>
        <w:rPr>
          <w:rFonts w:hint="eastAsia"/>
          <w:color w:val="auto"/>
          <w:lang w:val="en-US" w:eastAsia="zh-CN"/>
        </w:rPr>
        <w:t>5</w:t>
      </w:r>
      <w:r>
        <w:rPr>
          <w:rFonts w:hint="eastAsia" w:ascii="Times New Roman" w:hAnsi="Times New Roman"/>
          <w:color w:val="auto"/>
        </w:rPr>
        <w:t>年</w:t>
      </w:r>
      <w:r>
        <w:rPr>
          <w:rFonts w:hint="eastAsia"/>
          <w:color w:val="auto"/>
          <w:lang w:val="en-US" w:eastAsia="zh-CN"/>
        </w:rPr>
        <w:t>4</w:t>
      </w:r>
      <w:r>
        <w:rPr>
          <w:rFonts w:hint="eastAsia" w:ascii="Times New Roman" w:hAnsi="Times New Roman"/>
          <w:color w:val="auto"/>
        </w:rPr>
        <w:t>月，在本项目环评报告主要内容基本编制完成后，</w:t>
      </w:r>
      <w:r>
        <w:rPr>
          <w:rFonts w:hint="eastAsia"/>
          <w:color w:val="auto"/>
          <w:lang w:val="en-US" w:eastAsia="zh-CN"/>
        </w:rPr>
        <w:t>本次拟进行</w:t>
      </w:r>
      <w:r>
        <w:rPr>
          <w:rFonts w:hint="eastAsia" w:ascii="Times New Roman" w:hAnsi="Times New Roman"/>
          <w:color w:val="auto"/>
        </w:rPr>
        <w:t>征求意见稿公示</w:t>
      </w:r>
      <w:r>
        <w:rPr>
          <w:rFonts w:hint="eastAsia"/>
          <w:color w:val="auto"/>
          <w:lang w:eastAsia="zh-CN"/>
        </w:rPr>
        <w:t>。</w:t>
      </w:r>
    </w:p>
    <w:p w14:paraId="1334E6C6">
      <w:pPr>
        <w:rPr>
          <w:rFonts w:hint="eastAsia" w:ascii="Times New Roman" w:hAnsi="Times New Roman"/>
          <w:color w:val="auto"/>
        </w:rPr>
      </w:pPr>
    </w:p>
    <w:p w14:paraId="6D92869D">
      <w:pPr>
        <w:pStyle w:val="31"/>
        <w:bidi w:val="0"/>
        <w:rPr>
          <w:color w:val="auto"/>
        </w:rPr>
      </w:pPr>
      <w:r>
        <w:rPr>
          <w:color w:val="auto"/>
        </w:rPr>
        <w:drawing>
          <wp:inline distT="0" distB="0" distL="114300" distR="114300">
            <wp:extent cx="5039995" cy="7570470"/>
            <wp:effectExtent l="0" t="0" r="8255" b="11430"/>
            <wp:docPr id="5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5"/>
                    <pic:cNvPicPr>
                      <a:picLocks noChangeAspect="1"/>
                    </pic:cNvPicPr>
                  </pic:nvPicPr>
                  <pic:blipFill>
                    <a:blip r:embed="rId14"/>
                    <a:stretch>
                      <a:fillRect/>
                    </a:stretch>
                  </pic:blipFill>
                  <pic:spPr>
                    <a:xfrm>
                      <a:off x="0" y="0"/>
                      <a:ext cx="5039995" cy="7570470"/>
                    </a:xfrm>
                    <a:prstGeom prst="rect">
                      <a:avLst/>
                    </a:prstGeom>
                    <a:noFill/>
                    <a:ln>
                      <a:noFill/>
                    </a:ln>
                  </pic:spPr>
                </pic:pic>
              </a:graphicData>
            </a:graphic>
          </wp:inline>
        </w:drawing>
      </w:r>
    </w:p>
    <w:p w14:paraId="706D089C">
      <w:pPr>
        <w:pStyle w:val="11"/>
        <w:bidi w:val="0"/>
        <w:rPr>
          <w:rFonts w:hint="eastAsia" w:ascii="Times New Roman" w:hAnsi="Times New Roman"/>
          <w:b/>
          <w:color w:val="auto"/>
          <w:sz w:val="21"/>
          <w:szCs w:val="21"/>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1.2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rFonts w:hint="eastAsia" w:ascii="Times New Roman" w:hAnsi="Times New Roman"/>
          <w:b/>
          <w:color w:val="auto"/>
          <w:sz w:val="21"/>
          <w:szCs w:val="21"/>
        </w:rPr>
        <w:t>环评影响评价工作过程及程序</w:t>
      </w:r>
    </w:p>
    <w:p w14:paraId="4F46ECA2">
      <w:pPr>
        <w:pStyle w:val="3"/>
        <w:bidi w:val="0"/>
        <w:ind w:left="480" w:leftChars="0" w:firstLineChars="0"/>
        <w:rPr>
          <w:color w:val="auto"/>
          <w:lang w:val="en-US" w:eastAsia="zh-CN"/>
        </w:rPr>
      </w:pPr>
      <w:bookmarkStart w:id="18" w:name="_Toc29098"/>
      <w:bookmarkStart w:id="19" w:name="_Toc411441004"/>
      <w:bookmarkStart w:id="20" w:name="_Toc13934"/>
      <w:bookmarkStart w:id="21" w:name="_Toc20030"/>
      <w:bookmarkStart w:id="22" w:name="_Toc17819"/>
      <w:bookmarkStart w:id="23" w:name="_Toc28188570"/>
      <w:bookmarkStart w:id="24" w:name="_Toc28891"/>
      <w:bookmarkStart w:id="25" w:name="_Toc365875439"/>
      <w:bookmarkStart w:id="26" w:name="_Toc352145464"/>
      <w:bookmarkStart w:id="27" w:name="_Toc1906"/>
      <w:bookmarkStart w:id="28" w:name="_Toc364321497"/>
      <w:bookmarkStart w:id="29" w:name="_Toc28244119"/>
      <w:bookmarkStart w:id="30" w:name="_Toc363051000"/>
      <w:r>
        <w:rPr>
          <w:color w:val="auto"/>
          <w:lang w:val="en-US" w:eastAsia="zh-CN"/>
        </w:rPr>
        <w:t>分析判定相关情况</w:t>
      </w:r>
      <w:bookmarkEnd w:id="18"/>
    </w:p>
    <w:p w14:paraId="1165E100">
      <w:pPr>
        <w:numPr>
          <w:ilvl w:val="0"/>
          <w:numId w:val="0"/>
        </w:numPr>
        <w:adjustRightInd w:val="0"/>
        <w:snapToGrid w:val="0"/>
        <w:spacing w:line="360" w:lineRule="auto"/>
        <w:ind w:firstLine="480" w:firstLineChars="200"/>
        <w:rPr>
          <w:rFonts w:hint="eastAsia" w:ascii="Times New Roman" w:hAnsi="Times New Roman"/>
          <w:bCs/>
          <w:snapToGrid w:val="0"/>
          <w:color w:val="auto"/>
          <w:sz w:val="24"/>
          <w:szCs w:val="24"/>
          <w:lang w:eastAsia="zh-CN"/>
        </w:rPr>
      </w:pPr>
      <w:r>
        <w:rPr>
          <w:rFonts w:hint="eastAsia" w:ascii="Times New Roman" w:hAnsi="Times New Roman"/>
          <w:bCs/>
          <w:snapToGrid w:val="0"/>
          <w:color w:val="auto"/>
          <w:sz w:val="24"/>
          <w:szCs w:val="24"/>
          <w:lang w:eastAsia="zh-CN"/>
        </w:rPr>
        <w:t>根据《建设项目环境影响评价技术导则总纲》（HJ2.1-2016），我公司接受委托后，通过收集、研究本项目相关资料及其它相关文件，对建设项目进行了初步分析判定。初步分析判定具体内容如下：</w:t>
      </w:r>
    </w:p>
    <w:p w14:paraId="39ABD4D5">
      <w:pPr>
        <w:pStyle w:val="4"/>
        <w:bidi w:val="0"/>
        <w:rPr>
          <w:rFonts w:hint="eastAsia"/>
          <w:color w:val="auto"/>
          <w:lang w:eastAsia="zh-CN"/>
        </w:rPr>
      </w:pPr>
      <w:bookmarkStart w:id="31" w:name="_Toc3622"/>
      <w:r>
        <w:rPr>
          <w:rFonts w:hint="eastAsia"/>
          <w:color w:val="auto"/>
          <w:lang w:eastAsia="zh-CN"/>
        </w:rPr>
        <w:t>相关产业政策符合性分析</w:t>
      </w:r>
      <w:bookmarkEnd w:id="31"/>
    </w:p>
    <w:p w14:paraId="537B633C">
      <w:pPr>
        <w:numPr>
          <w:ilvl w:val="0"/>
          <w:numId w:val="0"/>
        </w:numPr>
        <w:adjustRightInd w:val="0"/>
        <w:snapToGrid w:val="0"/>
        <w:spacing w:line="360" w:lineRule="auto"/>
        <w:ind w:firstLine="480" w:firstLineChars="200"/>
        <w:rPr>
          <w:rFonts w:hint="eastAsia" w:ascii="Times New Roman" w:hAnsi="Times New Roman"/>
          <w:bCs/>
          <w:snapToGrid w:val="0"/>
          <w:color w:val="auto"/>
          <w:sz w:val="24"/>
          <w:szCs w:val="24"/>
          <w:lang w:eastAsia="zh-CN"/>
        </w:rPr>
      </w:pPr>
      <w:r>
        <w:rPr>
          <w:rFonts w:hint="eastAsia" w:ascii="Times New Roman" w:hAnsi="Times New Roman"/>
          <w:bCs/>
          <w:snapToGrid w:val="0"/>
          <w:color w:val="auto"/>
          <w:sz w:val="24"/>
          <w:szCs w:val="24"/>
          <w:lang w:eastAsia="zh-CN"/>
        </w:rPr>
        <w:t>根据《产业结构调整指导目录》（20</w:t>
      </w:r>
      <w:r>
        <w:rPr>
          <w:rFonts w:hint="eastAsia"/>
          <w:bCs/>
          <w:snapToGrid w:val="0"/>
          <w:color w:val="auto"/>
          <w:sz w:val="24"/>
          <w:szCs w:val="24"/>
          <w:lang w:val="en-US" w:eastAsia="zh-CN"/>
        </w:rPr>
        <w:t>24</w:t>
      </w:r>
      <w:r>
        <w:rPr>
          <w:rFonts w:hint="eastAsia" w:ascii="Times New Roman" w:hAnsi="Times New Roman"/>
          <w:bCs/>
          <w:snapToGrid w:val="0"/>
          <w:color w:val="auto"/>
          <w:sz w:val="24"/>
          <w:szCs w:val="24"/>
          <w:lang w:eastAsia="zh-CN"/>
        </w:rPr>
        <w:t>年），本项目属于</w:t>
      </w:r>
      <w:r>
        <w:rPr>
          <w:rFonts w:hint="eastAsia"/>
          <w:color w:val="auto"/>
          <w:lang w:eastAsia="zh-CN"/>
        </w:rPr>
        <w:t>“</w:t>
      </w:r>
      <w:r>
        <w:rPr>
          <w:color w:val="auto"/>
        </w:rPr>
        <w:t>鼓励类</w:t>
      </w:r>
      <w:r>
        <w:rPr>
          <w:rFonts w:hint="eastAsia"/>
          <w:color w:val="auto"/>
          <w:lang w:eastAsia="zh-CN"/>
        </w:rPr>
        <w:t>：</w:t>
      </w:r>
      <w:r>
        <w:rPr>
          <w:rFonts w:hint="eastAsia"/>
          <w:color w:val="auto"/>
          <w:lang w:val="en-US" w:eastAsia="zh-CN"/>
        </w:rPr>
        <w:t>二</w:t>
      </w:r>
      <w:r>
        <w:rPr>
          <w:rFonts w:hint="eastAsia"/>
          <w:color w:val="auto"/>
          <w:lang w:eastAsia="zh-CN"/>
        </w:rPr>
        <w:t>、</w:t>
      </w:r>
      <w:r>
        <w:rPr>
          <w:rFonts w:hint="eastAsia"/>
          <w:color w:val="auto"/>
          <w:lang w:val="en-US" w:eastAsia="zh-CN"/>
        </w:rPr>
        <w:t>水利-江河湖海堤防建设及河道治理工程”</w:t>
      </w:r>
      <w:r>
        <w:rPr>
          <w:rFonts w:hint="eastAsia" w:ascii="Times New Roman" w:hAnsi="Times New Roman"/>
          <w:bCs/>
          <w:snapToGrid w:val="0"/>
          <w:color w:val="auto"/>
          <w:sz w:val="24"/>
          <w:szCs w:val="24"/>
          <w:lang w:eastAsia="zh-CN"/>
        </w:rPr>
        <w:t>项目。且本项目于2024年12月13日通过池州市贵池区发展有政革委员会备案，项目编码为：2412-341702-04-05-939258。因此，本次项目符合国家产业政策要求。</w:t>
      </w:r>
    </w:p>
    <w:p w14:paraId="614B44F9">
      <w:pPr>
        <w:pStyle w:val="4"/>
        <w:bidi w:val="0"/>
        <w:rPr>
          <w:rFonts w:hint="eastAsia"/>
          <w:color w:val="auto"/>
          <w:lang w:eastAsia="zh-CN"/>
        </w:rPr>
      </w:pPr>
      <w:bookmarkStart w:id="32" w:name="_Toc23898"/>
      <w:r>
        <w:rPr>
          <w:rFonts w:hint="eastAsia"/>
          <w:color w:val="auto"/>
          <w:lang w:eastAsia="zh-CN"/>
        </w:rPr>
        <w:t>规划符合性分析</w:t>
      </w:r>
      <w:bookmarkEnd w:id="32"/>
    </w:p>
    <w:p w14:paraId="7CBE5329">
      <w:pPr>
        <w:bidi w:val="0"/>
        <w:rPr>
          <w:rFonts w:hint="default"/>
          <w:color w:val="auto"/>
          <w:lang w:val="en-US" w:eastAsia="zh-CN"/>
        </w:rPr>
      </w:pPr>
      <w:r>
        <w:rPr>
          <w:rFonts w:hint="default"/>
          <w:color w:val="auto"/>
          <w:lang w:val="en-US" w:eastAsia="zh-CN"/>
        </w:rPr>
        <w:t>本项目位于安徽省池州市</w:t>
      </w:r>
      <w:r>
        <w:rPr>
          <w:rFonts w:hint="eastAsia"/>
          <w:color w:val="auto"/>
          <w:lang w:val="en-US" w:eastAsia="zh-CN"/>
        </w:rPr>
        <w:t>贵池区涓桥镇</w:t>
      </w:r>
      <w:r>
        <w:rPr>
          <w:rFonts w:hint="default"/>
          <w:color w:val="auto"/>
          <w:lang w:val="en-US" w:eastAsia="zh-CN"/>
        </w:rPr>
        <w:t>，项目建设符合《池州市国土空间总体规划（2021-2035年）》</w:t>
      </w:r>
      <w:r>
        <w:rPr>
          <w:rFonts w:hint="eastAsia"/>
          <w:color w:val="auto"/>
          <w:lang w:val="en-US" w:eastAsia="zh-CN"/>
        </w:rPr>
        <w:t>、</w:t>
      </w:r>
      <w:r>
        <w:rPr>
          <w:rFonts w:hint="default"/>
          <w:color w:val="auto"/>
          <w:lang w:val="en-US" w:eastAsia="zh-CN"/>
        </w:rPr>
        <w:t>《池州市“十四五”生态环境保护规划》</w:t>
      </w:r>
      <w:r>
        <w:rPr>
          <w:rFonts w:hint="eastAsia"/>
          <w:color w:val="auto"/>
          <w:lang w:val="en-US" w:eastAsia="zh-CN"/>
        </w:rPr>
        <w:t>、</w:t>
      </w:r>
      <w:r>
        <w:rPr>
          <w:rFonts w:hint="default"/>
          <w:color w:val="auto"/>
          <w:lang w:val="en-US" w:eastAsia="zh-CN"/>
        </w:rPr>
        <w:t>《池州市水利发展“十四五”规划》</w:t>
      </w:r>
      <w:r>
        <w:rPr>
          <w:rFonts w:hint="eastAsia"/>
          <w:color w:val="auto"/>
          <w:lang w:val="en-US" w:eastAsia="zh-CN"/>
        </w:rPr>
        <w:t>、</w:t>
      </w:r>
      <w:r>
        <w:rPr>
          <w:rFonts w:hint="default"/>
          <w:color w:val="auto"/>
          <w:lang w:val="en-US" w:eastAsia="zh-CN"/>
        </w:rPr>
        <w:t>《贵池区“十</w:t>
      </w:r>
      <w:r>
        <w:rPr>
          <w:rFonts w:hint="eastAsia"/>
          <w:color w:val="auto"/>
          <w:lang w:val="en-US" w:eastAsia="zh-CN"/>
        </w:rPr>
        <w:t>四</w:t>
      </w:r>
      <w:r>
        <w:rPr>
          <w:rFonts w:hint="default"/>
          <w:color w:val="auto"/>
          <w:lang w:val="en-US" w:eastAsia="zh-CN"/>
        </w:rPr>
        <w:t>五”生态环境保护规划》</w:t>
      </w:r>
      <w:r>
        <w:rPr>
          <w:rFonts w:hint="eastAsia"/>
          <w:color w:val="auto"/>
          <w:lang w:val="en-US" w:eastAsia="zh-CN"/>
        </w:rPr>
        <w:t>、</w:t>
      </w:r>
      <w:r>
        <w:rPr>
          <w:rFonts w:hint="default"/>
          <w:color w:val="auto"/>
          <w:lang w:val="en-US" w:eastAsia="zh-CN"/>
        </w:rPr>
        <w:t>《长江经济带生态环境保护规划》</w:t>
      </w:r>
      <w:r>
        <w:rPr>
          <w:rFonts w:hint="eastAsia"/>
          <w:color w:val="auto"/>
          <w:lang w:val="en-US" w:eastAsia="zh-CN"/>
        </w:rPr>
        <w:t>、</w:t>
      </w:r>
      <w:r>
        <w:rPr>
          <w:rFonts w:hint="default"/>
          <w:color w:val="auto"/>
          <w:lang w:val="en-US" w:eastAsia="zh-CN"/>
        </w:rPr>
        <w:t>《“十四五”重点流域水环境综合治理规划》</w:t>
      </w:r>
      <w:r>
        <w:rPr>
          <w:rFonts w:hint="eastAsia"/>
          <w:color w:val="auto"/>
          <w:lang w:val="en-US" w:eastAsia="zh-CN"/>
        </w:rPr>
        <w:t>、《安徽贵池杏花村省级湿地公园总体规划》、《秋浦仙境风景名胜区总体规划(2017-2030)》</w:t>
      </w:r>
      <w:r>
        <w:rPr>
          <w:rFonts w:hint="default"/>
          <w:color w:val="auto"/>
          <w:lang w:val="en-US" w:eastAsia="zh-CN"/>
        </w:rPr>
        <w:t>等相关规划要求。</w:t>
      </w:r>
    </w:p>
    <w:p w14:paraId="3CF591CB">
      <w:pPr>
        <w:pStyle w:val="4"/>
        <w:bidi w:val="0"/>
        <w:rPr>
          <w:rFonts w:hint="eastAsia"/>
          <w:color w:val="auto"/>
          <w:lang w:eastAsia="zh-CN"/>
        </w:rPr>
      </w:pPr>
      <w:bookmarkStart w:id="33" w:name="_Toc25393"/>
      <w:r>
        <w:rPr>
          <w:rFonts w:hint="eastAsia"/>
          <w:color w:val="auto"/>
          <w:lang w:eastAsia="zh-CN"/>
        </w:rPr>
        <w:t>与相关政策相符性</w:t>
      </w:r>
      <w:bookmarkEnd w:id="33"/>
    </w:p>
    <w:p w14:paraId="64746F67">
      <w:pPr>
        <w:numPr>
          <w:ilvl w:val="0"/>
          <w:numId w:val="0"/>
        </w:numPr>
        <w:adjustRightInd w:val="0"/>
        <w:snapToGrid w:val="0"/>
        <w:spacing w:line="360" w:lineRule="auto"/>
        <w:ind w:firstLine="480" w:firstLineChars="200"/>
        <w:rPr>
          <w:rFonts w:hint="default"/>
          <w:color w:val="auto"/>
          <w:lang w:val="en-US" w:eastAsia="zh-CN"/>
        </w:rPr>
      </w:pPr>
      <w:r>
        <w:rPr>
          <w:rFonts w:hint="eastAsia" w:ascii="Times New Roman" w:hAnsi="Times New Roman"/>
          <w:bCs/>
          <w:snapToGrid w:val="0"/>
          <w:color w:val="auto"/>
          <w:sz w:val="24"/>
          <w:szCs w:val="24"/>
          <w:lang w:eastAsia="zh-CN"/>
        </w:rPr>
        <w:t>对照《中华人民共和国长江保护法》（2020年）、</w:t>
      </w:r>
      <w:r>
        <w:rPr>
          <w:rFonts w:hint="eastAsia"/>
          <w:color w:val="auto"/>
          <w:lang w:val="en-US" w:eastAsia="zh-CN"/>
        </w:rPr>
        <w:t>《风景名胜区条例》、《中华人民共和国湿地保护法》、</w:t>
      </w:r>
      <w:r>
        <w:rPr>
          <w:rFonts w:hint="eastAsia" w:ascii="Times New Roman" w:hAnsi="Times New Roman"/>
          <w:bCs/>
          <w:snapToGrid w:val="0"/>
          <w:color w:val="auto"/>
          <w:sz w:val="24"/>
          <w:szCs w:val="24"/>
          <w:lang w:eastAsia="zh-CN"/>
        </w:rPr>
        <w:t>《水利建设项目（河湖整治与防护除涝工程）环境影响评价文件审批原则（试行）》等相关政策要求，本项目均与上述文件相符。项目建设符合“</w:t>
      </w:r>
      <w:r>
        <w:rPr>
          <w:rFonts w:hint="eastAsia"/>
          <w:bCs/>
          <w:snapToGrid w:val="0"/>
          <w:color w:val="auto"/>
          <w:sz w:val="24"/>
          <w:szCs w:val="24"/>
          <w:lang w:eastAsia="zh-CN"/>
        </w:rPr>
        <w:t>池州市生态环境分区管控</w:t>
      </w:r>
      <w:r>
        <w:rPr>
          <w:rFonts w:hint="eastAsia" w:ascii="Times New Roman" w:hAnsi="Times New Roman"/>
          <w:bCs/>
          <w:snapToGrid w:val="0"/>
          <w:color w:val="auto"/>
          <w:sz w:val="24"/>
          <w:szCs w:val="24"/>
          <w:lang w:eastAsia="zh-CN"/>
        </w:rPr>
        <w:t>”要求。</w:t>
      </w:r>
    </w:p>
    <w:p w14:paraId="6FB41016">
      <w:pPr>
        <w:pStyle w:val="4"/>
        <w:bidi w:val="0"/>
        <w:rPr>
          <w:rFonts w:hint="default"/>
          <w:color w:val="auto"/>
          <w:lang w:val="en-US" w:eastAsia="zh-CN"/>
        </w:rPr>
      </w:pPr>
      <w:bookmarkStart w:id="34" w:name="_Toc4867"/>
      <w:r>
        <w:rPr>
          <w:rFonts w:hint="eastAsia"/>
          <w:color w:val="auto"/>
          <w:lang w:val="en-US" w:eastAsia="zh-CN"/>
        </w:rPr>
        <w:t>选址符合性分析</w:t>
      </w:r>
      <w:bookmarkEnd w:id="34"/>
    </w:p>
    <w:p w14:paraId="356EC82E">
      <w:pPr>
        <w:bidi w:val="0"/>
        <w:rPr>
          <w:rFonts w:hint="eastAsia"/>
          <w:color w:val="auto"/>
          <w:lang w:val="en-US" w:eastAsia="zh-CN"/>
        </w:rPr>
      </w:pPr>
      <w:r>
        <w:rPr>
          <w:rFonts w:hint="default"/>
          <w:color w:val="auto"/>
          <w:lang w:val="en-US" w:eastAsia="zh-CN"/>
        </w:rPr>
        <w:t>本项目工程设计尽量减少拆迁和占地，从环境保护角度分析，工程总体布置合理。本项目工程位于池州市贵池区</w:t>
      </w:r>
      <w:r>
        <w:rPr>
          <w:rFonts w:hint="eastAsia"/>
          <w:color w:val="auto"/>
          <w:lang w:val="en-US" w:eastAsia="zh-CN"/>
        </w:rPr>
        <w:t>杏花村省级湿地公园</w:t>
      </w:r>
      <w:r>
        <w:rPr>
          <w:rFonts w:hint="default"/>
          <w:color w:val="auto"/>
          <w:lang w:val="en-US" w:eastAsia="zh-CN"/>
        </w:rPr>
        <w:t>。</w:t>
      </w:r>
      <w:r>
        <w:rPr>
          <w:rFonts w:hint="eastAsia"/>
          <w:color w:val="auto"/>
          <w:lang w:val="en-US" w:eastAsia="zh-CN"/>
        </w:rPr>
        <w:t>本项目符合</w:t>
      </w:r>
      <w:r>
        <w:rPr>
          <w:rFonts w:hint="default"/>
          <w:color w:val="auto"/>
          <w:lang w:val="en-US" w:eastAsia="zh-CN"/>
        </w:rPr>
        <w:t>《中华人民共和国湿地保护法》、《安徽省湿地保护条例》等相关法律法规的规定</w:t>
      </w:r>
      <w:r>
        <w:rPr>
          <w:rFonts w:hint="eastAsia"/>
          <w:color w:val="auto"/>
          <w:lang w:val="en-US" w:eastAsia="zh-CN"/>
        </w:rPr>
        <w:t>。在采取相关环境保护措施和严格的施工管理后，本工程在杏花村省级湿地公园内施工具有环境合理性。工程建设选址符合环境保护要求。</w:t>
      </w:r>
    </w:p>
    <w:p w14:paraId="290F0082">
      <w:pPr>
        <w:bidi w:val="0"/>
        <w:rPr>
          <w:rFonts w:hint="default"/>
          <w:color w:val="auto"/>
          <w:lang w:val="en-US" w:eastAsia="zh-CN"/>
        </w:rPr>
      </w:pPr>
      <w:r>
        <w:rPr>
          <w:rFonts w:hint="default"/>
          <w:color w:val="auto"/>
          <w:lang w:val="en-US" w:eastAsia="zh-CN"/>
        </w:rPr>
        <w:t>本工程临时工程布置考虑施工要求的同时，遵循了避让生态敏感区、避让人口集中区域、距离工程量大的工区尽量利用当地的基础设施等原则，以避免或减轻对敏感区域的环境影响。本项目涉及到的线路主要为</w:t>
      </w:r>
      <w:r>
        <w:rPr>
          <w:rFonts w:hint="eastAsia"/>
          <w:color w:val="auto"/>
          <w:lang w:val="en-US" w:eastAsia="zh-CN"/>
        </w:rPr>
        <w:t>弃土区</w:t>
      </w:r>
      <w:r>
        <w:rPr>
          <w:rFonts w:hint="default"/>
          <w:color w:val="auto"/>
          <w:lang w:val="en-US" w:eastAsia="zh-CN"/>
        </w:rPr>
        <w:t>和工程区车辆来回运输物料行驶的线路。本项目</w:t>
      </w:r>
      <w:r>
        <w:rPr>
          <w:rFonts w:hint="eastAsia"/>
          <w:color w:val="auto"/>
          <w:lang w:val="en-US" w:eastAsia="zh-CN"/>
        </w:rPr>
        <w:t>弃土区设置在废弃矿坑内，</w:t>
      </w:r>
      <w:r>
        <w:rPr>
          <w:rFonts w:hint="default"/>
          <w:color w:val="auto"/>
          <w:lang w:val="en-US" w:eastAsia="zh-CN"/>
        </w:rPr>
        <w:t>施工</w:t>
      </w:r>
      <w:r>
        <w:rPr>
          <w:rFonts w:hint="eastAsia"/>
          <w:color w:val="auto"/>
          <w:lang w:val="en-US" w:eastAsia="zh-CN"/>
        </w:rPr>
        <w:t>场地</w:t>
      </w:r>
      <w:r>
        <w:rPr>
          <w:rFonts w:hint="default"/>
          <w:color w:val="auto"/>
          <w:lang w:val="en-US" w:eastAsia="zh-CN"/>
        </w:rPr>
        <w:t>设置在主体工程附近，减少了</w:t>
      </w:r>
      <w:r>
        <w:rPr>
          <w:rFonts w:hint="eastAsia"/>
          <w:color w:val="auto"/>
          <w:lang w:val="en-US" w:eastAsia="zh-CN"/>
        </w:rPr>
        <w:t>对土地的占用，降低生态环境影响</w:t>
      </w:r>
      <w:r>
        <w:rPr>
          <w:rFonts w:hint="default"/>
          <w:color w:val="auto"/>
          <w:lang w:val="en-US" w:eastAsia="zh-CN"/>
        </w:rPr>
        <w:t>，本项目主要运输路线为村村通公路，本项目车辆运输便捷可行。本项目施工场地布置合理。</w:t>
      </w:r>
    </w:p>
    <w:p w14:paraId="02A41550">
      <w:pPr>
        <w:pStyle w:val="3"/>
        <w:bidi w:val="0"/>
        <w:ind w:left="480" w:leftChars="0" w:firstLineChars="0"/>
        <w:rPr>
          <w:color w:val="auto"/>
        </w:rPr>
      </w:pPr>
      <w:bookmarkStart w:id="35" w:name="_Toc69228863"/>
      <w:bookmarkStart w:id="36" w:name="_Toc11387"/>
      <w:r>
        <w:rPr>
          <w:color w:val="auto"/>
        </w:rPr>
        <w:t>本次环评关注的主要环境问题</w:t>
      </w:r>
      <w:bookmarkEnd w:id="19"/>
      <w:bookmarkEnd w:id="20"/>
      <w:bookmarkEnd w:id="21"/>
      <w:bookmarkEnd w:id="22"/>
      <w:bookmarkEnd w:id="23"/>
      <w:bookmarkEnd w:id="24"/>
      <w:bookmarkEnd w:id="25"/>
      <w:bookmarkEnd w:id="26"/>
      <w:bookmarkEnd w:id="27"/>
      <w:bookmarkEnd w:id="28"/>
      <w:bookmarkEnd w:id="29"/>
      <w:bookmarkEnd w:id="30"/>
      <w:r>
        <w:rPr>
          <w:color w:val="auto"/>
        </w:rPr>
        <w:t>及环境影响</w:t>
      </w:r>
      <w:bookmarkEnd w:id="35"/>
      <w:bookmarkEnd w:id="36"/>
    </w:p>
    <w:p w14:paraId="06A05FD4">
      <w:pPr>
        <w:autoSpaceDE w:val="0"/>
        <w:autoSpaceDN w:val="0"/>
        <w:adjustRightInd w:val="0"/>
        <w:spacing w:line="360" w:lineRule="auto"/>
        <w:ind w:firstLine="480" w:firstLineChars="200"/>
        <w:jc w:val="left"/>
        <w:rPr>
          <w:rFonts w:ascii="Times New Roman" w:hAnsi="Times New Roman"/>
          <w:color w:val="auto"/>
          <w:sz w:val="24"/>
          <w:szCs w:val="24"/>
        </w:rPr>
      </w:pPr>
      <w:bookmarkStart w:id="37" w:name="_Toc28244120"/>
      <w:bookmarkStart w:id="38" w:name="_Toc14880"/>
      <w:bookmarkStart w:id="39" w:name="_Toc26612"/>
      <w:bookmarkStart w:id="40" w:name="_Toc28188571"/>
      <w:bookmarkStart w:id="41" w:name="_Toc21818"/>
      <w:bookmarkStart w:id="42" w:name="_Toc11108"/>
      <w:bookmarkStart w:id="43" w:name="_Toc1082"/>
      <w:r>
        <w:rPr>
          <w:rFonts w:ascii="Times New Roman" w:hAnsi="Times New Roman"/>
          <w:color w:val="auto"/>
          <w:sz w:val="24"/>
          <w:szCs w:val="24"/>
        </w:rPr>
        <w:t>项目主要关注的环境问题为主要有：</w:t>
      </w:r>
    </w:p>
    <w:p w14:paraId="6CF1F5C5">
      <w:pPr>
        <w:autoSpaceDE w:val="0"/>
        <w:autoSpaceDN w:val="0"/>
        <w:adjustRightIn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（1）施工期：施工占地及施工活动</w:t>
      </w:r>
      <w:r>
        <w:rPr>
          <w:rFonts w:hint="eastAsia"/>
          <w:color w:val="auto"/>
          <w:sz w:val="24"/>
          <w:szCs w:val="24"/>
          <w:lang w:val="en-US" w:eastAsia="zh-CN"/>
        </w:rPr>
        <w:t>等</w:t>
      </w:r>
      <w:r>
        <w:rPr>
          <w:rFonts w:ascii="Times New Roman" w:hAnsi="Times New Roman"/>
          <w:color w:val="auto"/>
          <w:sz w:val="24"/>
          <w:szCs w:val="24"/>
        </w:rPr>
        <w:t>对生态环境</w:t>
      </w:r>
      <w:r>
        <w:rPr>
          <w:rFonts w:hint="eastAsia"/>
          <w:color w:val="auto"/>
          <w:sz w:val="24"/>
          <w:szCs w:val="24"/>
          <w:lang w:eastAsia="zh-CN"/>
        </w:rPr>
        <w:t>、</w:t>
      </w:r>
      <w:r>
        <w:rPr>
          <w:rFonts w:hint="eastAsia"/>
          <w:color w:val="auto"/>
          <w:sz w:val="24"/>
          <w:szCs w:val="24"/>
          <w:lang w:val="en-US" w:eastAsia="zh-CN"/>
        </w:rPr>
        <w:t>生态敏感区</w:t>
      </w:r>
      <w:r>
        <w:rPr>
          <w:rFonts w:ascii="Times New Roman" w:hAnsi="Times New Roman"/>
          <w:color w:val="auto"/>
          <w:sz w:val="24"/>
          <w:szCs w:val="24"/>
        </w:rPr>
        <w:t>的影响；施工车辆扬尘和动力机械等排出的尾气</w:t>
      </w:r>
      <w:r>
        <w:rPr>
          <w:rFonts w:hint="eastAsia"/>
          <w:color w:val="auto"/>
          <w:sz w:val="24"/>
          <w:szCs w:val="24"/>
          <w:lang w:eastAsia="zh-CN"/>
        </w:rPr>
        <w:t>、</w:t>
      </w:r>
      <w:r>
        <w:rPr>
          <w:rFonts w:hint="eastAsia"/>
          <w:color w:val="auto"/>
          <w:sz w:val="24"/>
          <w:szCs w:val="24"/>
          <w:lang w:val="en-US" w:eastAsia="zh-CN"/>
        </w:rPr>
        <w:t>恶臭</w:t>
      </w:r>
      <w:r>
        <w:rPr>
          <w:rFonts w:ascii="Times New Roman" w:hAnsi="Times New Roman"/>
          <w:color w:val="auto"/>
          <w:sz w:val="24"/>
          <w:szCs w:val="24"/>
        </w:rPr>
        <w:t>对周边环境空气的影响；施工生产废水、生活污水对地表水环境</w:t>
      </w:r>
      <w:r>
        <w:rPr>
          <w:rFonts w:hint="eastAsia" w:ascii="Times New Roman" w:hAnsi="Times New Roman"/>
          <w:color w:val="auto"/>
          <w:sz w:val="24"/>
          <w:szCs w:val="24"/>
        </w:rPr>
        <w:t>的影响</w:t>
      </w:r>
      <w:r>
        <w:rPr>
          <w:rFonts w:ascii="Times New Roman" w:hAnsi="Times New Roman"/>
          <w:color w:val="auto"/>
          <w:sz w:val="24"/>
          <w:szCs w:val="24"/>
        </w:rPr>
        <w:t>；施工噪声对区域声环境及周边敏感点的影响；施工建筑垃圾</w:t>
      </w:r>
      <w:r>
        <w:rPr>
          <w:rFonts w:hint="eastAsia"/>
          <w:color w:val="auto"/>
          <w:sz w:val="24"/>
          <w:szCs w:val="24"/>
          <w:lang w:eastAsia="zh-CN"/>
        </w:rPr>
        <w:t>、</w:t>
      </w:r>
      <w:r>
        <w:rPr>
          <w:rFonts w:hint="eastAsia"/>
          <w:color w:val="auto"/>
          <w:sz w:val="24"/>
          <w:szCs w:val="24"/>
          <w:lang w:val="en-US" w:eastAsia="zh-CN"/>
        </w:rPr>
        <w:t>弃土</w:t>
      </w:r>
      <w:r>
        <w:rPr>
          <w:rFonts w:ascii="Times New Roman" w:hAnsi="Times New Roman"/>
          <w:color w:val="auto"/>
          <w:sz w:val="24"/>
          <w:szCs w:val="24"/>
        </w:rPr>
        <w:t>和生活垃圾对周围环境的影响；</w:t>
      </w:r>
    </w:p>
    <w:p w14:paraId="3987AF0C">
      <w:pPr>
        <w:autoSpaceDE w:val="0"/>
        <w:autoSpaceDN w:val="0"/>
        <w:adjustRightIn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（2）营运期：</w:t>
      </w:r>
      <w:r>
        <w:rPr>
          <w:rFonts w:ascii="Times New Roman" w:hAnsi="Times New Roman"/>
          <w:color w:val="auto"/>
          <w:sz w:val="24"/>
        </w:rPr>
        <w:t>工程运营后</w:t>
      </w:r>
      <w:r>
        <w:rPr>
          <w:rFonts w:hint="eastAsia" w:ascii="Times New Roman" w:hAnsi="Times New Roman"/>
          <w:color w:val="auto"/>
          <w:sz w:val="24"/>
          <w:lang w:eastAsia="zh-CN"/>
        </w:rPr>
        <w:t>，</w:t>
      </w:r>
      <w:r>
        <w:rPr>
          <w:rFonts w:hint="eastAsia" w:ascii="Times New Roman" w:hAnsi="Times New Roman"/>
          <w:color w:val="auto"/>
          <w:sz w:val="24"/>
          <w:lang w:val="en-US" w:eastAsia="zh-CN"/>
        </w:rPr>
        <w:t>本项目</w:t>
      </w:r>
      <w:r>
        <w:rPr>
          <w:rFonts w:hint="eastAsia"/>
          <w:color w:val="auto"/>
          <w:sz w:val="24"/>
          <w:lang w:val="en-US" w:eastAsia="zh-CN"/>
        </w:rPr>
        <w:t>本身不产生污染物</w:t>
      </w:r>
      <w:r>
        <w:rPr>
          <w:rFonts w:ascii="Times New Roman" w:hAnsi="Times New Roman"/>
          <w:color w:val="auto"/>
          <w:sz w:val="24"/>
        </w:rPr>
        <w:t>，本工程的建设将对项目通过</w:t>
      </w:r>
      <w:r>
        <w:rPr>
          <w:rFonts w:hint="eastAsia"/>
          <w:color w:val="auto"/>
          <w:sz w:val="24"/>
          <w:lang w:val="en-US" w:eastAsia="zh-CN"/>
        </w:rPr>
        <w:t>抛泥清理工程</w:t>
      </w:r>
      <w:r>
        <w:rPr>
          <w:rFonts w:ascii="Times New Roman" w:hAnsi="Times New Roman"/>
          <w:color w:val="auto"/>
          <w:sz w:val="24"/>
        </w:rPr>
        <w:t>，有效改善</w:t>
      </w:r>
      <w:r>
        <w:rPr>
          <w:rFonts w:hint="eastAsia" w:ascii="Times New Roman" w:hAnsi="Times New Roman"/>
          <w:color w:val="auto"/>
          <w:sz w:val="24"/>
        </w:rPr>
        <w:t>杏花村省级湿地公园</w:t>
      </w:r>
      <w:r>
        <w:rPr>
          <w:rFonts w:hint="eastAsia"/>
          <w:color w:val="auto"/>
          <w:sz w:val="24"/>
          <w:lang w:val="en-US" w:eastAsia="zh-CN"/>
        </w:rPr>
        <w:t>生态环境问题</w:t>
      </w:r>
      <w:r>
        <w:rPr>
          <w:rFonts w:ascii="Times New Roman" w:hAnsi="Times New Roman"/>
          <w:color w:val="auto"/>
          <w:sz w:val="24"/>
        </w:rPr>
        <w:t>；有利于当地社会经济持续稳定发展，具有重要的社会效益、经济效益和环境效益。</w:t>
      </w:r>
    </w:p>
    <w:p w14:paraId="7A86E8B2">
      <w:pPr>
        <w:pStyle w:val="3"/>
        <w:bidi w:val="0"/>
        <w:ind w:left="480" w:leftChars="0" w:firstLineChars="0"/>
        <w:rPr>
          <w:color w:val="auto"/>
        </w:rPr>
      </w:pPr>
      <w:bookmarkStart w:id="44" w:name="_Toc69228864"/>
      <w:bookmarkStart w:id="45" w:name="_Toc24188"/>
      <w:r>
        <w:rPr>
          <w:color w:val="auto"/>
        </w:rPr>
        <w:t>环境影响报告书主要结论</w:t>
      </w:r>
      <w:bookmarkEnd w:id="37"/>
      <w:bookmarkEnd w:id="38"/>
      <w:bookmarkEnd w:id="39"/>
      <w:bookmarkEnd w:id="40"/>
      <w:bookmarkEnd w:id="41"/>
      <w:bookmarkEnd w:id="42"/>
      <w:bookmarkEnd w:id="43"/>
      <w:bookmarkEnd w:id="44"/>
      <w:bookmarkEnd w:id="45"/>
    </w:p>
    <w:p w14:paraId="51F49532">
      <w:pPr>
        <w:spacing w:line="360" w:lineRule="auto"/>
        <w:ind w:firstLine="480" w:firstLineChars="200"/>
        <w:rPr>
          <w:rFonts w:ascii="Times New Roman" w:hAnsi="Times New Roman"/>
          <w:color w:val="auto"/>
          <w:sz w:val="24"/>
        </w:rPr>
      </w:pPr>
      <w:r>
        <w:rPr>
          <w:rFonts w:hint="eastAsia"/>
          <w:color w:val="auto"/>
          <w:sz w:val="24"/>
          <w:lang w:val="en-US" w:eastAsia="zh-CN"/>
        </w:rPr>
        <w:t>项目</w:t>
      </w:r>
      <w:r>
        <w:rPr>
          <w:rFonts w:ascii="Times New Roman" w:hAnsi="Times New Roman"/>
          <w:color w:val="auto"/>
          <w:sz w:val="24"/>
        </w:rPr>
        <w:t>符合国家和地方</w:t>
      </w:r>
      <w:r>
        <w:rPr>
          <w:rFonts w:hint="eastAsia"/>
          <w:color w:val="auto"/>
          <w:sz w:val="24"/>
          <w:lang w:val="en-US" w:eastAsia="zh-CN"/>
        </w:rPr>
        <w:t>相关</w:t>
      </w:r>
      <w:r>
        <w:rPr>
          <w:rFonts w:ascii="Times New Roman" w:hAnsi="Times New Roman"/>
          <w:color w:val="auto"/>
          <w:sz w:val="24"/>
        </w:rPr>
        <w:t>政策</w:t>
      </w:r>
      <w:r>
        <w:rPr>
          <w:rFonts w:hint="eastAsia"/>
          <w:color w:val="auto"/>
          <w:sz w:val="24"/>
          <w:lang w:eastAsia="zh-CN"/>
        </w:rPr>
        <w:t>、</w:t>
      </w:r>
      <w:r>
        <w:rPr>
          <w:rFonts w:hint="eastAsia"/>
          <w:color w:val="auto"/>
          <w:sz w:val="24"/>
          <w:lang w:val="en-US" w:eastAsia="zh-CN"/>
        </w:rPr>
        <w:t>规划要求</w:t>
      </w:r>
      <w:r>
        <w:rPr>
          <w:rFonts w:ascii="Times New Roman" w:hAnsi="Times New Roman"/>
          <w:color w:val="auto"/>
          <w:sz w:val="24"/>
        </w:rPr>
        <w:t>，项目建设满足</w:t>
      </w:r>
      <w:r>
        <w:rPr>
          <w:rFonts w:hint="eastAsia"/>
          <w:color w:val="auto"/>
          <w:sz w:val="24"/>
          <w:lang w:val="en-US" w:eastAsia="zh-CN"/>
        </w:rPr>
        <w:t>生态环境分区管控</w:t>
      </w:r>
      <w:r>
        <w:rPr>
          <w:rFonts w:ascii="Times New Roman" w:hAnsi="Times New Roman"/>
          <w:color w:val="auto"/>
          <w:sz w:val="24"/>
          <w:szCs w:val="24"/>
        </w:rPr>
        <w:t>相关要求；该项目的建设能够对该</w:t>
      </w:r>
      <w:r>
        <w:rPr>
          <w:rFonts w:hint="eastAsia"/>
          <w:color w:val="auto"/>
          <w:sz w:val="24"/>
          <w:szCs w:val="24"/>
          <w:lang w:val="en-US" w:eastAsia="zh-CN"/>
        </w:rPr>
        <w:t>可有效推动</w:t>
      </w:r>
      <w:r>
        <w:rPr>
          <w:rFonts w:hint="eastAsia" w:ascii="Times New Roman" w:hAnsi="Times New Roman"/>
          <w:color w:val="auto"/>
          <w:sz w:val="24"/>
        </w:rPr>
        <w:t>杏花村省级湿地公园</w:t>
      </w:r>
      <w:r>
        <w:rPr>
          <w:rFonts w:hint="eastAsia"/>
          <w:color w:val="auto"/>
          <w:sz w:val="24"/>
          <w:lang w:val="en-US" w:eastAsia="zh-CN"/>
        </w:rPr>
        <w:t>生态环境问题整治和生态恢复工作</w:t>
      </w:r>
      <w:r>
        <w:rPr>
          <w:rFonts w:ascii="Times New Roman" w:hAnsi="Times New Roman"/>
          <w:color w:val="auto"/>
          <w:sz w:val="24"/>
          <w:szCs w:val="24"/>
        </w:rPr>
        <w:t>，避免生态环境污染以及对改善区</w:t>
      </w:r>
      <w:r>
        <w:rPr>
          <w:rFonts w:ascii="Times New Roman" w:hAnsi="Times New Roman"/>
          <w:color w:val="auto"/>
          <w:sz w:val="24"/>
        </w:rPr>
        <w:t>域环境质量等，具有显著的环境效益和社会经济效益。</w:t>
      </w:r>
      <w:r>
        <w:rPr>
          <w:rFonts w:hint="eastAsia"/>
          <w:color w:val="auto"/>
          <w:sz w:val="24"/>
          <w:lang w:val="en-US" w:eastAsia="zh-CN"/>
        </w:rPr>
        <w:t>在</w:t>
      </w:r>
      <w:r>
        <w:rPr>
          <w:rFonts w:ascii="Times New Roman" w:hAnsi="Times New Roman"/>
          <w:color w:val="auto"/>
          <w:sz w:val="24"/>
        </w:rPr>
        <w:t>严格落实本报告书中提出的各项</w:t>
      </w:r>
      <w:r>
        <w:rPr>
          <w:rFonts w:hint="eastAsia"/>
          <w:color w:val="auto"/>
          <w:sz w:val="24"/>
          <w:lang w:val="en-US" w:eastAsia="zh-CN"/>
        </w:rPr>
        <w:t>生态环境保护</w:t>
      </w:r>
      <w:r>
        <w:rPr>
          <w:rFonts w:ascii="Times New Roman" w:hAnsi="Times New Roman"/>
          <w:color w:val="auto"/>
          <w:sz w:val="24"/>
        </w:rPr>
        <w:t>措施、加强环境管理，严格执行</w:t>
      </w:r>
      <w:r>
        <w:rPr>
          <w:rFonts w:hint="eastAsia" w:ascii="Times New Roman" w:hAnsi="Times New Roman"/>
          <w:color w:val="auto"/>
          <w:sz w:val="24"/>
          <w:lang w:eastAsia="zh-CN"/>
        </w:rPr>
        <w:t>“</w:t>
      </w:r>
      <w:r>
        <w:rPr>
          <w:rFonts w:ascii="Times New Roman" w:hAnsi="Times New Roman"/>
          <w:color w:val="auto"/>
          <w:sz w:val="24"/>
        </w:rPr>
        <w:t>三同时</w:t>
      </w:r>
      <w:r>
        <w:rPr>
          <w:rFonts w:hint="eastAsia" w:ascii="Times New Roman" w:hAnsi="Times New Roman"/>
          <w:color w:val="auto"/>
          <w:sz w:val="24"/>
          <w:lang w:eastAsia="zh-CN"/>
        </w:rPr>
        <w:t>”</w:t>
      </w:r>
      <w:r>
        <w:rPr>
          <w:rFonts w:hint="eastAsia"/>
          <w:color w:val="auto"/>
          <w:sz w:val="24"/>
          <w:lang w:val="en-US" w:eastAsia="zh-CN"/>
        </w:rPr>
        <w:t>制度</w:t>
      </w:r>
      <w:r>
        <w:rPr>
          <w:rFonts w:ascii="Times New Roman" w:hAnsi="Times New Roman"/>
          <w:color w:val="auto"/>
          <w:sz w:val="24"/>
        </w:rPr>
        <w:t>，项目建设对环境的不利影响将可以得到减轻或消除，各项污染物均能做到达标排放，本工程的环境影响可接受。因此，从环境影响的角度分析，本项目的建设是可行的。</w:t>
      </w:r>
    </w:p>
    <w:p w14:paraId="6FC3B761">
      <w:pPr>
        <w:rPr>
          <w:rFonts w:ascii="Times New Roman" w:hAnsi="Times New Roman"/>
          <w:color w:val="auto"/>
          <w:sz w:val="24"/>
        </w:rPr>
      </w:pPr>
      <w:r>
        <w:rPr>
          <w:rFonts w:ascii="Times New Roman" w:hAnsi="Times New Roman"/>
          <w:color w:val="auto"/>
          <w:sz w:val="24"/>
        </w:rPr>
        <w:br w:type="page"/>
      </w:r>
    </w:p>
    <w:p w14:paraId="15126C14">
      <w:pPr>
        <w:pStyle w:val="2"/>
        <w:bidi w:val="0"/>
        <w:rPr>
          <w:color w:val="auto"/>
        </w:rPr>
      </w:pPr>
      <w:bookmarkStart w:id="46" w:name="_Toc69228865"/>
      <w:bookmarkStart w:id="47" w:name="_Toc8618"/>
      <w:r>
        <w:rPr>
          <w:color w:val="auto"/>
        </w:rPr>
        <w:t>总则</w:t>
      </w:r>
      <w:bookmarkEnd w:id="46"/>
      <w:bookmarkEnd w:id="47"/>
    </w:p>
    <w:p w14:paraId="0D54AEA1">
      <w:pPr>
        <w:pStyle w:val="3"/>
        <w:bidi w:val="0"/>
        <w:ind w:left="480" w:leftChars="0" w:firstLineChars="0"/>
        <w:rPr>
          <w:color w:val="auto"/>
        </w:rPr>
      </w:pPr>
      <w:bookmarkStart w:id="48" w:name="_Toc69228867"/>
      <w:bookmarkStart w:id="49" w:name="_Toc3901"/>
      <w:r>
        <w:rPr>
          <w:color w:val="auto"/>
        </w:rPr>
        <w:t>编制依据</w:t>
      </w:r>
      <w:bookmarkEnd w:id="48"/>
      <w:bookmarkEnd w:id="49"/>
    </w:p>
    <w:p w14:paraId="43C8F385">
      <w:pPr>
        <w:pStyle w:val="4"/>
        <w:bidi w:val="0"/>
        <w:rPr>
          <w:color w:val="auto"/>
        </w:rPr>
      </w:pPr>
      <w:bookmarkStart w:id="50" w:name="_Toc6430"/>
      <w:r>
        <w:rPr>
          <w:color w:val="auto"/>
        </w:rPr>
        <w:t>法律、法规</w:t>
      </w:r>
      <w:bookmarkEnd w:id="50"/>
    </w:p>
    <w:p w14:paraId="6EBB7BED">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w:t>
      </w:r>
      <w:r>
        <w:rPr>
          <w:rFonts w:hint="eastAsia" w:hAnsi="宋体"/>
          <w:bCs/>
          <w:color w:val="auto"/>
          <w:szCs w:val="24"/>
          <w:lang w:eastAsia="zh-CN"/>
        </w:rPr>
        <w:t>）</w:t>
      </w:r>
      <w:r>
        <w:rPr>
          <w:rFonts w:hint="eastAsia" w:hAnsi="宋体"/>
          <w:bCs/>
          <w:color w:val="auto"/>
          <w:szCs w:val="24"/>
        </w:rPr>
        <w:t>《中华人民共和国环境保护法》，2015年1月1日起施行</w:t>
      </w:r>
      <w:r>
        <w:rPr>
          <w:rFonts w:hint="eastAsia" w:hAnsi="宋体"/>
          <w:bCs/>
          <w:color w:val="auto"/>
          <w:szCs w:val="24"/>
          <w:lang w:eastAsia="zh-CN"/>
        </w:rPr>
        <w:t>；</w:t>
      </w:r>
    </w:p>
    <w:p w14:paraId="4EDF3AEB">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w:t>
      </w:r>
      <w:r>
        <w:rPr>
          <w:rFonts w:hint="eastAsia" w:hAnsi="宋体"/>
          <w:bCs/>
          <w:color w:val="auto"/>
          <w:szCs w:val="24"/>
          <w:lang w:eastAsia="zh-CN"/>
        </w:rPr>
        <w:t>）</w:t>
      </w:r>
      <w:r>
        <w:rPr>
          <w:rFonts w:hint="eastAsia" w:hAnsi="宋体"/>
          <w:bCs/>
          <w:color w:val="auto"/>
          <w:szCs w:val="24"/>
        </w:rPr>
        <w:t>《中华人民共和国环境影响评价法》，2018年12月29日修订</w:t>
      </w:r>
      <w:r>
        <w:rPr>
          <w:rFonts w:hint="eastAsia" w:hAnsi="宋体"/>
          <w:bCs/>
          <w:color w:val="auto"/>
          <w:szCs w:val="24"/>
          <w:lang w:eastAsia="zh-CN"/>
        </w:rPr>
        <w:t>；</w:t>
      </w:r>
    </w:p>
    <w:p w14:paraId="1DA7A94D">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w:t>
      </w:r>
      <w:r>
        <w:rPr>
          <w:rFonts w:hint="eastAsia" w:hAnsi="宋体"/>
          <w:bCs/>
          <w:color w:val="auto"/>
          <w:szCs w:val="24"/>
          <w:lang w:eastAsia="zh-CN"/>
        </w:rPr>
        <w:t>）</w:t>
      </w:r>
      <w:r>
        <w:rPr>
          <w:rFonts w:hint="eastAsia" w:hAnsi="宋体"/>
          <w:bCs/>
          <w:color w:val="auto"/>
          <w:szCs w:val="24"/>
        </w:rPr>
        <w:t>《中华人民共和国水污染防治法》，2018年1月1日起施行</w:t>
      </w:r>
      <w:r>
        <w:rPr>
          <w:rFonts w:hint="eastAsia" w:hAnsi="宋体"/>
          <w:bCs/>
          <w:color w:val="auto"/>
          <w:szCs w:val="24"/>
          <w:lang w:eastAsia="zh-CN"/>
        </w:rPr>
        <w:t>；</w:t>
      </w:r>
    </w:p>
    <w:p w14:paraId="557FD72D">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4</w:t>
      </w:r>
      <w:r>
        <w:rPr>
          <w:rFonts w:hint="eastAsia" w:hAnsi="宋体"/>
          <w:bCs/>
          <w:color w:val="auto"/>
          <w:szCs w:val="24"/>
          <w:lang w:eastAsia="zh-CN"/>
        </w:rPr>
        <w:t>）</w:t>
      </w:r>
      <w:r>
        <w:rPr>
          <w:rFonts w:hint="eastAsia" w:hAnsi="宋体"/>
          <w:bCs/>
          <w:color w:val="auto"/>
          <w:szCs w:val="24"/>
        </w:rPr>
        <w:t>《中华人民共和国大气污染防治法》，2018年10月26日修订</w:t>
      </w:r>
      <w:r>
        <w:rPr>
          <w:rFonts w:hint="eastAsia" w:hAnsi="宋体"/>
          <w:bCs/>
          <w:color w:val="auto"/>
          <w:szCs w:val="24"/>
          <w:lang w:eastAsia="zh-CN"/>
        </w:rPr>
        <w:t>；</w:t>
      </w:r>
    </w:p>
    <w:p w14:paraId="371791C4">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5</w:t>
      </w:r>
      <w:r>
        <w:rPr>
          <w:rFonts w:hint="eastAsia" w:hAnsi="宋体"/>
          <w:bCs/>
          <w:color w:val="auto"/>
          <w:szCs w:val="24"/>
          <w:lang w:eastAsia="zh-CN"/>
        </w:rPr>
        <w:t>）</w:t>
      </w:r>
      <w:r>
        <w:rPr>
          <w:rFonts w:hint="eastAsia" w:hAnsi="宋体"/>
          <w:bCs/>
          <w:color w:val="auto"/>
          <w:szCs w:val="24"/>
        </w:rPr>
        <w:t>《中华人民共和国噪声污染防治法》，2022年6月5日起施行</w:t>
      </w:r>
      <w:r>
        <w:rPr>
          <w:rFonts w:hint="eastAsia" w:hAnsi="宋体"/>
          <w:bCs/>
          <w:color w:val="auto"/>
          <w:szCs w:val="24"/>
          <w:lang w:eastAsia="zh-CN"/>
        </w:rPr>
        <w:t>；</w:t>
      </w:r>
    </w:p>
    <w:p w14:paraId="4D40177F">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6</w:t>
      </w:r>
      <w:r>
        <w:rPr>
          <w:rFonts w:hint="eastAsia" w:hAnsi="宋体"/>
          <w:bCs/>
          <w:color w:val="auto"/>
          <w:szCs w:val="24"/>
          <w:lang w:eastAsia="zh-CN"/>
        </w:rPr>
        <w:t>）</w:t>
      </w:r>
      <w:r>
        <w:rPr>
          <w:rFonts w:hint="eastAsia" w:hAnsi="宋体"/>
          <w:bCs/>
          <w:color w:val="auto"/>
          <w:szCs w:val="24"/>
        </w:rPr>
        <w:t>《中华人民共和国固体废物污染环境防治法》，2020年9月1日起施行</w:t>
      </w:r>
    </w:p>
    <w:p w14:paraId="6A4BE24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7</w:t>
      </w:r>
      <w:r>
        <w:rPr>
          <w:rFonts w:hint="eastAsia" w:hAnsi="宋体"/>
          <w:bCs/>
          <w:color w:val="auto"/>
          <w:szCs w:val="24"/>
          <w:lang w:eastAsia="zh-CN"/>
        </w:rPr>
        <w:t>）</w:t>
      </w:r>
      <w:r>
        <w:rPr>
          <w:rFonts w:hint="eastAsia" w:hAnsi="宋体"/>
          <w:bCs/>
          <w:color w:val="auto"/>
          <w:szCs w:val="24"/>
        </w:rPr>
        <w:t>《中华人民共和国土壤污染防治法》，2019年1月1日起施行</w:t>
      </w:r>
      <w:r>
        <w:rPr>
          <w:rFonts w:hint="eastAsia" w:hAnsi="宋体"/>
          <w:bCs/>
          <w:color w:val="auto"/>
          <w:szCs w:val="24"/>
          <w:lang w:eastAsia="zh-CN"/>
        </w:rPr>
        <w:t>；</w:t>
      </w:r>
    </w:p>
    <w:p w14:paraId="2D705DF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8</w:t>
      </w:r>
      <w:r>
        <w:rPr>
          <w:rFonts w:hint="eastAsia" w:hAnsi="宋体"/>
          <w:bCs/>
          <w:color w:val="auto"/>
          <w:szCs w:val="24"/>
          <w:lang w:eastAsia="zh-CN"/>
        </w:rPr>
        <w:t>）</w:t>
      </w:r>
      <w:r>
        <w:rPr>
          <w:rFonts w:hint="eastAsia" w:hAnsi="宋体"/>
          <w:bCs/>
          <w:color w:val="auto"/>
          <w:szCs w:val="24"/>
        </w:rPr>
        <w:t>《中华人民共和国水土保持法》，2011年3月1日起施行</w:t>
      </w:r>
      <w:r>
        <w:rPr>
          <w:rFonts w:hint="eastAsia" w:hAnsi="宋体"/>
          <w:bCs/>
          <w:color w:val="auto"/>
          <w:szCs w:val="24"/>
          <w:lang w:eastAsia="zh-CN"/>
        </w:rPr>
        <w:t>；</w:t>
      </w:r>
    </w:p>
    <w:p w14:paraId="1A9917EA">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9</w:t>
      </w:r>
      <w:r>
        <w:rPr>
          <w:rFonts w:hint="eastAsia" w:hAnsi="宋体"/>
          <w:bCs/>
          <w:color w:val="auto"/>
          <w:szCs w:val="24"/>
          <w:lang w:eastAsia="zh-CN"/>
        </w:rPr>
        <w:t>）</w:t>
      </w:r>
      <w:r>
        <w:rPr>
          <w:rFonts w:hint="eastAsia" w:hAnsi="宋体"/>
          <w:bCs/>
          <w:color w:val="auto"/>
          <w:szCs w:val="24"/>
        </w:rPr>
        <w:t>《中华人民共和国水法》，2016年7月2日起施行</w:t>
      </w:r>
      <w:r>
        <w:rPr>
          <w:rFonts w:hint="eastAsia" w:hAnsi="宋体"/>
          <w:bCs/>
          <w:color w:val="auto"/>
          <w:szCs w:val="24"/>
          <w:lang w:eastAsia="zh-CN"/>
        </w:rPr>
        <w:t>；</w:t>
      </w:r>
    </w:p>
    <w:p w14:paraId="515C858F">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10</w:t>
      </w:r>
      <w:r>
        <w:rPr>
          <w:rFonts w:hint="eastAsia" w:hAnsi="宋体"/>
          <w:bCs/>
          <w:color w:val="auto"/>
          <w:szCs w:val="24"/>
          <w:lang w:eastAsia="zh-CN"/>
        </w:rPr>
        <w:t>）</w:t>
      </w:r>
      <w:r>
        <w:rPr>
          <w:rFonts w:hint="eastAsia" w:hAnsi="宋体"/>
          <w:bCs/>
          <w:color w:val="auto"/>
          <w:szCs w:val="24"/>
        </w:rPr>
        <w:t>《中华人民共和国防洪法》，2016年7月2日起施行</w:t>
      </w:r>
      <w:r>
        <w:rPr>
          <w:rFonts w:hint="eastAsia" w:hAnsi="宋体"/>
          <w:bCs/>
          <w:color w:val="auto"/>
          <w:szCs w:val="24"/>
          <w:lang w:eastAsia="zh-CN"/>
        </w:rPr>
        <w:t>；</w:t>
      </w:r>
    </w:p>
    <w:p w14:paraId="7DA9ED77">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11</w:t>
      </w:r>
      <w:r>
        <w:rPr>
          <w:rFonts w:hint="eastAsia" w:hAnsi="宋体"/>
          <w:bCs/>
          <w:color w:val="auto"/>
          <w:szCs w:val="24"/>
          <w:lang w:eastAsia="zh-CN"/>
        </w:rPr>
        <w:t>）</w:t>
      </w:r>
      <w:r>
        <w:rPr>
          <w:rFonts w:hint="eastAsia" w:hAnsi="宋体"/>
          <w:bCs/>
          <w:color w:val="auto"/>
          <w:szCs w:val="24"/>
        </w:rPr>
        <w:t>《中华人民共和国土地管理法》，2020年1月1日起施行</w:t>
      </w:r>
      <w:r>
        <w:rPr>
          <w:rFonts w:hint="eastAsia" w:hAnsi="宋体"/>
          <w:bCs/>
          <w:color w:val="auto"/>
          <w:szCs w:val="24"/>
          <w:lang w:eastAsia="zh-CN"/>
        </w:rPr>
        <w:t>；</w:t>
      </w:r>
    </w:p>
    <w:p w14:paraId="6D761CAC">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12</w:t>
      </w:r>
      <w:r>
        <w:rPr>
          <w:rFonts w:hint="eastAsia" w:hAnsi="宋体"/>
          <w:bCs/>
          <w:color w:val="auto"/>
          <w:szCs w:val="24"/>
          <w:lang w:eastAsia="zh-CN"/>
        </w:rPr>
        <w:t>）</w:t>
      </w:r>
      <w:r>
        <w:rPr>
          <w:rFonts w:hint="eastAsia" w:hAnsi="宋体"/>
          <w:bCs/>
          <w:color w:val="auto"/>
          <w:szCs w:val="24"/>
        </w:rPr>
        <w:t>《中华人民共和国渔业法》，2013年12月28日修订</w:t>
      </w:r>
      <w:r>
        <w:rPr>
          <w:rFonts w:hint="eastAsia" w:hAnsi="宋体"/>
          <w:bCs/>
          <w:color w:val="auto"/>
          <w:szCs w:val="24"/>
          <w:lang w:eastAsia="zh-CN"/>
        </w:rPr>
        <w:t>；</w:t>
      </w:r>
    </w:p>
    <w:p w14:paraId="3BBBBE3D">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13</w:t>
      </w:r>
      <w:r>
        <w:rPr>
          <w:rFonts w:hint="eastAsia" w:hAnsi="宋体"/>
          <w:bCs/>
          <w:color w:val="auto"/>
          <w:szCs w:val="24"/>
          <w:lang w:eastAsia="zh-CN"/>
        </w:rPr>
        <w:t>）</w:t>
      </w:r>
      <w:r>
        <w:rPr>
          <w:rFonts w:hint="eastAsia" w:hAnsi="宋体"/>
          <w:bCs/>
          <w:color w:val="auto"/>
          <w:szCs w:val="24"/>
        </w:rPr>
        <w:t>《中华人民共和国森林法》，2020年7月1日起施行:</w:t>
      </w:r>
    </w:p>
    <w:p w14:paraId="22913C3A">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14</w:t>
      </w:r>
      <w:r>
        <w:rPr>
          <w:rFonts w:hint="eastAsia" w:hAnsi="宋体"/>
          <w:bCs/>
          <w:color w:val="auto"/>
          <w:szCs w:val="24"/>
          <w:lang w:eastAsia="zh-CN"/>
        </w:rPr>
        <w:t>）</w:t>
      </w:r>
      <w:r>
        <w:rPr>
          <w:rFonts w:hint="eastAsia" w:hAnsi="宋体"/>
          <w:bCs/>
          <w:color w:val="auto"/>
          <w:szCs w:val="24"/>
        </w:rPr>
        <w:t>《中华人民共和国草原法》，2021年4月29日修正</w:t>
      </w:r>
      <w:r>
        <w:rPr>
          <w:rFonts w:hint="eastAsia" w:hAnsi="宋体"/>
          <w:bCs/>
          <w:color w:val="auto"/>
          <w:szCs w:val="24"/>
          <w:lang w:eastAsia="zh-CN"/>
        </w:rPr>
        <w:t>；</w:t>
      </w:r>
    </w:p>
    <w:p w14:paraId="0E5E71B3">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15</w:t>
      </w:r>
      <w:r>
        <w:rPr>
          <w:rFonts w:hint="eastAsia" w:hAnsi="宋体"/>
          <w:bCs/>
          <w:color w:val="auto"/>
          <w:szCs w:val="24"/>
          <w:lang w:eastAsia="zh-CN"/>
        </w:rPr>
        <w:t>）</w:t>
      </w:r>
      <w:r>
        <w:rPr>
          <w:rFonts w:hint="eastAsia" w:hAnsi="宋体"/>
          <w:bCs/>
          <w:color w:val="auto"/>
          <w:szCs w:val="24"/>
        </w:rPr>
        <w:t>《中华人民共和国野生动物保护法》，2018年10月26日修订:</w:t>
      </w:r>
    </w:p>
    <w:p w14:paraId="4EA8647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16</w:t>
      </w:r>
      <w:r>
        <w:rPr>
          <w:rFonts w:hint="eastAsia" w:hAnsi="宋体"/>
          <w:bCs/>
          <w:color w:val="auto"/>
          <w:szCs w:val="24"/>
          <w:lang w:eastAsia="zh-CN"/>
        </w:rPr>
        <w:t>）</w:t>
      </w:r>
      <w:r>
        <w:rPr>
          <w:rFonts w:hint="eastAsia" w:hAnsi="宋体"/>
          <w:bCs/>
          <w:color w:val="auto"/>
          <w:szCs w:val="24"/>
        </w:rPr>
        <w:t>《中华人民共和国农业法》，2013年1月1日起施行</w:t>
      </w:r>
      <w:r>
        <w:rPr>
          <w:rFonts w:hint="eastAsia" w:hAnsi="宋体"/>
          <w:bCs/>
          <w:color w:val="auto"/>
          <w:szCs w:val="24"/>
          <w:lang w:eastAsia="zh-CN"/>
        </w:rPr>
        <w:t>；</w:t>
      </w:r>
    </w:p>
    <w:p w14:paraId="372CFBDE">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17</w:t>
      </w:r>
      <w:r>
        <w:rPr>
          <w:rFonts w:hint="eastAsia" w:hAnsi="宋体"/>
          <w:bCs/>
          <w:color w:val="auto"/>
          <w:szCs w:val="24"/>
          <w:lang w:eastAsia="zh-CN"/>
        </w:rPr>
        <w:t>）</w:t>
      </w:r>
      <w:r>
        <w:rPr>
          <w:rFonts w:hint="eastAsia" w:hAnsi="宋体"/>
          <w:bCs/>
          <w:color w:val="auto"/>
          <w:szCs w:val="24"/>
        </w:rPr>
        <w:t>《中华人民共和国城乡规划法》，2019年4月23日起施行:</w:t>
      </w:r>
    </w:p>
    <w:p w14:paraId="325687D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18</w:t>
      </w:r>
      <w:r>
        <w:rPr>
          <w:rFonts w:hint="eastAsia" w:hAnsi="宋体"/>
          <w:bCs/>
          <w:color w:val="auto"/>
          <w:szCs w:val="24"/>
          <w:lang w:eastAsia="zh-CN"/>
        </w:rPr>
        <w:t>）</w:t>
      </w:r>
      <w:r>
        <w:rPr>
          <w:rFonts w:hint="eastAsia" w:hAnsi="宋体"/>
          <w:bCs/>
          <w:color w:val="auto"/>
          <w:szCs w:val="24"/>
        </w:rPr>
        <w:t>《中华人民共和国湿地保护法》，2022年6月1日起施行</w:t>
      </w:r>
      <w:r>
        <w:rPr>
          <w:rFonts w:hint="eastAsia" w:hAnsi="宋体"/>
          <w:bCs/>
          <w:color w:val="auto"/>
          <w:szCs w:val="24"/>
          <w:lang w:eastAsia="zh-CN"/>
        </w:rPr>
        <w:t>；</w:t>
      </w:r>
    </w:p>
    <w:p w14:paraId="4F72FD73">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19</w:t>
      </w:r>
      <w:r>
        <w:rPr>
          <w:rFonts w:hint="eastAsia" w:hAnsi="宋体"/>
          <w:bCs/>
          <w:color w:val="auto"/>
          <w:szCs w:val="24"/>
          <w:lang w:eastAsia="zh-CN"/>
        </w:rPr>
        <w:t>）</w:t>
      </w:r>
      <w:r>
        <w:rPr>
          <w:rFonts w:hint="eastAsia" w:hAnsi="宋体"/>
          <w:bCs/>
          <w:color w:val="auto"/>
          <w:szCs w:val="24"/>
        </w:rPr>
        <w:t>《中华人民共和国传染病防治法》，2013年6月29日修正</w:t>
      </w:r>
      <w:r>
        <w:rPr>
          <w:rFonts w:hint="eastAsia" w:hAnsi="宋体"/>
          <w:bCs/>
          <w:color w:val="auto"/>
          <w:szCs w:val="24"/>
          <w:lang w:eastAsia="zh-CN"/>
        </w:rPr>
        <w:t>；</w:t>
      </w:r>
    </w:p>
    <w:p w14:paraId="4F0D1B26">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20</w:t>
      </w:r>
      <w:r>
        <w:rPr>
          <w:rFonts w:hint="eastAsia" w:hAnsi="宋体"/>
          <w:bCs/>
          <w:color w:val="auto"/>
          <w:szCs w:val="24"/>
          <w:lang w:eastAsia="zh-CN"/>
        </w:rPr>
        <w:t>）</w:t>
      </w:r>
      <w:r>
        <w:rPr>
          <w:rFonts w:hint="eastAsia" w:hAnsi="宋体"/>
          <w:bCs/>
          <w:color w:val="auto"/>
          <w:szCs w:val="24"/>
        </w:rPr>
        <w:t>《建设项目环境保护管理条例》，2017年10月1日</w:t>
      </w:r>
      <w:r>
        <w:rPr>
          <w:rFonts w:hint="eastAsia" w:hAnsi="宋体"/>
          <w:bCs/>
          <w:color w:val="auto"/>
          <w:szCs w:val="24"/>
          <w:lang w:eastAsia="zh-CN"/>
        </w:rPr>
        <w:t>；</w:t>
      </w:r>
    </w:p>
    <w:p w14:paraId="45C5A1C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21</w:t>
      </w:r>
      <w:r>
        <w:rPr>
          <w:rFonts w:hint="eastAsia" w:hAnsi="宋体"/>
          <w:bCs/>
          <w:color w:val="auto"/>
          <w:szCs w:val="24"/>
          <w:lang w:eastAsia="zh-CN"/>
        </w:rPr>
        <w:t>）</w:t>
      </w:r>
      <w:r>
        <w:rPr>
          <w:rFonts w:hint="eastAsia" w:hAnsi="宋体"/>
          <w:bCs/>
          <w:color w:val="auto"/>
          <w:szCs w:val="24"/>
        </w:rPr>
        <w:t>《中华人民共和国河道管理条例》，2018年3月19日修订</w:t>
      </w:r>
      <w:r>
        <w:rPr>
          <w:rFonts w:hint="eastAsia" w:hAnsi="宋体"/>
          <w:bCs/>
          <w:color w:val="auto"/>
          <w:szCs w:val="24"/>
          <w:lang w:eastAsia="zh-CN"/>
        </w:rPr>
        <w:t>；</w:t>
      </w:r>
    </w:p>
    <w:p w14:paraId="7E96E90C">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22</w:t>
      </w:r>
      <w:r>
        <w:rPr>
          <w:rFonts w:hint="eastAsia" w:hAnsi="宋体"/>
          <w:bCs/>
          <w:color w:val="auto"/>
          <w:szCs w:val="24"/>
          <w:lang w:eastAsia="zh-CN"/>
        </w:rPr>
        <w:t>）</w:t>
      </w:r>
      <w:r>
        <w:rPr>
          <w:rFonts w:hint="eastAsia" w:hAnsi="宋体"/>
          <w:bCs/>
          <w:color w:val="auto"/>
          <w:szCs w:val="24"/>
        </w:rPr>
        <w:t>《土地复垦条例》，2011年3月5日起施行</w:t>
      </w:r>
      <w:r>
        <w:rPr>
          <w:rFonts w:hint="eastAsia" w:hAnsi="宋体"/>
          <w:bCs/>
          <w:color w:val="auto"/>
          <w:szCs w:val="24"/>
          <w:lang w:eastAsia="zh-CN"/>
        </w:rPr>
        <w:t>；</w:t>
      </w:r>
    </w:p>
    <w:p w14:paraId="6445DE2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23</w:t>
      </w:r>
      <w:r>
        <w:rPr>
          <w:rFonts w:hint="eastAsia" w:hAnsi="宋体"/>
          <w:bCs/>
          <w:color w:val="auto"/>
          <w:szCs w:val="24"/>
          <w:lang w:eastAsia="zh-CN"/>
        </w:rPr>
        <w:t>）</w:t>
      </w:r>
      <w:r>
        <w:rPr>
          <w:rFonts w:hint="eastAsia" w:hAnsi="宋体"/>
          <w:bCs/>
          <w:color w:val="auto"/>
          <w:szCs w:val="24"/>
        </w:rPr>
        <w:t>《地下水管理条例》，2021年12月1日起施行</w:t>
      </w:r>
      <w:r>
        <w:rPr>
          <w:rFonts w:hint="eastAsia" w:hAnsi="宋体"/>
          <w:bCs/>
          <w:color w:val="auto"/>
          <w:szCs w:val="24"/>
          <w:lang w:eastAsia="zh-CN"/>
        </w:rPr>
        <w:t>；</w:t>
      </w:r>
    </w:p>
    <w:p w14:paraId="7B5741C5">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24</w:t>
      </w:r>
      <w:r>
        <w:rPr>
          <w:rFonts w:hint="eastAsia" w:hAnsi="宋体"/>
          <w:bCs/>
          <w:color w:val="auto"/>
          <w:szCs w:val="24"/>
          <w:lang w:eastAsia="zh-CN"/>
        </w:rPr>
        <w:t>）</w:t>
      </w:r>
      <w:r>
        <w:rPr>
          <w:rFonts w:hint="eastAsia" w:hAnsi="宋体"/>
          <w:bCs/>
          <w:color w:val="auto"/>
          <w:szCs w:val="24"/>
        </w:rPr>
        <w:t>《中华人民共和国防汛条例》，2011年1月8日修订</w:t>
      </w:r>
      <w:r>
        <w:rPr>
          <w:rFonts w:hint="eastAsia" w:hAnsi="宋体"/>
          <w:bCs/>
          <w:color w:val="auto"/>
          <w:szCs w:val="24"/>
          <w:lang w:eastAsia="zh-CN"/>
        </w:rPr>
        <w:t>；</w:t>
      </w:r>
    </w:p>
    <w:p w14:paraId="0E20621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25</w:t>
      </w:r>
      <w:r>
        <w:rPr>
          <w:rFonts w:hint="eastAsia" w:hAnsi="宋体"/>
          <w:bCs/>
          <w:color w:val="auto"/>
          <w:szCs w:val="24"/>
          <w:lang w:eastAsia="zh-CN"/>
        </w:rPr>
        <w:t>）</w:t>
      </w:r>
      <w:r>
        <w:rPr>
          <w:rFonts w:hint="eastAsia" w:hAnsi="宋体"/>
          <w:bCs/>
          <w:color w:val="auto"/>
          <w:szCs w:val="24"/>
        </w:rPr>
        <w:t>《基本农田保护条例》，2011年1月8日</w:t>
      </w:r>
      <w:r>
        <w:rPr>
          <w:rFonts w:hint="eastAsia" w:hAnsi="宋体"/>
          <w:bCs/>
          <w:color w:val="auto"/>
          <w:szCs w:val="24"/>
          <w:lang w:eastAsia="zh-CN"/>
        </w:rPr>
        <w:t>；</w:t>
      </w:r>
    </w:p>
    <w:p w14:paraId="458FABBB">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26</w:t>
      </w:r>
      <w:r>
        <w:rPr>
          <w:rFonts w:hint="eastAsia" w:hAnsi="宋体"/>
          <w:bCs/>
          <w:color w:val="auto"/>
          <w:szCs w:val="24"/>
          <w:lang w:eastAsia="zh-CN"/>
        </w:rPr>
        <w:t>）</w:t>
      </w:r>
      <w:r>
        <w:rPr>
          <w:rFonts w:hint="eastAsia" w:hAnsi="宋体"/>
          <w:bCs/>
          <w:color w:val="auto"/>
          <w:szCs w:val="24"/>
        </w:rPr>
        <w:t>《中华人民共和国野生植物保护条例》，2017年10月</w:t>
      </w:r>
      <w:r>
        <w:rPr>
          <w:rFonts w:hint="eastAsia" w:hAnsi="宋体"/>
          <w:bCs/>
          <w:color w:val="auto"/>
          <w:szCs w:val="24"/>
          <w:lang w:eastAsia="zh-CN"/>
        </w:rPr>
        <w:t>；</w:t>
      </w:r>
    </w:p>
    <w:p w14:paraId="1C065C1E">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27</w:t>
      </w:r>
      <w:r>
        <w:rPr>
          <w:rFonts w:hint="eastAsia" w:hAnsi="宋体"/>
          <w:bCs/>
          <w:color w:val="auto"/>
          <w:szCs w:val="24"/>
          <w:lang w:eastAsia="zh-CN"/>
        </w:rPr>
        <w:t>）</w:t>
      </w:r>
      <w:r>
        <w:rPr>
          <w:rFonts w:hint="eastAsia" w:hAnsi="宋体"/>
          <w:bCs/>
          <w:color w:val="auto"/>
          <w:szCs w:val="24"/>
        </w:rPr>
        <w:t>《中华人民共和国陆生野生动物保护实施条例》，2016年2月修订</w:t>
      </w:r>
      <w:r>
        <w:rPr>
          <w:rFonts w:hint="eastAsia" w:hAnsi="宋体"/>
          <w:bCs/>
          <w:color w:val="auto"/>
          <w:szCs w:val="24"/>
          <w:lang w:eastAsia="zh-CN"/>
        </w:rPr>
        <w:t>；</w:t>
      </w:r>
    </w:p>
    <w:p w14:paraId="7D2589D0">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28</w:t>
      </w:r>
      <w:r>
        <w:rPr>
          <w:rFonts w:hint="eastAsia" w:hAnsi="宋体"/>
          <w:bCs/>
          <w:color w:val="auto"/>
          <w:szCs w:val="24"/>
          <w:lang w:eastAsia="zh-CN"/>
        </w:rPr>
        <w:t>）</w:t>
      </w:r>
      <w:r>
        <w:rPr>
          <w:rFonts w:hint="eastAsia" w:hAnsi="宋体"/>
          <w:bCs/>
          <w:color w:val="auto"/>
          <w:szCs w:val="24"/>
        </w:rPr>
        <w:t>《中华人民共和国水生野生动物保护实施条例》，2013年12月修订:</w:t>
      </w:r>
    </w:p>
    <w:p w14:paraId="73C8FA14">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29</w:t>
      </w:r>
      <w:r>
        <w:rPr>
          <w:rFonts w:hint="eastAsia" w:hAnsi="宋体"/>
          <w:bCs/>
          <w:color w:val="auto"/>
          <w:szCs w:val="24"/>
          <w:lang w:eastAsia="zh-CN"/>
        </w:rPr>
        <w:t>）</w:t>
      </w:r>
      <w:r>
        <w:rPr>
          <w:rFonts w:hint="eastAsia" w:hAnsi="宋体"/>
          <w:bCs/>
          <w:color w:val="auto"/>
          <w:szCs w:val="24"/>
        </w:rPr>
        <w:t>《安徽省环境保护条例》，2018年1月实施</w:t>
      </w:r>
      <w:r>
        <w:rPr>
          <w:rFonts w:hint="eastAsia" w:hAnsi="宋体"/>
          <w:bCs/>
          <w:color w:val="auto"/>
          <w:szCs w:val="24"/>
          <w:lang w:eastAsia="zh-CN"/>
        </w:rPr>
        <w:t>；</w:t>
      </w:r>
    </w:p>
    <w:p w14:paraId="6D3CAE1D">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30</w:t>
      </w:r>
      <w:r>
        <w:rPr>
          <w:rFonts w:hint="eastAsia" w:hAnsi="宋体"/>
          <w:bCs/>
          <w:color w:val="auto"/>
          <w:szCs w:val="24"/>
          <w:lang w:eastAsia="zh-CN"/>
        </w:rPr>
        <w:t>）</w:t>
      </w:r>
      <w:r>
        <w:rPr>
          <w:rFonts w:hint="eastAsia" w:hAnsi="宋体"/>
          <w:bCs/>
          <w:color w:val="auto"/>
          <w:szCs w:val="24"/>
        </w:rPr>
        <w:t>《安徽省湿地保护条例》，2018年3月30日修正</w:t>
      </w:r>
      <w:r>
        <w:rPr>
          <w:rFonts w:hint="eastAsia" w:hAnsi="宋体"/>
          <w:bCs/>
          <w:color w:val="auto"/>
          <w:szCs w:val="24"/>
          <w:lang w:eastAsia="zh-CN"/>
        </w:rPr>
        <w:t>；</w:t>
      </w:r>
    </w:p>
    <w:p w14:paraId="0FAFFCF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31</w:t>
      </w:r>
      <w:r>
        <w:rPr>
          <w:rFonts w:hint="eastAsia" w:hAnsi="宋体"/>
          <w:bCs/>
          <w:color w:val="auto"/>
          <w:szCs w:val="24"/>
          <w:lang w:eastAsia="zh-CN"/>
        </w:rPr>
        <w:t>）</w:t>
      </w:r>
      <w:r>
        <w:rPr>
          <w:rFonts w:hint="eastAsia" w:hAnsi="宋体"/>
          <w:bCs/>
          <w:color w:val="auto"/>
          <w:szCs w:val="24"/>
        </w:rPr>
        <w:t>《安徽省饮用水水源环境保护条例》，2016年12月1日起施行</w:t>
      </w:r>
      <w:r>
        <w:rPr>
          <w:rFonts w:hint="eastAsia" w:hAnsi="宋体"/>
          <w:bCs/>
          <w:color w:val="auto"/>
          <w:szCs w:val="24"/>
          <w:lang w:eastAsia="zh-CN"/>
        </w:rPr>
        <w:t>；</w:t>
      </w:r>
    </w:p>
    <w:p w14:paraId="1B0139F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32</w:t>
      </w:r>
      <w:r>
        <w:rPr>
          <w:rFonts w:hint="eastAsia" w:hAnsi="宋体"/>
          <w:bCs/>
          <w:color w:val="auto"/>
          <w:szCs w:val="24"/>
          <w:lang w:eastAsia="zh-CN"/>
        </w:rPr>
        <w:t>）</w:t>
      </w:r>
      <w:r>
        <w:rPr>
          <w:rFonts w:hint="eastAsia" w:hAnsi="宋体"/>
          <w:bCs/>
          <w:color w:val="auto"/>
          <w:szCs w:val="24"/>
        </w:rPr>
        <w:t>《安徽省大气污染防治条例》，2018年9月29日修正</w:t>
      </w:r>
      <w:r>
        <w:rPr>
          <w:rFonts w:hint="eastAsia" w:hAnsi="宋体"/>
          <w:bCs/>
          <w:color w:val="auto"/>
          <w:szCs w:val="24"/>
          <w:lang w:eastAsia="zh-CN"/>
        </w:rPr>
        <w:t>；</w:t>
      </w:r>
    </w:p>
    <w:p w14:paraId="49104027">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33</w:t>
      </w:r>
      <w:r>
        <w:rPr>
          <w:rFonts w:hint="eastAsia" w:hAnsi="宋体"/>
          <w:bCs/>
          <w:color w:val="auto"/>
          <w:szCs w:val="24"/>
          <w:lang w:eastAsia="zh-CN"/>
        </w:rPr>
        <w:t>）</w:t>
      </w:r>
      <w:r>
        <w:rPr>
          <w:rFonts w:hint="eastAsia" w:hAnsi="宋体"/>
          <w:bCs/>
          <w:color w:val="auto"/>
          <w:szCs w:val="24"/>
        </w:rPr>
        <w:t>《安徽省农业生态环境保护条例》，2018年3月30日修正</w:t>
      </w:r>
      <w:r>
        <w:rPr>
          <w:rFonts w:hint="eastAsia" w:hAnsi="宋体"/>
          <w:bCs/>
          <w:color w:val="auto"/>
          <w:szCs w:val="24"/>
          <w:lang w:eastAsia="zh-CN"/>
        </w:rPr>
        <w:t>；</w:t>
      </w:r>
    </w:p>
    <w:p w14:paraId="0E0D4746">
      <w:pPr>
        <w:pStyle w:val="4"/>
        <w:bidi w:val="0"/>
        <w:rPr>
          <w:color w:val="auto"/>
        </w:rPr>
      </w:pPr>
      <w:bookmarkStart w:id="51" w:name="_Toc23521"/>
      <w:r>
        <w:rPr>
          <w:rFonts w:hint="eastAsia"/>
          <w:color w:val="auto"/>
          <w:lang w:val="en-US" w:eastAsia="zh-CN"/>
        </w:rPr>
        <w:t>规范性文件</w:t>
      </w:r>
      <w:bookmarkEnd w:id="51"/>
    </w:p>
    <w:p w14:paraId="5BCC5BD4">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w:t>
      </w:r>
      <w:r>
        <w:rPr>
          <w:rFonts w:hint="eastAsia" w:hAnsi="宋体"/>
          <w:bCs/>
          <w:color w:val="auto"/>
          <w:szCs w:val="24"/>
          <w:lang w:eastAsia="zh-CN"/>
        </w:rPr>
        <w:t>）</w:t>
      </w:r>
      <w:r>
        <w:rPr>
          <w:rFonts w:hint="eastAsia" w:hAnsi="宋体"/>
          <w:bCs/>
          <w:color w:val="auto"/>
          <w:szCs w:val="24"/>
        </w:rPr>
        <w:t>《中华人民共和国环境保护法》，2015年1月1日起施行</w:t>
      </w:r>
      <w:r>
        <w:rPr>
          <w:rFonts w:hint="eastAsia" w:hAnsi="宋体"/>
          <w:bCs/>
          <w:color w:val="auto"/>
          <w:szCs w:val="24"/>
          <w:lang w:eastAsia="zh-CN"/>
        </w:rPr>
        <w:t>；</w:t>
      </w:r>
    </w:p>
    <w:p w14:paraId="7FE4247E">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w:t>
      </w:r>
      <w:r>
        <w:rPr>
          <w:rFonts w:hint="eastAsia" w:hAnsi="宋体"/>
          <w:bCs/>
          <w:color w:val="auto"/>
          <w:szCs w:val="24"/>
          <w:lang w:eastAsia="zh-CN"/>
        </w:rPr>
        <w:t>）</w:t>
      </w:r>
      <w:r>
        <w:rPr>
          <w:rFonts w:hint="eastAsia" w:hAnsi="宋体"/>
          <w:bCs/>
          <w:color w:val="auto"/>
          <w:szCs w:val="24"/>
        </w:rPr>
        <w:t>《中华人民共和国环境影响评价法》，2018年12月29日修订</w:t>
      </w:r>
      <w:r>
        <w:rPr>
          <w:rFonts w:hint="eastAsia" w:hAnsi="宋体"/>
          <w:bCs/>
          <w:color w:val="auto"/>
          <w:szCs w:val="24"/>
          <w:lang w:eastAsia="zh-CN"/>
        </w:rPr>
        <w:t>；</w:t>
      </w:r>
    </w:p>
    <w:p w14:paraId="55AE701B">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w:t>
      </w:r>
      <w:r>
        <w:rPr>
          <w:rFonts w:hint="eastAsia" w:hAnsi="宋体"/>
          <w:bCs/>
          <w:color w:val="auto"/>
          <w:szCs w:val="24"/>
          <w:lang w:eastAsia="zh-CN"/>
        </w:rPr>
        <w:t>）</w:t>
      </w:r>
      <w:r>
        <w:rPr>
          <w:rFonts w:hint="eastAsia" w:hAnsi="宋体"/>
          <w:bCs/>
          <w:color w:val="auto"/>
          <w:szCs w:val="24"/>
        </w:rPr>
        <w:t>《中华人民共和国水污染防治法》，2018年1月1日起施行</w:t>
      </w:r>
      <w:r>
        <w:rPr>
          <w:rFonts w:hint="eastAsia" w:hAnsi="宋体"/>
          <w:bCs/>
          <w:color w:val="auto"/>
          <w:szCs w:val="24"/>
          <w:lang w:eastAsia="zh-CN"/>
        </w:rPr>
        <w:t>；</w:t>
      </w:r>
    </w:p>
    <w:p w14:paraId="5CF78B3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4</w:t>
      </w:r>
      <w:r>
        <w:rPr>
          <w:rFonts w:hint="eastAsia" w:hAnsi="宋体"/>
          <w:bCs/>
          <w:color w:val="auto"/>
          <w:szCs w:val="24"/>
          <w:lang w:eastAsia="zh-CN"/>
        </w:rPr>
        <w:t>）</w:t>
      </w:r>
      <w:r>
        <w:rPr>
          <w:rFonts w:hint="eastAsia" w:hAnsi="宋体"/>
          <w:bCs/>
          <w:color w:val="auto"/>
          <w:szCs w:val="24"/>
        </w:rPr>
        <w:t>《中华人民共和国大气污染防治法》，2018年10月26日修订</w:t>
      </w:r>
      <w:r>
        <w:rPr>
          <w:rFonts w:hint="eastAsia" w:hAnsi="宋体"/>
          <w:bCs/>
          <w:color w:val="auto"/>
          <w:szCs w:val="24"/>
          <w:lang w:eastAsia="zh-CN"/>
        </w:rPr>
        <w:t>；</w:t>
      </w:r>
    </w:p>
    <w:p w14:paraId="59F7360D">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5</w:t>
      </w:r>
      <w:r>
        <w:rPr>
          <w:rFonts w:hint="eastAsia" w:hAnsi="宋体"/>
          <w:bCs/>
          <w:color w:val="auto"/>
          <w:szCs w:val="24"/>
          <w:lang w:eastAsia="zh-CN"/>
        </w:rPr>
        <w:t>）</w:t>
      </w:r>
      <w:r>
        <w:rPr>
          <w:rFonts w:hint="eastAsia" w:hAnsi="宋体"/>
          <w:bCs/>
          <w:color w:val="auto"/>
          <w:szCs w:val="24"/>
        </w:rPr>
        <w:t>《中华人民共和国噪声污染防治法》，2022年6月5日起施行</w:t>
      </w:r>
      <w:r>
        <w:rPr>
          <w:rFonts w:hint="eastAsia" w:hAnsi="宋体"/>
          <w:bCs/>
          <w:color w:val="auto"/>
          <w:szCs w:val="24"/>
          <w:lang w:eastAsia="zh-CN"/>
        </w:rPr>
        <w:t>；</w:t>
      </w:r>
    </w:p>
    <w:p w14:paraId="5675EA54">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6</w:t>
      </w:r>
      <w:r>
        <w:rPr>
          <w:rFonts w:hint="eastAsia" w:hAnsi="宋体"/>
          <w:bCs/>
          <w:color w:val="auto"/>
          <w:szCs w:val="24"/>
          <w:lang w:eastAsia="zh-CN"/>
        </w:rPr>
        <w:t>）</w:t>
      </w:r>
      <w:r>
        <w:rPr>
          <w:rFonts w:hint="eastAsia" w:hAnsi="宋体"/>
          <w:bCs/>
          <w:color w:val="auto"/>
          <w:szCs w:val="24"/>
        </w:rPr>
        <w:t>《中华人民共和国固体废物污染环境防治法》，2020年9月1日起施行</w:t>
      </w:r>
    </w:p>
    <w:p w14:paraId="505529E3">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7</w:t>
      </w:r>
      <w:r>
        <w:rPr>
          <w:rFonts w:hint="eastAsia" w:hAnsi="宋体"/>
          <w:bCs/>
          <w:color w:val="auto"/>
          <w:szCs w:val="24"/>
          <w:lang w:eastAsia="zh-CN"/>
        </w:rPr>
        <w:t>）</w:t>
      </w:r>
      <w:r>
        <w:rPr>
          <w:rFonts w:hint="eastAsia" w:hAnsi="宋体"/>
          <w:bCs/>
          <w:color w:val="auto"/>
          <w:szCs w:val="24"/>
        </w:rPr>
        <w:t>《中华人民共和国土壤污染防治法》，2019年1月1日起施行</w:t>
      </w:r>
      <w:r>
        <w:rPr>
          <w:rFonts w:hint="eastAsia" w:hAnsi="宋体"/>
          <w:bCs/>
          <w:color w:val="auto"/>
          <w:szCs w:val="24"/>
          <w:lang w:eastAsia="zh-CN"/>
        </w:rPr>
        <w:t>；</w:t>
      </w:r>
    </w:p>
    <w:p w14:paraId="0F51E0DC">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8</w:t>
      </w:r>
      <w:r>
        <w:rPr>
          <w:rFonts w:hint="eastAsia" w:hAnsi="宋体"/>
          <w:bCs/>
          <w:color w:val="auto"/>
          <w:szCs w:val="24"/>
          <w:lang w:eastAsia="zh-CN"/>
        </w:rPr>
        <w:t>）</w:t>
      </w:r>
      <w:r>
        <w:rPr>
          <w:rFonts w:hint="eastAsia" w:hAnsi="宋体"/>
          <w:bCs/>
          <w:color w:val="auto"/>
          <w:szCs w:val="24"/>
        </w:rPr>
        <w:t>《中华人民共和国水土保持法》，2011年3月1日起施行</w:t>
      </w:r>
      <w:r>
        <w:rPr>
          <w:rFonts w:hint="eastAsia" w:hAnsi="宋体"/>
          <w:bCs/>
          <w:color w:val="auto"/>
          <w:szCs w:val="24"/>
          <w:lang w:eastAsia="zh-CN"/>
        </w:rPr>
        <w:t>；</w:t>
      </w:r>
    </w:p>
    <w:p w14:paraId="3A5BC9A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9</w:t>
      </w:r>
      <w:r>
        <w:rPr>
          <w:rFonts w:hint="eastAsia" w:hAnsi="宋体"/>
          <w:bCs/>
          <w:color w:val="auto"/>
          <w:szCs w:val="24"/>
          <w:lang w:eastAsia="zh-CN"/>
        </w:rPr>
        <w:t>）</w:t>
      </w:r>
      <w:r>
        <w:rPr>
          <w:rFonts w:hint="eastAsia" w:hAnsi="宋体"/>
          <w:bCs/>
          <w:color w:val="auto"/>
          <w:szCs w:val="24"/>
        </w:rPr>
        <w:t>《中华人民共和国水法》，2016年7月2日起施行</w:t>
      </w:r>
      <w:r>
        <w:rPr>
          <w:rFonts w:hint="eastAsia" w:hAnsi="宋体"/>
          <w:bCs/>
          <w:color w:val="auto"/>
          <w:szCs w:val="24"/>
          <w:lang w:eastAsia="zh-CN"/>
        </w:rPr>
        <w:t>；</w:t>
      </w:r>
    </w:p>
    <w:p w14:paraId="75AC2166">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10</w:t>
      </w:r>
      <w:r>
        <w:rPr>
          <w:rFonts w:hint="eastAsia" w:hAnsi="宋体"/>
          <w:bCs/>
          <w:color w:val="auto"/>
          <w:szCs w:val="24"/>
          <w:lang w:eastAsia="zh-CN"/>
        </w:rPr>
        <w:t>）</w:t>
      </w:r>
      <w:r>
        <w:rPr>
          <w:rFonts w:hint="eastAsia" w:hAnsi="宋体"/>
          <w:bCs/>
          <w:color w:val="auto"/>
          <w:szCs w:val="24"/>
        </w:rPr>
        <w:t>《中华人民共和国防洪法》，2016年7月2日起施行</w:t>
      </w:r>
      <w:r>
        <w:rPr>
          <w:rFonts w:hint="eastAsia" w:hAnsi="宋体"/>
          <w:bCs/>
          <w:color w:val="auto"/>
          <w:szCs w:val="24"/>
          <w:lang w:eastAsia="zh-CN"/>
        </w:rPr>
        <w:t>；</w:t>
      </w:r>
    </w:p>
    <w:p w14:paraId="6517586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11</w:t>
      </w:r>
      <w:r>
        <w:rPr>
          <w:rFonts w:hint="eastAsia" w:hAnsi="宋体"/>
          <w:bCs/>
          <w:color w:val="auto"/>
          <w:szCs w:val="24"/>
          <w:lang w:eastAsia="zh-CN"/>
        </w:rPr>
        <w:t>）</w:t>
      </w:r>
      <w:r>
        <w:rPr>
          <w:rFonts w:hint="eastAsia" w:hAnsi="宋体"/>
          <w:bCs/>
          <w:color w:val="auto"/>
          <w:szCs w:val="24"/>
        </w:rPr>
        <w:t>《中华人民共和国土地管理法》，2020年1月1日起施行</w:t>
      </w:r>
      <w:r>
        <w:rPr>
          <w:rFonts w:hint="eastAsia" w:hAnsi="宋体"/>
          <w:bCs/>
          <w:color w:val="auto"/>
          <w:szCs w:val="24"/>
          <w:lang w:eastAsia="zh-CN"/>
        </w:rPr>
        <w:t>；</w:t>
      </w:r>
    </w:p>
    <w:p w14:paraId="56290326">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12</w:t>
      </w:r>
      <w:r>
        <w:rPr>
          <w:rFonts w:hint="eastAsia" w:hAnsi="宋体"/>
          <w:bCs/>
          <w:color w:val="auto"/>
          <w:szCs w:val="24"/>
          <w:lang w:eastAsia="zh-CN"/>
        </w:rPr>
        <w:t>）</w:t>
      </w:r>
      <w:r>
        <w:rPr>
          <w:rFonts w:hint="eastAsia" w:hAnsi="宋体"/>
          <w:bCs/>
          <w:color w:val="auto"/>
          <w:szCs w:val="24"/>
        </w:rPr>
        <w:t>《中华人民共和国渔业法》，2013年12月28日修订</w:t>
      </w:r>
      <w:r>
        <w:rPr>
          <w:rFonts w:hint="eastAsia" w:hAnsi="宋体"/>
          <w:bCs/>
          <w:color w:val="auto"/>
          <w:szCs w:val="24"/>
          <w:lang w:eastAsia="zh-CN"/>
        </w:rPr>
        <w:t>；</w:t>
      </w:r>
    </w:p>
    <w:p w14:paraId="6B824067">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13</w:t>
      </w:r>
      <w:r>
        <w:rPr>
          <w:rFonts w:hint="eastAsia" w:hAnsi="宋体"/>
          <w:bCs/>
          <w:color w:val="auto"/>
          <w:szCs w:val="24"/>
          <w:lang w:eastAsia="zh-CN"/>
        </w:rPr>
        <w:t>）</w:t>
      </w:r>
      <w:r>
        <w:rPr>
          <w:rFonts w:hint="eastAsia" w:hAnsi="宋体"/>
          <w:bCs/>
          <w:color w:val="auto"/>
          <w:szCs w:val="24"/>
        </w:rPr>
        <w:t>《中华人民共和国森林法》，2020年7月1日起施行:</w:t>
      </w:r>
    </w:p>
    <w:p w14:paraId="428F24BE">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14</w:t>
      </w:r>
      <w:r>
        <w:rPr>
          <w:rFonts w:hint="eastAsia" w:hAnsi="宋体"/>
          <w:bCs/>
          <w:color w:val="auto"/>
          <w:szCs w:val="24"/>
          <w:lang w:eastAsia="zh-CN"/>
        </w:rPr>
        <w:t>）</w:t>
      </w:r>
      <w:r>
        <w:rPr>
          <w:rFonts w:hint="eastAsia" w:hAnsi="宋体"/>
          <w:bCs/>
          <w:color w:val="auto"/>
          <w:szCs w:val="24"/>
        </w:rPr>
        <w:t>《中华人民共和国草原法》，2021年4月29日修正</w:t>
      </w:r>
      <w:r>
        <w:rPr>
          <w:rFonts w:hint="eastAsia" w:hAnsi="宋体"/>
          <w:bCs/>
          <w:color w:val="auto"/>
          <w:szCs w:val="24"/>
          <w:lang w:eastAsia="zh-CN"/>
        </w:rPr>
        <w:t>；</w:t>
      </w:r>
    </w:p>
    <w:p w14:paraId="64FA0E2F">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15</w:t>
      </w:r>
      <w:r>
        <w:rPr>
          <w:rFonts w:hint="eastAsia" w:hAnsi="宋体"/>
          <w:bCs/>
          <w:color w:val="auto"/>
          <w:szCs w:val="24"/>
          <w:lang w:eastAsia="zh-CN"/>
        </w:rPr>
        <w:t>）</w:t>
      </w:r>
      <w:r>
        <w:rPr>
          <w:rFonts w:hint="eastAsia" w:hAnsi="宋体"/>
          <w:bCs/>
          <w:color w:val="auto"/>
          <w:szCs w:val="24"/>
        </w:rPr>
        <w:t>《中华人民共和国野生动物保护法》，2018年10月26日修订:</w:t>
      </w:r>
    </w:p>
    <w:p w14:paraId="3BCDFA4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16</w:t>
      </w:r>
      <w:r>
        <w:rPr>
          <w:rFonts w:hint="eastAsia" w:hAnsi="宋体"/>
          <w:bCs/>
          <w:color w:val="auto"/>
          <w:szCs w:val="24"/>
          <w:lang w:eastAsia="zh-CN"/>
        </w:rPr>
        <w:t>）</w:t>
      </w:r>
      <w:r>
        <w:rPr>
          <w:rFonts w:hint="eastAsia" w:hAnsi="宋体"/>
          <w:bCs/>
          <w:color w:val="auto"/>
          <w:szCs w:val="24"/>
        </w:rPr>
        <w:t>《中华人民共和国农业法》，2013年1月1日起施行</w:t>
      </w:r>
      <w:r>
        <w:rPr>
          <w:rFonts w:hint="eastAsia" w:hAnsi="宋体"/>
          <w:bCs/>
          <w:color w:val="auto"/>
          <w:szCs w:val="24"/>
          <w:lang w:eastAsia="zh-CN"/>
        </w:rPr>
        <w:t>；</w:t>
      </w:r>
    </w:p>
    <w:p w14:paraId="314AF2F0">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17</w:t>
      </w:r>
      <w:r>
        <w:rPr>
          <w:rFonts w:hint="eastAsia" w:hAnsi="宋体"/>
          <w:bCs/>
          <w:color w:val="auto"/>
          <w:szCs w:val="24"/>
          <w:lang w:eastAsia="zh-CN"/>
        </w:rPr>
        <w:t>）</w:t>
      </w:r>
      <w:r>
        <w:rPr>
          <w:rFonts w:hint="eastAsia" w:hAnsi="宋体"/>
          <w:bCs/>
          <w:color w:val="auto"/>
          <w:szCs w:val="24"/>
        </w:rPr>
        <w:t>《中华人民共和国城乡规划法》，2019年4月23日起施行:</w:t>
      </w:r>
    </w:p>
    <w:p w14:paraId="0BE5195B">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18</w:t>
      </w:r>
      <w:r>
        <w:rPr>
          <w:rFonts w:hint="eastAsia" w:hAnsi="宋体"/>
          <w:bCs/>
          <w:color w:val="auto"/>
          <w:szCs w:val="24"/>
          <w:lang w:eastAsia="zh-CN"/>
        </w:rPr>
        <w:t>）</w:t>
      </w:r>
      <w:r>
        <w:rPr>
          <w:rFonts w:hint="eastAsia" w:hAnsi="宋体"/>
          <w:bCs/>
          <w:color w:val="auto"/>
          <w:szCs w:val="24"/>
        </w:rPr>
        <w:t>《中华人民共和国湿地保护法》，2022年6月1日起施行</w:t>
      </w:r>
      <w:r>
        <w:rPr>
          <w:rFonts w:hint="eastAsia" w:hAnsi="宋体"/>
          <w:bCs/>
          <w:color w:val="auto"/>
          <w:szCs w:val="24"/>
          <w:lang w:eastAsia="zh-CN"/>
        </w:rPr>
        <w:t>；</w:t>
      </w:r>
    </w:p>
    <w:p w14:paraId="177F37DA">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19</w:t>
      </w:r>
      <w:r>
        <w:rPr>
          <w:rFonts w:hint="eastAsia" w:hAnsi="宋体"/>
          <w:bCs/>
          <w:color w:val="auto"/>
          <w:szCs w:val="24"/>
          <w:lang w:eastAsia="zh-CN"/>
        </w:rPr>
        <w:t>）</w:t>
      </w:r>
      <w:r>
        <w:rPr>
          <w:rFonts w:hint="eastAsia" w:hAnsi="宋体"/>
          <w:bCs/>
          <w:color w:val="auto"/>
          <w:szCs w:val="24"/>
        </w:rPr>
        <w:t>《中华人民共和国传染病防治法》，2013年6月29日修正</w:t>
      </w:r>
      <w:r>
        <w:rPr>
          <w:rFonts w:hint="eastAsia" w:hAnsi="宋体"/>
          <w:bCs/>
          <w:color w:val="auto"/>
          <w:szCs w:val="24"/>
          <w:lang w:eastAsia="zh-CN"/>
        </w:rPr>
        <w:t>；</w:t>
      </w:r>
    </w:p>
    <w:p w14:paraId="612AE64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20</w:t>
      </w:r>
      <w:r>
        <w:rPr>
          <w:rFonts w:hint="eastAsia" w:hAnsi="宋体"/>
          <w:bCs/>
          <w:color w:val="auto"/>
          <w:szCs w:val="24"/>
          <w:lang w:eastAsia="zh-CN"/>
        </w:rPr>
        <w:t>）</w:t>
      </w:r>
      <w:r>
        <w:rPr>
          <w:rFonts w:hint="eastAsia" w:hAnsi="宋体"/>
          <w:bCs/>
          <w:color w:val="auto"/>
          <w:szCs w:val="24"/>
        </w:rPr>
        <w:t>《建设项目环境保护管理条例》，2017年10月1日</w:t>
      </w:r>
      <w:r>
        <w:rPr>
          <w:rFonts w:hint="eastAsia" w:hAnsi="宋体"/>
          <w:bCs/>
          <w:color w:val="auto"/>
          <w:szCs w:val="24"/>
          <w:lang w:eastAsia="zh-CN"/>
        </w:rPr>
        <w:t>；</w:t>
      </w:r>
    </w:p>
    <w:p w14:paraId="1C7F93A7">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21</w:t>
      </w:r>
      <w:r>
        <w:rPr>
          <w:rFonts w:hint="eastAsia" w:hAnsi="宋体"/>
          <w:bCs/>
          <w:color w:val="auto"/>
          <w:szCs w:val="24"/>
          <w:lang w:eastAsia="zh-CN"/>
        </w:rPr>
        <w:t>）</w:t>
      </w:r>
      <w:r>
        <w:rPr>
          <w:rFonts w:hint="eastAsia" w:hAnsi="宋体"/>
          <w:bCs/>
          <w:color w:val="auto"/>
          <w:szCs w:val="24"/>
        </w:rPr>
        <w:t>《中华人民共和国河道管理条例》，2018年3月19日修订</w:t>
      </w:r>
      <w:r>
        <w:rPr>
          <w:rFonts w:hint="eastAsia" w:hAnsi="宋体"/>
          <w:bCs/>
          <w:color w:val="auto"/>
          <w:szCs w:val="24"/>
          <w:lang w:eastAsia="zh-CN"/>
        </w:rPr>
        <w:t>；</w:t>
      </w:r>
    </w:p>
    <w:p w14:paraId="2886537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22</w:t>
      </w:r>
      <w:r>
        <w:rPr>
          <w:rFonts w:hint="eastAsia" w:hAnsi="宋体"/>
          <w:bCs/>
          <w:color w:val="auto"/>
          <w:szCs w:val="24"/>
          <w:lang w:eastAsia="zh-CN"/>
        </w:rPr>
        <w:t>）</w:t>
      </w:r>
      <w:r>
        <w:rPr>
          <w:rFonts w:hint="eastAsia" w:hAnsi="宋体"/>
          <w:bCs/>
          <w:color w:val="auto"/>
          <w:szCs w:val="24"/>
        </w:rPr>
        <w:t>《土地复垦条例》，2011年3月5日起施行</w:t>
      </w:r>
      <w:r>
        <w:rPr>
          <w:rFonts w:hint="eastAsia" w:hAnsi="宋体"/>
          <w:bCs/>
          <w:color w:val="auto"/>
          <w:szCs w:val="24"/>
          <w:lang w:eastAsia="zh-CN"/>
        </w:rPr>
        <w:t>；</w:t>
      </w:r>
    </w:p>
    <w:p w14:paraId="3833C200">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23</w:t>
      </w:r>
      <w:r>
        <w:rPr>
          <w:rFonts w:hint="eastAsia" w:hAnsi="宋体"/>
          <w:bCs/>
          <w:color w:val="auto"/>
          <w:szCs w:val="24"/>
          <w:lang w:eastAsia="zh-CN"/>
        </w:rPr>
        <w:t>）</w:t>
      </w:r>
      <w:r>
        <w:rPr>
          <w:rFonts w:hint="eastAsia" w:hAnsi="宋体"/>
          <w:bCs/>
          <w:color w:val="auto"/>
          <w:szCs w:val="24"/>
        </w:rPr>
        <w:t>《地下水管理条例》，2021年12月1日起施行</w:t>
      </w:r>
      <w:r>
        <w:rPr>
          <w:rFonts w:hint="eastAsia" w:hAnsi="宋体"/>
          <w:bCs/>
          <w:color w:val="auto"/>
          <w:szCs w:val="24"/>
          <w:lang w:eastAsia="zh-CN"/>
        </w:rPr>
        <w:t>；</w:t>
      </w:r>
    </w:p>
    <w:p w14:paraId="709F4DA2">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24</w:t>
      </w:r>
      <w:r>
        <w:rPr>
          <w:rFonts w:hint="eastAsia" w:hAnsi="宋体"/>
          <w:bCs/>
          <w:color w:val="auto"/>
          <w:szCs w:val="24"/>
          <w:lang w:eastAsia="zh-CN"/>
        </w:rPr>
        <w:t>）</w:t>
      </w:r>
      <w:r>
        <w:rPr>
          <w:rFonts w:hint="eastAsia" w:hAnsi="宋体"/>
          <w:bCs/>
          <w:color w:val="auto"/>
          <w:szCs w:val="24"/>
        </w:rPr>
        <w:t>《中华人民共和国防汛条例》，2011年1月8日修订</w:t>
      </w:r>
      <w:r>
        <w:rPr>
          <w:rFonts w:hint="eastAsia" w:hAnsi="宋体"/>
          <w:bCs/>
          <w:color w:val="auto"/>
          <w:szCs w:val="24"/>
          <w:lang w:eastAsia="zh-CN"/>
        </w:rPr>
        <w:t>；</w:t>
      </w:r>
    </w:p>
    <w:p w14:paraId="0075DF6F">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25</w:t>
      </w:r>
      <w:r>
        <w:rPr>
          <w:rFonts w:hint="eastAsia" w:hAnsi="宋体"/>
          <w:bCs/>
          <w:color w:val="auto"/>
          <w:szCs w:val="24"/>
          <w:lang w:eastAsia="zh-CN"/>
        </w:rPr>
        <w:t>）</w:t>
      </w:r>
      <w:r>
        <w:rPr>
          <w:rFonts w:hint="eastAsia" w:hAnsi="宋体"/>
          <w:bCs/>
          <w:color w:val="auto"/>
          <w:szCs w:val="24"/>
        </w:rPr>
        <w:t>《基本农田保护条例》，2011年1月8日</w:t>
      </w:r>
      <w:r>
        <w:rPr>
          <w:rFonts w:hint="eastAsia" w:hAnsi="宋体"/>
          <w:bCs/>
          <w:color w:val="auto"/>
          <w:szCs w:val="24"/>
          <w:lang w:eastAsia="zh-CN"/>
        </w:rPr>
        <w:t>；</w:t>
      </w:r>
    </w:p>
    <w:p w14:paraId="3020A7AA">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26</w:t>
      </w:r>
      <w:r>
        <w:rPr>
          <w:rFonts w:hint="eastAsia" w:hAnsi="宋体"/>
          <w:bCs/>
          <w:color w:val="auto"/>
          <w:szCs w:val="24"/>
          <w:lang w:eastAsia="zh-CN"/>
        </w:rPr>
        <w:t>）</w:t>
      </w:r>
      <w:r>
        <w:rPr>
          <w:rFonts w:hint="eastAsia" w:hAnsi="宋体"/>
          <w:bCs/>
          <w:color w:val="auto"/>
          <w:szCs w:val="24"/>
        </w:rPr>
        <w:t>《中华人民共和国野生植物保护条例》，2017年10月</w:t>
      </w:r>
      <w:r>
        <w:rPr>
          <w:rFonts w:hint="eastAsia" w:hAnsi="宋体"/>
          <w:bCs/>
          <w:color w:val="auto"/>
          <w:szCs w:val="24"/>
          <w:lang w:eastAsia="zh-CN"/>
        </w:rPr>
        <w:t>；</w:t>
      </w:r>
    </w:p>
    <w:p w14:paraId="45F4113E">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27</w:t>
      </w:r>
      <w:r>
        <w:rPr>
          <w:rFonts w:hint="eastAsia" w:hAnsi="宋体"/>
          <w:bCs/>
          <w:color w:val="auto"/>
          <w:szCs w:val="24"/>
          <w:lang w:eastAsia="zh-CN"/>
        </w:rPr>
        <w:t>）</w:t>
      </w:r>
      <w:r>
        <w:rPr>
          <w:rFonts w:hint="eastAsia" w:hAnsi="宋体"/>
          <w:bCs/>
          <w:color w:val="auto"/>
          <w:szCs w:val="24"/>
        </w:rPr>
        <w:t>《中华人民共和国陆生野生动物保护实施条例》，2016年2月修订</w:t>
      </w:r>
      <w:r>
        <w:rPr>
          <w:rFonts w:hint="eastAsia" w:hAnsi="宋体"/>
          <w:bCs/>
          <w:color w:val="auto"/>
          <w:szCs w:val="24"/>
          <w:lang w:eastAsia="zh-CN"/>
        </w:rPr>
        <w:t>；</w:t>
      </w:r>
    </w:p>
    <w:p w14:paraId="5BF59651">
      <w:pPr>
        <w:ind w:firstLine="472"/>
        <w:rPr>
          <w:rFonts w:hint="eastAsia" w:hAnsi="宋体"/>
          <w:bCs/>
          <w:color w:val="auto"/>
          <w:szCs w:val="24"/>
        </w:rPr>
      </w:pPr>
      <w:r>
        <w:rPr>
          <w:rFonts w:hint="eastAsia" w:hAnsi="宋体"/>
          <w:bCs/>
          <w:color w:val="auto"/>
          <w:szCs w:val="24"/>
          <w:lang w:eastAsia="zh-CN"/>
        </w:rPr>
        <w:t>（</w:t>
      </w:r>
      <w:r>
        <w:rPr>
          <w:rFonts w:hint="eastAsia" w:hAnsi="宋体"/>
          <w:bCs/>
          <w:color w:val="auto"/>
          <w:szCs w:val="24"/>
        </w:rPr>
        <w:t>28</w:t>
      </w:r>
      <w:r>
        <w:rPr>
          <w:rFonts w:hint="eastAsia" w:hAnsi="宋体"/>
          <w:bCs/>
          <w:color w:val="auto"/>
          <w:szCs w:val="24"/>
          <w:lang w:eastAsia="zh-CN"/>
        </w:rPr>
        <w:t>）</w:t>
      </w:r>
      <w:r>
        <w:rPr>
          <w:rFonts w:hint="eastAsia" w:hAnsi="宋体"/>
          <w:bCs/>
          <w:color w:val="auto"/>
          <w:szCs w:val="24"/>
        </w:rPr>
        <w:t>《中华人民共和国水生野生动物保护实施条例》，2013年12月修订:</w:t>
      </w:r>
    </w:p>
    <w:p w14:paraId="61BD096C">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29</w:t>
      </w:r>
      <w:r>
        <w:rPr>
          <w:rFonts w:hint="eastAsia" w:hAnsi="宋体"/>
          <w:bCs/>
          <w:color w:val="auto"/>
          <w:szCs w:val="24"/>
          <w:lang w:eastAsia="zh-CN"/>
        </w:rPr>
        <w:t>）</w:t>
      </w:r>
      <w:r>
        <w:rPr>
          <w:rFonts w:hint="eastAsia" w:hAnsi="宋体"/>
          <w:bCs/>
          <w:color w:val="auto"/>
          <w:szCs w:val="24"/>
        </w:rPr>
        <w:t>《安徽省环境保护条例》，2018年1月实施</w:t>
      </w:r>
      <w:r>
        <w:rPr>
          <w:rFonts w:hint="eastAsia" w:hAnsi="宋体"/>
          <w:bCs/>
          <w:color w:val="auto"/>
          <w:szCs w:val="24"/>
          <w:lang w:eastAsia="zh-CN"/>
        </w:rPr>
        <w:t>；</w:t>
      </w:r>
    </w:p>
    <w:p w14:paraId="1FC050A6">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30</w:t>
      </w:r>
      <w:r>
        <w:rPr>
          <w:rFonts w:hint="eastAsia" w:hAnsi="宋体"/>
          <w:bCs/>
          <w:color w:val="auto"/>
          <w:szCs w:val="24"/>
          <w:lang w:eastAsia="zh-CN"/>
        </w:rPr>
        <w:t>）</w:t>
      </w:r>
      <w:r>
        <w:rPr>
          <w:rFonts w:hint="eastAsia" w:hAnsi="宋体"/>
          <w:bCs/>
          <w:color w:val="auto"/>
          <w:szCs w:val="24"/>
        </w:rPr>
        <w:t>《安徽省湿地保护条例》，2018年3月30日修正</w:t>
      </w:r>
      <w:r>
        <w:rPr>
          <w:rFonts w:hint="eastAsia" w:hAnsi="宋体"/>
          <w:bCs/>
          <w:color w:val="auto"/>
          <w:szCs w:val="24"/>
          <w:lang w:eastAsia="zh-CN"/>
        </w:rPr>
        <w:t>；</w:t>
      </w:r>
    </w:p>
    <w:p w14:paraId="3A60CCED">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31</w:t>
      </w:r>
      <w:r>
        <w:rPr>
          <w:rFonts w:hint="eastAsia" w:hAnsi="宋体"/>
          <w:bCs/>
          <w:color w:val="auto"/>
          <w:szCs w:val="24"/>
          <w:lang w:eastAsia="zh-CN"/>
        </w:rPr>
        <w:t>）</w:t>
      </w:r>
      <w:r>
        <w:rPr>
          <w:rFonts w:hint="eastAsia" w:hAnsi="宋体"/>
          <w:bCs/>
          <w:color w:val="auto"/>
          <w:szCs w:val="24"/>
        </w:rPr>
        <w:t>《安徽省饮用水水源环境保护条例》，2016年12月1日起施行</w:t>
      </w:r>
      <w:r>
        <w:rPr>
          <w:rFonts w:hint="eastAsia" w:hAnsi="宋体"/>
          <w:bCs/>
          <w:color w:val="auto"/>
          <w:szCs w:val="24"/>
          <w:lang w:eastAsia="zh-CN"/>
        </w:rPr>
        <w:t>；</w:t>
      </w:r>
    </w:p>
    <w:p w14:paraId="23296AC1">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32</w:t>
      </w:r>
      <w:r>
        <w:rPr>
          <w:rFonts w:hint="eastAsia" w:hAnsi="宋体"/>
          <w:bCs/>
          <w:color w:val="auto"/>
          <w:szCs w:val="24"/>
          <w:lang w:eastAsia="zh-CN"/>
        </w:rPr>
        <w:t>）</w:t>
      </w:r>
      <w:r>
        <w:rPr>
          <w:rFonts w:hint="eastAsia" w:hAnsi="宋体"/>
          <w:bCs/>
          <w:color w:val="auto"/>
          <w:szCs w:val="24"/>
        </w:rPr>
        <w:t>《安徽省大气污染防治条例》，2018年9月29日修正</w:t>
      </w:r>
      <w:r>
        <w:rPr>
          <w:rFonts w:hint="eastAsia" w:hAnsi="宋体"/>
          <w:bCs/>
          <w:color w:val="auto"/>
          <w:szCs w:val="24"/>
          <w:lang w:eastAsia="zh-CN"/>
        </w:rPr>
        <w:t>；</w:t>
      </w:r>
    </w:p>
    <w:p w14:paraId="7F4F8A25">
      <w:pPr>
        <w:ind w:firstLine="472"/>
        <w:rPr>
          <w:rFonts w:hint="eastAsia" w:hAnsi="宋体" w:eastAsia="宋体"/>
          <w:bCs/>
          <w:color w:val="auto"/>
          <w:szCs w:val="24"/>
          <w:lang w:eastAsia="zh-CN"/>
        </w:rPr>
      </w:pPr>
      <w:r>
        <w:rPr>
          <w:rFonts w:hint="eastAsia" w:hAnsi="宋体"/>
          <w:bCs/>
          <w:color w:val="auto"/>
          <w:szCs w:val="24"/>
          <w:lang w:eastAsia="zh-CN"/>
        </w:rPr>
        <w:t>（</w:t>
      </w:r>
      <w:r>
        <w:rPr>
          <w:rFonts w:hint="eastAsia" w:hAnsi="宋体"/>
          <w:bCs/>
          <w:color w:val="auto"/>
          <w:szCs w:val="24"/>
        </w:rPr>
        <w:t>33</w:t>
      </w:r>
      <w:r>
        <w:rPr>
          <w:rFonts w:hint="eastAsia" w:hAnsi="宋体"/>
          <w:bCs/>
          <w:color w:val="auto"/>
          <w:szCs w:val="24"/>
          <w:lang w:eastAsia="zh-CN"/>
        </w:rPr>
        <w:t>）</w:t>
      </w:r>
      <w:r>
        <w:rPr>
          <w:rFonts w:hint="eastAsia" w:hAnsi="宋体"/>
          <w:bCs/>
          <w:color w:val="auto"/>
          <w:szCs w:val="24"/>
        </w:rPr>
        <w:t>《安徽省农业生态环境保护条例》，2018年3月30日修正</w:t>
      </w:r>
      <w:r>
        <w:rPr>
          <w:rFonts w:hint="eastAsia" w:hAnsi="宋体"/>
          <w:bCs/>
          <w:color w:val="auto"/>
          <w:szCs w:val="24"/>
          <w:lang w:eastAsia="zh-CN"/>
        </w:rPr>
        <w:t>；</w:t>
      </w:r>
    </w:p>
    <w:p w14:paraId="62604879">
      <w:pPr>
        <w:pStyle w:val="4"/>
        <w:bidi w:val="0"/>
        <w:rPr>
          <w:color w:val="auto"/>
        </w:rPr>
      </w:pPr>
      <w:bookmarkStart w:id="52" w:name="_Toc10707"/>
      <w:r>
        <w:rPr>
          <w:color w:val="auto"/>
        </w:rPr>
        <w:t>评价技术文件</w:t>
      </w:r>
      <w:bookmarkEnd w:id="52"/>
    </w:p>
    <w:p w14:paraId="50115EC0">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1</w:t>
      </w:r>
      <w:r>
        <w:rPr>
          <w:rFonts w:hint="eastAsia" w:cs="Times New Roman"/>
          <w:color w:val="auto"/>
          <w:szCs w:val="24"/>
          <w:lang w:eastAsia="zh-CN"/>
        </w:rPr>
        <w:t>）</w:t>
      </w:r>
      <w:r>
        <w:rPr>
          <w:rFonts w:hint="eastAsia" w:cs="Times New Roman"/>
          <w:color w:val="auto"/>
          <w:szCs w:val="24"/>
        </w:rPr>
        <w:t>《建设项目环境影响评价技术导则</w:t>
      </w:r>
      <w:r>
        <w:rPr>
          <w:rFonts w:hint="eastAsia" w:cs="Times New Roman"/>
          <w:color w:val="auto"/>
          <w:szCs w:val="24"/>
          <w:lang w:val="en-US" w:eastAsia="zh-CN"/>
        </w:rPr>
        <w:t xml:space="preserve"> </w:t>
      </w:r>
      <w:r>
        <w:rPr>
          <w:rFonts w:hint="eastAsia" w:cs="Times New Roman"/>
          <w:color w:val="auto"/>
          <w:szCs w:val="24"/>
        </w:rPr>
        <w:t>总纲》</w:t>
      </w:r>
      <w:r>
        <w:rPr>
          <w:rFonts w:hint="eastAsia" w:cs="Times New Roman"/>
          <w:color w:val="auto"/>
          <w:szCs w:val="24"/>
          <w:lang w:eastAsia="zh-CN"/>
        </w:rPr>
        <w:t>（</w:t>
      </w:r>
      <w:r>
        <w:rPr>
          <w:rFonts w:hint="eastAsia" w:cs="Times New Roman"/>
          <w:color w:val="auto"/>
          <w:szCs w:val="24"/>
        </w:rPr>
        <w:t>HJ2.1-2016</w:t>
      </w:r>
      <w:r>
        <w:rPr>
          <w:rFonts w:hint="eastAsia" w:cs="Times New Roman"/>
          <w:color w:val="auto"/>
          <w:szCs w:val="24"/>
          <w:lang w:eastAsia="zh-CN"/>
        </w:rPr>
        <w:t>）；</w:t>
      </w:r>
    </w:p>
    <w:p w14:paraId="3DC98AB5">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2</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大气环境》</w:t>
      </w:r>
      <w:r>
        <w:rPr>
          <w:rFonts w:hint="eastAsia" w:cs="Times New Roman"/>
          <w:color w:val="auto"/>
          <w:szCs w:val="24"/>
          <w:lang w:eastAsia="zh-CN"/>
        </w:rPr>
        <w:t>（</w:t>
      </w:r>
      <w:r>
        <w:rPr>
          <w:rFonts w:hint="eastAsia" w:cs="Times New Roman"/>
          <w:color w:val="auto"/>
          <w:szCs w:val="24"/>
        </w:rPr>
        <w:t>HJ2.2-2018</w:t>
      </w:r>
      <w:r>
        <w:rPr>
          <w:rFonts w:hint="eastAsia" w:cs="Times New Roman"/>
          <w:color w:val="auto"/>
          <w:szCs w:val="24"/>
          <w:lang w:eastAsia="zh-CN"/>
        </w:rPr>
        <w:t>）；</w:t>
      </w:r>
    </w:p>
    <w:p w14:paraId="580318A3">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3</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地表水环境》</w:t>
      </w:r>
      <w:r>
        <w:rPr>
          <w:rFonts w:hint="eastAsia" w:cs="Times New Roman"/>
          <w:color w:val="auto"/>
          <w:szCs w:val="24"/>
          <w:lang w:eastAsia="zh-CN"/>
        </w:rPr>
        <w:t>（</w:t>
      </w:r>
      <w:r>
        <w:rPr>
          <w:rFonts w:hint="eastAsia" w:cs="Times New Roman"/>
          <w:color w:val="auto"/>
          <w:szCs w:val="24"/>
        </w:rPr>
        <w:t>HJ2.3-2018</w:t>
      </w:r>
      <w:r>
        <w:rPr>
          <w:rFonts w:hint="eastAsia" w:cs="Times New Roman"/>
          <w:color w:val="auto"/>
          <w:szCs w:val="24"/>
          <w:lang w:eastAsia="zh-CN"/>
        </w:rPr>
        <w:t>）；</w:t>
      </w:r>
    </w:p>
    <w:p w14:paraId="5BB19831">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4</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声环境》</w:t>
      </w:r>
      <w:r>
        <w:rPr>
          <w:rFonts w:hint="eastAsia" w:cs="Times New Roman"/>
          <w:color w:val="auto"/>
          <w:szCs w:val="24"/>
          <w:lang w:eastAsia="zh-CN"/>
        </w:rPr>
        <w:t>（</w:t>
      </w:r>
      <w:r>
        <w:rPr>
          <w:rFonts w:hint="eastAsia" w:cs="Times New Roman"/>
          <w:color w:val="auto"/>
          <w:szCs w:val="24"/>
        </w:rPr>
        <w:t>HJ2.4-2021</w:t>
      </w:r>
      <w:r>
        <w:rPr>
          <w:rFonts w:hint="eastAsia" w:cs="Times New Roman"/>
          <w:color w:val="auto"/>
          <w:szCs w:val="24"/>
          <w:lang w:eastAsia="zh-CN"/>
        </w:rPr>
        <w:t>）；</w:t>
      </w:r>
    </w:p>
    <w:p w14:paraId="429290DE">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5</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生态影响》</w:t>
      </w:r>
      <w:r>
        <w:rPr>
          <w:rFonts w:hint="eastAsia" w:cs="Times New Roman"/>
          <w:color w:val="auto"/>
          <w:szCs w:val="24"/>
          <w:lang w:eastAsia="zh-CN"/>
        </w:rPr>
        <w:t>（</w:t>
      </w:r>
      <w:r>
        <w:rPr>
          <w:rFonts w:hint="eastAsia" w:cs="Times New Roman"/>
          <w:color w:val="auto"/>
          <w:szCs w:val="24"/>
        </w:rPr>
        <w:t>HJ19-2022</w:t>
      </w:r>
      <w:r>
        <w:rPr>
          <w:rFonts w:hint="eastAsia" w:cs="Times New Roman"/>
          <w:color w:val="auto"/>
          <w:szCs w:val="24"/>
          <w:lang w:eastAsia="zh-CN"/>
        </w:rPr>
        <w:t>）；</w:t>
      </w:r>
    </w:p>
    <w:p w14:paraId="2F7EEE79">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6</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水利水电工程》</w:t>
      </w:r>
      <w:r>
        <w:rPr>
          <w:rFonts w:hint="eastAsia" w:cs="Times New Roman"/>
          <w:color w:val="auto"/>
          <w:szCs w:val="24"/>
          <w:lang w:eastAsia="zh-CN"/>
        </w:rPr>
        <w:t>（</w:t>
      </w:r>
      <w:r>
        <w:rPr>
          <w:rFonts w:hint="eastAsia" w:cs="Times New Roman"/>
          <w:color w:val="auto"/>
          <w:szCs w:val="24"/>
        </w:rPr>
        <w:t>HJ/T88-2003</w:t>
      </w:r>
      <w:r>
        <w:rPr>
          <w:rFonts w:hint="eastAsia" w:cs="Times New Roman"/>
          <w:color w:val="auto"/>
          <w:szCs w:val="24"/>
          <w:lang w:eastAsia="zh-CN"/>
        </w:rPr>
        <w:t>）；</w:t>
      </w:r>
    </w:p>
    <w:p w14:paraId="4C7CEC92">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7</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土壤环境</w:t>
      </w:r>
      <w:r>
        <w:rPr>
          <w:rFonts w:hint="eastAsia" w:cs="Times New Roman"/>
          <w:color w:val="auto"/>
          <w:szCs w:val="24"/>
          <w:lang w:eastAsia="zh-CN"/>
        </w:rPr>
        <w:t>（</w:t>
      </w:r>
      <w:r>
        <w:rPr>
          <w:rFonts w:hint="eastAsia" w:cs="Times New Roman"/>
          <w:color w:val="auto"/>
          <w:szCs w:val="24"/>
        </w:rPr>
        <w:t>试行</w:t>
      </w:r>
      <w:r>
        <w:rPr>
          <w:rFonts w:hint="eastAsia" w:cs="Times New Roman"/>
          <w:color w:val="auto"/>
          <w:szCs w:val="24"/>
          <w:lang w:eastAsia="zh-CN"/>
        </w:rPr>
        <w:t>）</w:t>
      </w:r>
      <w:r>
        <w:rPr>
          <w:rFonts w:hint="eastAsia" w:cs="Times New Roman"/>
          <w:color w:val="auto"/>
          <w:szCs w:val="24"/>
        </w:rPr>
        <w:t>》</w:t>
      </w:r>
      <w:r>
        <w:rPr>
          <w:rFonts w:hint="eastAsia" w:cs="Times New Roman"/>
          <w:color w:val="auto"/>
          <w:szCs w:val="24"/>
          <w:lang w:eastAsia="zh-CN"/>
        </w:rPr>
        <w:t>（</w:t>
      </w:r>
      <w:r>
        <w:rPr>
          <w:rFonts w:hint="eastAsia" w:cs="Times New Roman"/>
          <w:color w:val="auto"/>
          <w:szCs w:val="24"/>
        </w:rPr>
        <w:t>HJ964-2018</w:t>
      </w:r>
      <w:r>
        <w:rPr>
          <w:rFonts w:hint="eastAsia" w:cs="Times New Roman"/>
          <w:color w:val="auto"/>
          <w:szCs w:val="24"/>
          <w:lang w:eastAsia="zh-CN"/>
        </w:rPr>
        <w:t>）；</w:t>
      </w:r>
    </w:p>
    <w:p w14:paraId="1A031551">
      <w:pPr>
        <w:ind w:firstLine="472"/>
        <w:rPr>
          <w:rFonts w:hint="eastAsia" w:eastAsia="宋体" w:cs="Times New Roman"/>
          <w:color w:val="auto"/>
          <w:szCs w:val="24"/>
          <w:lang w:eastAsia="zh-CN"/>
        </w:rPr>
      </w:pPr>
      <w:r>
        <w:rPr>
          <w:rFonts w:hint="eastAsia" w:cs="Times New Roman"/>
          <w:color w:val="auto"/>
          <w:szCs w:val="24"/>
          <w:lang w:val="en-US" w:eastAsia="zh-CN"/>
        </w:rPr>
        <w:t>（8）</w:t>
      </w:r>
      <w:r>
        <w:rPr>
          <w:rFonts w:hint="eastAsia" w:cs="Times New Roman"/>
          <w:color w:val="auto"/>
          <w:szCs w:val="24"/>
        </w:rPr>
        <w:t>《建设项目环境风险评价技术导则》</w:t>
      </w:r>
      <w:r>
        <w:rPr>
          <w:rFonts w:hint="eastAsia" w:cs="Times New Roman"/>
          <w:color w:val="auto"/>
          <w:szCs w:val="24"/>
          <w:lang w:eastAsia="zh-CN"/>
        </w:rPr>
        <w:t>（</w:t>
      </w:r>
      <w:r>
        <w:rPr>
          <w:rFonts w:hint="eastAsia" w:cs="Times New Roman"/>
          <w:color w:val="auto"/>
          <w:szCs w:val="24"/>
        </w:rPr>
        <w:t>HJ169-2018</w:t>
      </w:r>
      <w:r>
        <w:rPr>
          <w:rFonts w:hint="eastAsia" w:cs="Times New Roman"/>
          <w:color w:val="auto"/>
          <w:szCs w:val="24"/>
          <w:lang w:eastAsia="zh-CN"/>
        </w:rPr>
        <w:t>）；</w:t>
      </w:r>
    </w:p>
    <w:p w14:paraId="52E5DCF5">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9</w:t>
      </w:r>
      <w:r>
        <w:rPr>
          <w:rFonts w:hint="eastAsia" w:cs="Times New Roman"/>
          <w:color w:val="auto"/>
          <w:szCs w:val="24"/>
          <w:lang w:eastAsia="zh-CN"/>
        </w:rPr>
        <w:t>）</w:t>
      </w:r>
      <w:r>
        <w:rPr>
          <w:rFonts w:hint="eastAsia" w:cs="Times New Roman"/>
          <w:color w:val="auto"/>
          <w:szCs w:val="24"/>
        </w:rPr>
        <w:t>《建设项目危险废物环境影响评价指南》</w:t>
      </w:r>
      <w:r>
        <w:rPr>
          <w:rFonts w:hint="eastAsia" w:cs="Times New Roman"/>
          <w:color w:val="auto"/>
          <w:szCs w:val="24"/>
          <w:lang w:eastAsia="zh-CN"/>
        </w:rPr>
        <w:t>（</w:t>
      </w:r>
      <w:r>
        <w:rPr>
          <w:rFonts w:hint="eastAsia" w:cs="Times New Roman"/>
          <w:color w:val="auto"/>
          <w:szCs w:val="24"/>
        </w:rPr>
        <w:t>公告2017年第43号</w:t>
      </w:r>
      <w:r>
        <w:rPr>
          <w:rFonts w:hint="eastAsia" w:cs="Times New Roman"/>
          <w:color w:val="auto"/>
          <w:szCs w:val="24"/>
          <w:lang w:eastAsia="zh-CN"/>
        </w:rPr>
        <w:t>）；</w:t>
      </w:r>
    </w:p>
    <w:p w14:paraId="6D2E7BFC">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10</w:t>
      </w:r>
      <w:r>
        <w:rPr>
          <w:rFonts w:hint="eastAsia" w:cs="Times New Roman"/>
          <w:color w:val="auto"/>
          <w:szCs w:val="24"/>
          <w:lang w:eastAsia="zh-CN"/>
        </w:rPr>
        <w:t>）</w:t>
      </w:r>
      <w:r>
        <w:rPr>
          <w:rFonts w:hint="eastAsia" w:cs="Times New Roman"/>
          <w:color w:val="auto"/>
          <w:szCs w:val="24"/>
        </w:rPr>
        <w:t>《环境影响评价公众参与办法》，2018年7月16日</w:t>
      </w:r>
      <w:r>
        <w:rPr>
          <w:rFonts w:hint="eastAsia" w:cs="Times New Roman"/>
          <w:color w:val="auto"/>
          <w:szCs w:val="24"/>
          <w:lang w:eastAsia="zh-CN"/>
        </w:rPr>
        <w:t>；</w:t>
      </w:r>
    </w:p>
    <w:p w14:paraId="66D98030">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11</w:t>
      </w:r>
      <w:r>
        <w:rPr>
          <w:rFonts w:hint="eastAsia" w:cs="Times New Roman"/>
          <w:color w:val="auto"/>
          <w:szCs w:val="24"/>
          <w:lang w:eastAsia="zh-CN"/>
        </w:rPr>
        <w:t>）</w:t>
      </w:r>
      <w:r>
        <w:rPr>
          <w:rFonts w:hint="eastAsia" w:cs="Times New Roman"/>
          <w:color w:val="auto"/>
          <w:szCs w:val="24"/>
        </w:rPr>
        <w:t>《环境影响评价技术导则</w:t>
      </w:r>
      <w:r>
        <w:rPr>
          <w:rFonts w:hint="eastAsia" w:cs="Times New Roman"/>
          <w:color w:val="auto"/>
          <w:szCs w:val="24"/>
          <w:lang w:val="en-US" w:eastAsia="zh-CN"/>
        </w:rPr>
        <w:t xml:space="preserve"> </w:t>
      </w:r>
      <w:r>
        <w:rPr>
          <w:rFonts w:hint="eastAsia" w:cs="Times New Roman"/>
          <w:color w:val="auto"/>
          <w:szCs w:val="24"/>
        </w:rPr>
        <w:t>地下水环境》</w:t>
      </w:r>
      <w:r>
        <w:rPr>
          <w:rFonts w:hint="eastAsia" w:cs="Times New Roman"/>
          <w:color w:val="auto"/>
          <w:szCs w:val="24"/>
          <w:lang w:eastAsia="zh-CN"/>
        </w:rPr>
        <w:t>（</w:t>
      </w:r>
      <w:r>
        <w:rPr>
          <w:rFonts w:hint="eastAsia" w:cs="Times New Roman"/>
          <w:color w:val="auto"/>
          <w:szCs w:val="24"/>
        </w:rPr>
        <w:t>HJ610-2016</w:t>
      </w:r>
      <w:r>
        <w:rPr>
          <w:rFonts w:hint="eastAsia" w:cs="Times New Roman"/>
          <w:color w:val="auto"/>
          <w:szCs w:val="24"/>
          <w:lang w:eastAsia="zh-CN"/>
        </w:rPr>
        <w:t>）；</w:t>
      </w:r>
    </w:p>
    <w:p w14:paraId="7E542D71">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12</w:t>
      </w:r>
      <w:r>
        <w:rPr>
          <w:rFonts w:hint="eastAsia" w:cs="Times New Roman"/>
          <w:color w:val="auto"/>
          <w:szCs w:val="24"/>
          <w:lang w:eastAsia="zh-CN"/>
        </w:rPr>
        <w:t>）</w:t>
      </w:r>
      <w:r>
        <w:rPr>
          <w:rFonts w:hint="eastAsia" w:cs="Times New Roman"/>
          <w:color w:val="auto"/>
          <w:szCs w:val="24"/>
        </w:rPr>
        <w:t>《水利水电工程环境保护设计概</w:t>
      </w:r>
      <w:r>
        <w:rPr>
          <w:rFonts w:hint="eastAsia" w:cs="Times New Roman"/>
          <w:color w:val="auto"/>
          <w:szCs w:val="24"/>
          <w:lang w:eastAsia="zh-CN"/>
        </w:rPr>
        <w:t>（</w:t>
      </w:r>
      <w:r>
        <w:rPr>
          <w:rFonts w:hint="eastAsia" w:cs="Times New Roman"/>
          <w:color w:val="auto"/>
          <w:szCs w:val="24"/>
        </w:rPr>
        <w:t>估</w:t>
      </w:r>
      <w:r>
        <w:rPr>
          <w:rFonts w:hint="eastAsia" w:cs="Times New Roman"/>
          <w:color w:val="auto"/>
          <w:szCs w:val="24"/>
          <w:lang w:eastAsia="zh-CN"/>
        </w:rPr>
        <w:t>）</w:t>
      </w:r>
      <w:r>
        <w:rPr>
          <w:rFonts w:hint="eastAsia" w:cs="Times New Roman"/>
          <w:color w:val="auto"/>
          <w:szCs w:val="24"/>
        </w:rPr>
        <w:t>算编制规程》</w:t>
      </w:r>
      <w:r>
        <w:rPr>
          <w:rFonts w:hint="eastAsia" w:cs="Times New Roman"/>
          <w:color w:val="auto"/>
          <w:szCs w:val="24"/>
          <w:lang w:eastAsia="zh-CN"/>
        </w:rPr>
        <w:t>（</w:t>
      </w:r>
      <w:r>
        <w:rPr>
          <w:rFonts w:hint="eastAsia" w:cs="Times New Roman"/>
          <w:color w:val="auto"/>
          <w:szCs w:val="24"/>
        </w:rPr>
        <w:t>SL359-2006</w:t>
      </w:r>
      <w:r>
        <w:rPr>
          <w:rFonts w:hint="eastAsia" w:cs="Times New Roman"/>
          <w:color w:val="auto"/>
          <w:szCs w:val="24"/>
          <w:lang w:eastAsia="zh-CN"/>
        </w:rPr>
        <w:t>）；</w:t>
      </w:r>
    </w:p>
    <w:p w14:paraId="7A4F1689">
      <w:pPr>
        <w:ind w:firstLine="472"/>
        <w:rPr>
          <w:rFonts w:hint="eastAsia" w:eastAsia="宋体" w:cs="Times New Roman"/>
          <w:color w:val="auto"/>
          <w:szCs w:val="24"/>
          <w:lang w:eastAsia="zh-CN"/>
        </w:rPr>
      </w:pPr>
      <w:r>
        <w:rPr>
          <w:rFonts w:hint="eastAsia" w:cs="Times New Roman"/>
          <w:color w:val="auto"/>
          <w:szCs w:val="24"/>
          <w:lang w:eastAsia="zh-CN"/>
        </w:rPr>
        <w:t>（</w:t>
      </w:r>
      <w:r>
        <w:rPr>
          <w:rFonts w:hint="eastAsia" w:cs="Times New Roman"/>
          <w:color w:val="auto"/>
          <w:szCs w:val="24"/>
        </w:rPr>
        <w:t>13</w:t>
      </w:r>
      <w:r>
        <w:rPr>
          <w:rFonts w:hint="eastAsia" w:cs="Times New Roman"/>
          <w:color w:val="auto"/>
          <w:szCs w:val="24"/>
          <w:lang w:eastAsia="zh-CN"/>
        </w:rPr>
        <w:t>）</w:t>
      </w:r>
      <w:r>
        <w:rPr>
          <w:rFonts w:hint="eastAsia" w:cs="Times New Roman"/>
          <w:color w:val="auto"/>
          <w:szCs w:val="24"/>
        </w:rPr>
        <w:t>《水利水电工程环境保护设计规范</w:t>
      </w:r>
      <w:r>
        <w:rPr>
          <w:rFonts w:hint="eastAsia" w:cs="Times New Roman"/>
          <w:color w:val="auto"/>
          <w:szCs w:val="24"/>
          <w:lang w:eastAsia="zh-CN"/>
        </w:rPr>
        <w:t>（</w:t>
      </w:r>
      <w:r>
        <w:rPr>
          <w:rFonts w:hint="eastAsia" w:cs="Times New Roman"/>
          <w:color w:val="auto"/>
          <w:szCs w:val="24"/>
        </w:rPr>
        <w:t>SL492-2011</w:t>
      </w:r>
      <w:r>
        <w:rPr>
          <w:rFonts w:hint="eastAsia" w:cs="Times New Roman"/>
          <w:color w:val="auto"/>
          <w:szCs w:val="24"/>
          <w:lang w:eastAsia="zh-CN"/>
        </w:rPr>
        <w:t>）</w:t>
      </w:r>
      <w:r>
        <w:rPr>
          <w:rFonts w:hint="eastAsia" w:cs="Times New Roman"/>
          <w:color w:val="auto"/>
          <w:szCs w:val="24"/>
        </w:rPr>
        <w:t>》</w:t>
      </w:r>
      <w:r>
        <w:rPr>
          <w:rFonts w:hint="eastAsia" w:cs="Times New Roman"/>
          <w:color w:val="auto"/>
          <w:szCs w:val="24"/>
          <w:lang w:eastAsia="zh-CN"/>
        </w:rPr>
        <w:t>；</w:t>
      </w:r>
    </w:p>
    <w:p w14:paraId="31BD4E4A">
      <w:pPr>
        <w:autoSpaceDE w:val="0"/>
        <w:autoSpaceDN w:val="0"/>
        <w:adjustRightInd w:val="0"/>
        <w:spacing w:line="360" w:lineRule="auto"/>
        <w:ind w:firstLine="480" w:firstLineChars="200"/>
        <w:jc w:val="left"/>
        <w:rPr>
          <w:rFonts w:hint="eastAsia" w:cs="Times New Roman"/>
          <w:color w:val="auto"/>
          <w:szCs w:val="24"/>
        </w:rPr>
      </w:pPr>
      <w:r>
        <w:rPr>
          <w:rFonts w:hint="eastAsia" w:cs="Times New Roman"/>
          <w:color w:val="auto"/>
          <w:szCs w:val="24"/>
          <w:lang w:eastAsia="zh-CN"/>
        </w:rPr>
        <w:t>（</w:t>
      </w:r>
      <w:r>
        <w:rPr>
          <w:rFonts w:hint="eastAsia" w:cs="Times New Roman"/>
          <w:color w:val="auto"/>
          <w:szCs w:val="24"/>
        </w:rPr>
        <w:t>14</w:t>
      </w:r>
      <w:r>
        <w:rPr>
          <w:rFonts w:hint="eastAsia" w:cs="Times New Roman"/>
          <w:color w:val="auto"/>
          <w:szCs w:val="24"/>
          <w:lang w:eastAsia="zh-CN"/>
        </w:rPr>
        <w:t>）</w:t>
      </w:r>
      <w:r>
        <w:rPr>
          <w:rFonts w:hint="eastAsia" w:cs="Times New Roman"/>
          <w:color w:val="auto"/>
          <w:szCs w:val="24"/>
        </w:rPr>
        <w:t>《关于印发机场、港口、水利</w:t>
      </w:r>
      <w:r>
        <w:rPr>
          <w:rFonts w:hint="eastAsia" w:cs="Times New Roman"/>
          <w:color w:val="auto"/>
          <w:szCs w:val="24"/>
          <w:lang w:eastAsia="zh-CN"/>
        </w:rPr>
        <w:t>（</w:t>
      </w:r>
      <w:r>
        <w:rPr>
          <w:rFonts w:hint="eastAsia" w:cs="Times New Roman"/>
          <w:color w:val="auto"/>
          <w:szCs w:val="24"/>
        </w:rPr>
        <w:t>河湖整治与防洪除涝工程</w:t>
      </w:r>
      <w:r>
        <w:rPr>
          <w:rFonts w:hint="eastAsia" w:cs="Times New Roman"/>
          <w:color w:val="auto"/>
          <w:szCs w:val="24"/>
          <w:lang w:eastAsia="zh-CN"/>
        </w:rPr>
        <w:t>）</w:t>
      </w:r>
      <w:r>
        <w:rPr>
          <w:rFonts w:hint="eastAsia" w:cs="Times New Roman"/>
          <w:color w:val="auto"/>
          <w:szCs w:val="24"/>
        </w:rPr>
        <w:t>三个行业建设项目环境影响评价文件审批原则的通知》</w:t>
      </w:r>
      <w:r>
        <w:rPr>
          <w:rFonts w:hint="eastAsia" w:cs="Times New Roman"/>
          <w:color w:val="auto"/>
          <w:szCs w:val="24"/>
          <w:lang w:eastAsia="zh-CN"/>
        </w:rPr>
        <w:t>（</w:t>
      </w:r>
      <w:r>
        <w:rPr>
          <w:rFonts w:hint="eastAsia" w:cs="Times New Roman"/>
          <w:color w:val="auto"/>
          <w:szCs w:val="24"/>
        </w:rPr>
        <w:t>环办环评</w:t>
      </w:r>
      <w:r>
        <w:rPr>
          <w:rFonts w:hint="eastAsia" w:cs="Times New Roman"/>
          <w:color w:val="auto"/>
          <w:szCs w:val="24"/>
          <w:lang w:eastAsia="zh-CN"/>
        </w:rPr>
        <w:t>（</w:t>
      </w:r>
      <w:r>
        <w:rPr>
          <w:rFonts w:hint="eastAsia" w:cs="Times New Roman"/>
          <w:color w:val="auto"/>
          <w:szCs w:val="24"/>
        </w:rPr>
        <w:t>2018</w:t>
      </w:r>
      <w:r>
        <w:rPr>
          <w:rFonts w:hint="eastAsia" w:cs="Times New Roman"/>
          <w:color w:val="auto"/>
          <w:szCs w:val="24"/>
          <w:lang w:eastAsia="zh-CN"/>
        </w:rPr>
        <w:t>）</w:t>
      </w:r>
      <w:r>
        <w:rPr>
          <w:rFonts w:hint="eastAsia" w:cs="Times New Roman"/>
          <w:color w:val="auto"/>
          <w:szCs w:val="24"/>
        </w:rPr>
        <w:t>2号</w:t>
      </w:r>
      <w:r>
        <w:rPr>
          <w:rFonts w:hint="eastAsia" w:cs="Times New Roman"/>
          <w:color w:val="auto"/>
          <w:szCs w:val="24"/>
          <w:lang w:eastAsia="zh-CN"/>
        </w:rPr>
        <w:t>）</w:t>
      </w:r>
      <w:r>
        <w:rPr>
          <w:rFonts w:hint="eastAsia" w:cs="Times New Roman"/>
          <w:color w:val="auto"/>
          <w:szCs w:val="24"/>
        </w:rPr>
        <w:t>。</w:t>
      </w:r>
    </w:p>
    <w:p w14:paraId="66AD7B5D">
      <w:pPr>
        <w:pStyle w:val="4"/>
        <w:bidi w:val="0"/>
        <w:rPr>
          <w:rFonts w:hint="eastAsia" w:cs="Times New Roman"/>
          <w:color w:val="auto"/>
          <w:szCs w:val="24"/>
        </w:rPr>
      </w:pPr>
      <w:bookmarkStart w:id="53" w:name="_Toc5886"/>
      <w:r>
        <w:rPr>
          <w:rFonts w:hint="eastAsia" w:cs="Times New Roman"/>
          <w:color w:val="auto"/>
          <w:szCs w:val="24"/>
          <w:lang w:val="en-US" w:eastAsia="zh-CN"/>
        </w:rPr>
        <w:t>相关规划及区划</w:t>
      </w:r>
      <w:bookmarkEnd w:id="53"/>
    </w:p>
    <w:p w14:paraId="686C521B">
      <w:pPr>
        <w:ind w:firstLine="472"/>
        <w:rPr>
          <w:rFonts w:hint="eastAsia" w:cs="Times New Roman"/>
          <w:color w:val="auto"/>
          <w:lang w:eastAsia="zh-CN"/>
        </w:rPr>
      </w:pPr>
      <w:r>
        <w:rPr>
          <w:rFonts w:hint="eastAsia" w:cs="Times New Roman"/>
          <w:color w:val="auto"/>
          <w:lang w:eastAsia="zh-CN"/>
        </w:rPr>
        <w:t>（</w:t>
      </w:r>
      <w:r>
        <w:rPr>
          <w:rFonts w:hint="eastAsia" w:cs="Times New Roman"/>
          <w:color w:val="auto"/>
          <w:lang w:val="en-US" w:eastAsia="zh-CN"/>
        </w:rPr>
        <w:t>1</w:t>
      </w:r>
      <w:r>
        <w:rPr>
          <w:rFonts w:hint="eastAsia" w:cs="Times New Roman"/>
          <w:color w:val="auto"/>
          <w:lang w:eastAsia="zh-CN"/>
        </w:rPr>
        <w:t>）《池州市水利发展“十四五”规划》；</w:t>
      </w:r>
    </w:p>
    <w:p w14:paraId="2AE49742">
      <w:pPr>
        <w:autoSpaceDE w:val="0"/>
        <w:autoSpaceDN w:val="0"/>
        <w:adjustRightInd w:val="0"/>
        <w:spacing w:line="360" w:lineRule="auto"/>
        <w:ind w:firstLine="480" w:firstLineChars="200"/>
        <w:jc w:val="left"/>
        <w:rPr>
          <w:rFonts w:hint="eastAsia" w:cs="Times New Roman"/>
          <w:color w:val="auto"/>
          <w:lang w:eastAsia="zh-CN"/>
        </w:rPr>
      </w:pPr>
      <w:r>
        <w:rPr>
          <w:rFonts w:hint="eastAsia" w:cs="Times New Roman"/>
          <w:color w:val="auto"/>
          <w:lang w:eastAsia="zh-CN"/>
        </w:rPr>
        <w:t>（</w:t>
      </w:r>
      <w:r>
        <w:rPr>
          <w:rFonts w:hint="eastAsia" w:cs="Times New Roman"/>
          <w:color w:val="auto"/>
          <w:lang w:val="en-US" w:eastAsia="zh-CN"/>
        </w:rPr>
        <w:t>2</w:t>
      </w:r>
      <w:r>
        <w:rPr>
          <w:rFonts w:hint="eastAsia" w:cs="Times New Roman"/>
          <w:color w:val="auto"/>
          <w:lang w:eastAsia="zh-CN"/>
        </w:rPr>
        <w:t>）《池州市“十四五”生态环境保护规划》；</w:t>
      </w:r>
    </w:p>
    <w:p w14:paraId="1544AED3">
      <w:pPr>
        <w:autoSpaceDE w:val="0"/>
        <w:autoSpaceDN w:val="0"/>
        <w:adjustRightInd w:val="0"/>
        <w:spacing w:line="360" w:lineRule="auto"/>
        <w:ind w:firstLine="480" w:firstLineChars="200"/>
        <w:jc w:val="left"/>
        <w:rPr>
          <w:rFonts w:hint="default"/>
          <w:color w:val="auto"/>
          <w:lang w:val="en-US" w:eastAsia="zh-CN"/>
        </w:rPr>
      </w:pPr>
      <w:r>
        <w:rPr>
          <w:rFonts w:hint="eastAsia" w:cs="Times New Roman"/>
          <w:color w:val="auto"/>
          <w:lang w:eastAsia="zh-CN"/>
        </w:rPr>
        <w:t>（</w:t>
      </w:r>
      <w:r>
        <w:rPr>
          <w:rFonts w:hint="eastAsia" w:cs="Times New Roman"/>
          <w:color w:val="auto"/>
          <w:lang w:val="en-US" w:eastAsia="zh-CN"/>
        </w:rPr>
        <w:t>3</w:t>
      </w:r>
      <w:r>
        <w:rPr>
          <w:rFonts w:hint="eastAsia" w:cs="Times New Roman"/>
          <w:color w:val="auto"/>
          <w:lang w:eastAsia="zh-CN"/>
        </w:rPr>
        <w:t>）</w:t>
      </w:r>
      <w:r>
        <w:rPr>
          <w:rFonts w:hint="default"/>
          <w:color w:val="auto"/>
          <w:lang w:val="en-US" w:eastAsia="zh-CN"/>
        </w:rPr>
        <w:t>《贵池区“十</w:t>
      </w:r>
      <w:r>
        <w:rPr>
          <w:rFonts w:hint="eastAsia"/>
          <w:color w:val="auto"/>
          <w:lang w:val="en-US" w:eastAsia="zh-CN"/>
        </w:rPr>
        <w:t>四</w:t>
      </w:r>
      <w:r>
        <w:rPr>
          <w:rFonts w:hint="default"/>
          <w:color w:val="auto"/>
          <w:lang w:val="en-US" w:eastAsia="zh-CN"/>
        </w:rPr>
        <w:t>五”生态环境保护规划》</w:t>
      </w:r>
    </w:p>
    <w:p w14:paraId="10FF6808">
      <w:pPr>
        <w:autoSpaceDE w:val="0"/>
        <w:autoSpaceDN w:val="0"/>
        <w:adjustRightInd w:val="0"/>
        <w:spacing w:line="360" w:lineRule="auto"/>
        <w:ind w:firstLine="480" w:firstLineChars="200"/>
        <w:jc w:val="left"/>
        <w:rPr>
          <w:rFonts w:hint="eastAsia"/>
          <w:color w:val="auto"/>
          <w:lang w:val="en-US" w:eastAsia="zh-CN"/>
        </w:rPr>
      </w:pPr>
      <w:r>
        <w:rPr>
          <w:rFonts w:hint="eastAsia" w:cs="Times New Roman"/>
          <w:color w:val="auto"/>
          <w:lang w:eastAsia="zh-CN"/>
        </w:rPr>
        <w:t>（</w:t>
      </w:r>
      <w:r>
        <w:rPr>
          <w:rFonts w:hint="eastAsia" w:cs="Times New Roman"/>
          <w:color w:val="auto"/>
          <w:lang w:val="en-US" w:eastAsia="zh-CN"/>
        </w:rPr>
        <w:t>4</w:t>
      </w:r>
      <w:r>
        <w:rPr>
          <w:rFonts w:hint="eastAsia" w:cs="Times New Roman"/>
          <w:color w:val="auto"/>
          <w:lang w:eastAsia="zh-CN"/>
        </w:rPr>
        <w:t>）</w:t>
      </w:r>
      <w:r>
        <w:rPr>
          <w:rFonts w:hint="default"/>
          <w:color w:val="auto"/>
          <w:lang w:val="en-US" w:eastAsia="zh-CN"/>
        </w:rPr>
        <w:t>《长江经济带生态环境保护规划》</w:t>
      </w:r>
      <w:r>
        <w:rPr>
          <w:rFonts w:hint="eastAsia"/>
          <w:color w:val="auto"/>
          <w:lang w:val="en-US" w:eastAsia="zh-CN"/>
        </w:rPr>
        <w:t>；</w:t>
      </w:r>
    </w:p>
    <w:p w14:paraId="2DAC9FDF">
      <w:pPr>
        <w:autoSpaceDE w:val="0"/>
        <w:autoSpaceDN w:val="0"/>
        <w:adjustRightInd w:val="0"/>
        <w:spacing w:line="360" w:lineRule="auto"/>
        <w:ind w:firstLine="480" w:firstLineChars="200"/>
        <w:jc w:val="left"/>
        <w:rPr>
          <w:rFonts w:hint="eastAsia"/>
          <w:color w:val="auto"/>
          <w:lang w:val="en-US" w:eastAsia="zh-CN"/>
        </w:rPr>
      </w:pPr>
      <w:r>
        <w:rPr>
          <w:rFonts w:hint="eastAsia" w:cs="Times New Roman"/>
          <w:color w:val="auto"/>
          <w:lang w:eastAsia="zh-CN"/>
        </w:rPr>
        <w:t>（</w:t>
      </w:r>
      <w:r>
        <w:rPr>
          <w:rFonts w:hint="eastAsia" w:cs="Times New Roman"/>
          <w:color w:val="auto"/>
          <w:lang w:val="en-US" w:eastAsia="zh-CN"/>
        </w:rPr>
        <w:t>5</w:t>
      </w:r>
      <w:r>
        <w:rPr>
          <w:rFonts w:hint="eastAsia" w:cs="Times New Roman"/>
          <w:color w:val="auto"/>
          <w:lang w:eastAsia="zh-CN"/>
        </w:rPr>
        <w:t>）</w:t>
      </w:r>
      <w:r>
        <w:rPr>
          <w:rFonts w:hint="default"/>
          <w:color w:val="auto"/>
          <w:lang w:val="en-US" w:eastAsia="zh-CN"/>
        </w:rPr>
        <w:t>《“十四五”重点流域水环境综合治理规划》</w:t>
      </w:r>
    </w:p>
    <w:p w14:paraId="0ACA24B7">
      <w:pPr>
        <w:autoSpaceDE w:val="0"/>
        <w:autoSpaceDN w:val="0"/>
        <w:adjustRightInd w:val="0"/>
        <w:spacing w:line="360" w:lineRule="auto"/>
        <w:ind w:firstLine="480" w:firstLineChars="200"/>
        <w:jc w:val="left"/>
        <w:rPr>
          <w:rFonts w:hint="eastAsia"/>
          <w:color w:val="auto"/>
          <w:lang w:val="en-US" w:eastAsia="zh-CN"/>
        </w:rPr>
      </w:pPr>
      <w:r>
        <w:rPr>
          <w:rFonts w:hint="eastAsia" w:cs="Times New Roman"/>
          <w:color w:val="auto"/>
          <w:lang w:eastAsia="zh-CN"/>
        </w:rPr>
        <w:t>（</w:t>
      </w:r>
      <w:r>
        <w:rPr>
          <w:rFonts w:hint="eastAsia" w:cs="Times New Roman"/>
          <w:color w:val="auto"/>
          <w:lang w:val="en-US" w:eastAsia="zh-CN"/>
        </w:rPr>
        <w:t>7</w:t>
      </w:r>
      <w:r>
        <w:rPr>
          <w:rFonts w:hint="eastAsia" w:cs="Times New Roman"/>
          <w:color w:val="auto"/>
          <w:lang w:eastAsia="zh-CN"/>
        </w:rPr>
        <w:t>）</w:t>
      </w:r>
      <w:r>
        <w:rPr>
          <w:rFonts w:hint="eastAsia"/>
          <w:color w:val="auto"/>
          <w:lang w:val="en-US" w:eastAsia="zh-CN"/>
        </w:rPr>
        <w:t>《安徽贵池杏花村省级湿地公园总体规划》；</w:t>
      </w:r>
    </w:p>
    <w:p w14:paraId="0A1F7A2B">
      <w:pPr>
        <w:autoSpaceDE w:val="0"/>
        <w:autoSpaceDN w:val="0"/>
        <w:adjustRightInd w:val="0"/>
        <w:spacing w:line="360" w:lineRule="auto"/>
        <w:ind w:firstLine="480" w:firstLineChars="200"/>
        <w:jc w:val="left"/>
        <w:rPr>
          <w:rFonts w:hint="eastAsia"/>
          <w:color w:val="auto"/>
          <w:lang w:val="en-US" w:eastAsia="zh-CN"/>
        </w:rPr>
      </w:pPr>
      <w:r>
        <w:rPr>
          <w:rFonts w:hint="eastAsia" w:cs="Times New Roman"/>
          <w:color w:val="auto"/>
          <w:lang w:eastAsia="zh-CN"/>
        </w:rPr>
        <w:t>（</w:t>
      </w:r>
      <w:r>
        <w:rPr>
          <w:rFonts w:hint="eastAsia" w:cs="Times New Roman"/>
          <w:color w:val="auto"/>
          <w:lang w:val="en-US" w:eastAsia="zh-CN"/>
        </w:rPr>
        <w:t>8</w:t>
      </w:r>
      <w:r>
        <w:rPr>
          <w:rFonts w:hint="eastAsia" w:cs="Times New Roman"/>
          <w:color w:val="auto"/>
          <w:lang w:eastAsia="zh-CN"/>
        </w:rPr>
        <w:t>）《秋浦仙境风景名胜区总体规划(2017-2030)》；</w:t>
      </w:r>
    </w:p>
    <w:p w14:paraId="3129FA56">
      <w:pPr>
        <w:pStyle w:val="4"/>
        <w:bidi w:val="0"/>
        <w:rPr>
          <w:color w:val="auto"/>
        </w:rPr>
      </w:pPr>
      <w:bookmarkStart w:id="54" w:name="_Toc15723"/>
      <w:r>
        <w:rPr>
          <w:color w:val="auto"/>
        </w:rPr>
        <w:t>项目相关文件及资料</w:t>
      </w:r>
      <w:bookmarkEnd w:id="54"/>
    </w:p>
    <w:p w14:paraId="148AFAC3">
      <w:pPr>
        <w:ind w:firstLine="472"/>
        <w:rPr>
          <w:rFonts w:cs="Times New Roman"/>
          <w:color w:val="auto"/>
        </w:rPr>
      </w:pPr>
      <w:r>
        <w:rPr>
          <w:rFonts w:cs="Times New Roman"/>
          <w:color w:val="auto"/>
        </w:rPr>
        <w:t>（1）项目环境影响评价委托书；</w:t>
      </w:r>
    </w:p>
    <w:p w14:paraId="49AF9094">
      <w:pPr>
        <w:ind w:firstLine="472"/>
        <w:rPr>
          <w:rFonts w:cs="Times New Roman"/>
          <w:color w:val="auto"/>
        </w:rPr>
      </w:pPr>
      <w:r>
        <w:rPr>
          <w:rFonts w:cs="Times New Roman"/>
          <w:bCs/>
          <w:color w:val="auto"/>
        </w:rPr>
        <w:t>（2）</w:t>
      </w:r>
      <w:r>
        <w:rPr>
          <w:rFonts w:hint="eastAsia" w:cs="Times New Roman"/>
          <w:bCs/>
          <w:color w:val="auto"/>
          <w:lang w:eastAsia="zh-CN"/>
        </w:rPr>
        <w:t>《</w:t>
      </w:r>
      <w:r>
        <w:rPr>
          <w:rFonts w:hint="eastAsia" w:cs="Times New Roman"/>
          <w:color w:val="auto"/>
        </w:rPr>
        <w:t>关于秋浦河航道整治工程5#、6#抛泥区抛泥清除恢复项目建议书的批复</w:t>
      </w:r>
      <w:r>
        <w:rPr>
          <w:rFonts w:hint="eastAsia" w:cs="Times New Roman"/>
          <w:bCs/>
          <w:color w:val="auto"/>
          <w:lang w:eastAsia="zh-CN"/>
        </w:rPr>
        <w:t>》贵发改审批〔2024〕554号</w:t>
      </w:r>
      <w:r>
        <w:rPr>
          <w:rFonts w:cs="Times New Roman"/>
          <w:color w:val="auto"/>
        </w:rPr>
        <w:t>；</w:t>
      </w:r>
    </w:p>
    <w:p w14:paraId="119AF035">
      <w:pPr>
        <w:ind w:firstLine="472"/>
        <w:rPr>
          <w:rFonts w:cs="Times New Roman"/>
          <w:color w:val="auto"/>
        </w:rPr>
      </w:pPr>
      <w:r>
        <w:rPr>
          <w:rFonts w:cs="Times New Roman"/>
          <w:color w:val="auto"/>
        </w:rPr>
        <w:t>（3）</w:t>
      </w:r>
      <w:r>
        <w:rPr>
          <w:rFonts w:hint="eastAsia" w:cs="Times New Roman"/>
          <w:color w:val="auto"/>
          <w:lang w:eastAsia="zh-CN"/>
        </w:rPr>
        <w:t>《</w:t>
      </w:r>
      <w:r>
        <w:rPr>
          <w:rFonts w:hint="eastAsia" w:cs="Times New Roman"/>
          <w:color w:val="auto"/>
        </w:rPr>
        <w:t>秋浦河航道整治工程5号、6号抛泥区抛泥清除恢复项目专项设计</w:t>
      </w:r>
      <w:r>
        <w:rPr>
          <w:rFonts w:hint="eastAsia" w:cs="Times New Roman"/>
          <w:color w:val="auto"/>
          <w:lang w:eastAsia="zh-CN"/>
        </w:rPr>
        <w:t>》</w:t>
      </w:r>
      <w:r>
        <w:rPr>
          <w:rFonts w:cs="Times New Roman"/>
          <w:color w:val="auto"/>
        </w:rPr>
        <w:t>；</w:t>
      </w:r>
    </w:p>
    <w:p w14:paraId="2AC599CA">
      <w:pPr>
        <w:bidi w:val="0"/>
        <w:rPr>
          <w:rFonts w:hint="default" w:ascii="Times New Roman" w:hAnsi="Times New Roman"/>
          <w:color w:val="auto"/>
          <w:sz w:val="24"/>
          <w:szCs w:val="24"/>
          <w:lang w:val="en-US" w:eastAsia="zh-CN"/>
        </w:rPr>
      </w:pPr>
      <w:r>
        <w:rPr>
          <w:rFonts w:cs="Times New Roman"/>
          <w:color w:val="auto"/>
          <w:szCs w:val="22"/>
        </w:rPr>
        <w:t>（</w:t>
      </w:r>
      <w:r>
        <w:rPr>
          <w:rFonts w:hint="eastAsia" w:cs="Times New Roman"/>
          <w:color w:val="auto"/>
          <w:szCs w:val="22"/>
          <w:lang w:val="en-US" w:eastAsia="zh-CN"/>
        </w:rPr>
        <w:t>4</w:t>
      </w:r>
      <w:r>
        <w:rPr>
          <w:rFonts w:cs="Times New Roman"/>
          <w:color w:val="auto"/>
          <w:szCs w:val="22"/>
        </w:rPr>
        <w:t>）</w:t>
      </w:r>
      <w:r>
        <w:rPr>
          <w:rFonts w:hint="eastAsia" w:cs="Times New Roman"/>
          <w:color w:val="auto"/>
          <w:szCs w:val="22"/>
        </w:rPr>
        <w:t>池州市贵池区交通运输局是</w:t>
      </w:r>
      <w:r>
        <w:rPr>
          <w:rFonts w:cs="Times New Roman"/>
          <w:color w:val="auto"/>
          <w:szCs w:val="22"/>
        </w:rPr>
        <w:t>提供的其他资料。</w:t>
      </w:r>
    </w:p>
    <w:p w14:paraId="44F74D92">
      <w:pPr>
        <w:pStyle w:val="3"/>
        <w:bidi w:val="0"/>
        <w:ind w:left="480" w:leftChars="0" w:firstLineChars="0"/>
        <w:rPr>
          <w:color w:val="auto"/>
        </w:rPr>
      </w:pPr>
      <w:bookmarkStart w:id="55" w:name="_Toc69228868"/>
      <w:bookmarkStart w:id="56" w:name="_Toc26501"/>
      <w:r>
        <w:rPr>
          <w:color w:val="auto"/>
        </w:rPr>
        <w:t>评价因子与评价标准</w:t>
      </w:r>
      <w:bookmarkEnd w:id="55"/>
      <w:bookmarkEnd w:id="56"/>
    </w:p>
    <w:p w14:paraId="5F1ED502">
      <w:pPr>
        <w:pStyle w:val="4"/>
        <w:bidi w:val="0"/>
        <w:rPr>
          <w:color w:val="auto"/>
        </w:rPr>
      </w:pPr>
      <w:bookmarkStart w:id="57" w:name="_Toc7048"/>
      <w:r>
        <w:rPr>
          <w:color w:val="auto"/>
        </w:rPr>
        <w:t>环境影响识别</w:t>
      </w:r>
      <w:bookmarkEnd w:id="57"/>
    </w:p>
    <w:p w14:paraId="5372F535">
      <w:pPr>
        <w:autoSpaceDE w:val="0"/>
        <w:autoSpaceDN w:val="0"/>
        <w:adjustRightIn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根据本项目的工程特点，通过初步分析识别环境因素，并依据污染物排放量的大小等，筛选本评价的各项评价因子汇总见下表。</w:t>
      </w:r>
    </w:p>
    <w:p w14:paraId="68EC8216">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ascii="Times New Roman" w:hAnsi="Times New Roman"/>
          <w:b/>
          <w:color w:val="auto"/>
          <w:sz w:val="21"/>
          <w:szCs w:val="21"/>
        </w:rPr>
        <w:t>项目环境影响识别汇总表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7"/>
        <w:gridCol w:w="1353"/>
        <w:gridCol w:w="402"/>
        <w:gridCol w:w="414"/>
        <w:gridCol w:w="404"/>
        <w:gridCol w:w="427"/>
        <w:gridCol w:w="427"/>
        <w:gridCol w:w="474"/>
        <w:gridCol w:w="427"/>
        <w:gridCol w:w="427"/>
        <w:gridCol w:w="427"/>
        <w:gridCol w:w="435"/>
        <w:gridCol w:w="474"/>
        <w:gridCol w:w="474"/>
        <w:gridCol w:w="381"/>
        <w:gridCol w:w="381"/>
        <w:gridCol w:w="386"/>
      </w:tblGrid>
      <w:tr w14:paraId="45A6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restart"/>
            <w:shd w:val="clear" w:color="auto" w:fill="auto"/>
            <w:vAlign w:val="center"/>
          </w:tcPr>
          <w:p w14:paraId="11C1224B">
            <w:pPr>
              <w:pStyle w:val="31"/>
              <w:bidi w:val="0"/>
              <w:rPr>
                <w:b w:val="0"/>
                <w:bCs/>
                <w:color w:val="auto"/>
              </w:rPr>
            </w:pPr>
            <w:r>
              <w:rPr>
                <w:b w:val="0"/>
                <w:bCs/>
                <w:color w:val="auto"/>
              </w:rPr>
              <w:t>工程时段</w:t>
            </w:r>
          </w:p>
        </w:tc>
        <w:tc>
          <w:tcPr>
            <w:tcW w:w="814" w:type="pct"/>
            <w:vMerge w:val="restart"/>
            <w:shd w:val="clear" w:color="auto" w:fill="auto"/>
            <w:vAlign w:val="center"/>
          </w:tcPr>
          <w:p w14:paraId="5BCE3FBF">
            <w:pPr>
              <w:pStyle w:val="31"/>
              <w:bidi w:val="0"/>
              <w:rPr>
                <w:b w:val="0"/>
                <w:bCs/>
                <w:color w:val="auto"/>
              </w:rPr>
            </w:pPr>
            <w:r>
              <w:rPr>
                <w:b w:val="0"/>
                <w:bCs/>
                <w:color w:val="auto"/>
              </w:rPr>
              <w:t>污染类别</w:t>
            </w:r>
          </w:p>
        </w:tc>
        <w:tc>
          <w:tcPr>
            <w:tcW w:w="2566" w:type="pct"/>
            <w:gridSpan w:val="10"/>
            <w:shd w:val="clear" w:color="auto" w:fill="auto"/>
            <w:vAlign w:val="center"/>
          </w:tcPr>
          <w:p w14:paraId="6F65687E">
            <w:pPr>
              <w:pStyle w:val="31"/>
              <w:bidi w:val="0"/>
              <w:rPr>
                <w:b w:val="0"/>
                <w:bCs/>
                <w:color w:val="auto"/>
              </w:rPr>
            </w:pPr>
            <w:r>
              <w:rPr>
                <w:b w:val="0"/>
                <w:bCs/>
                <w:color w:val="auto"/>
              </w:rPr>
              <w:t>影响类型</w:t>
            </w:r>
          </w:p>
        </w:tc>
        <w:tc>
          <w:tcPr>
            <w:tcW w:w="1260" w:type="pct"/>
            <w:gridSpan w:val="5"/>
            <w:shd w:val="clear" w:color="auto" w:fill="auto"/>
            <w:vAlign w:val="center"/>
          </w:tcPr>
          <w:p w14:paraId="0D1ABA9E">
            <w:pPr>
              <w:pStyle w:val="31"/>
              <w:bidi w:val="0"/>
              <w:rPr>
                <w:b w:val="0"/>
                <w:bCs/>
                <w:color w:val="auto"/>
              </w:rPr>
            </w:pPr>
            <w:r>
              <w:rPr>
                <w:b w:val="0"/>
                <w:bCs/>
                <w:color w:val="auto"/>
              </w:rPr>
              <w:t>影响程度</w:t>
            </w:r>
          </w:p>
        </w:tc>
      </w:tr>
      <w:tr w14:paraId="756E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24C9722D">
            <w:pPr>
              <w:pStyle w:val="31"/>
              <w:bidi w:val="0"/>
              <w:rPr>
                <w:b w:val="0"/>
                <w:bCs/>
                <w:color w:val="auto"/>
              </w:rPr>
            </w:pPr>
          </w:p>
        </w:tc>
        <w:tc>
          <w:tcPr>
            <w:tcW w:w="814" w:type="pct"/>
            <w:vMerge w:val="continue"/>
            <w:shd w:val="clear" w:color="auto" w:fill="auto"/>
            <w:vAlign w:val="center"/>
          </w:tcPr>
          <w:p w14:paraId="651F4358">
            <w:pPr>
              <w:pStyle w:val="31"/>
              <w:bidi w:val="0"/>
              <w:rPr>
                <w:b w:val="0"/>
                <w:bCs/>
                <w:color w:val="auto"/>
              </w:rPr>
            </w:pPr>
          </w:p>
        </w:tc>
        <w:tc>
          <w:tcPr>
            <w:tcW w:w="242" w:type="pct"/>
            <w:vMerge w:val="restart"/>
            <w:shd w:val="clear" w:color="auto" w:fill="auto"/>
            <w:vAlign w:val="center"/>
          </w:tcPr>
          <w:p w14:paraId="28AA8372">
            <w:pPr>
              <w:pStyle w:val="31"/>
              <w:bidi w:val="0"/>
              <w:rPr>
                <w:b w:val="0"/>
                <w:bCs/>
                <w:color w:val="auto"/>
              </w:rPr>
            </w:pPr>
            <w:r>
              <w:rPr>
                <w:b w:val="0"/>
                <w:bCs/>
                <w:color w:val="auto"/>
              </w:rPr>
              <w:t>可逆</w:t>
            </w:r>
          </w:p>
        </w:tc>
        <w:tc>
          <w:tcPr>
            <w:tcW w:w="249" w:type="pct"/>
            <w:vMerge w:val="restart"/>
            <w:shd w:val="clear" w:color="auto" w:fill="auto"/>
            <w:vAlign w:val="center"/>
          </w:tcPr>
          <w:p w14:paraId="378C6EDD">
            <w:pPr>
              <w:pStyle w:val="31"/>
              <w:bidi w:val="0"/>
              <w:rPr>
                <w:b w:val="0"/>
                <w:bCs/>
                <w:color w:val="auto"/>
              </w:rPr>
            </w:pPr>
            <w:r>
              <w:rPr>
                <w:b w:val="0"/>
                <w:bCs/>
                <w:color w:val="auto"/>
              </w:rPr>
              <w:t>不可逆</w:t>
            </w:r>
          </w:p>
        </w:tc>
        <w:tc>
          <w:tcPr>
            <w:tcW w:w="243" w:type="pct"/>
            <w:vMerge w:val="restart"/>
            <w:shd w:val="clear" w:color="auto" w:fill="auto"/>
            <w:vAlign w:val="center"/>
          </w:tcPr>
          <w:p w14:paraId="20D328D0">
            <w:pPr>
              <w:pStyle w:val="31"/>
              <w:bidi w:val="0"/>
              <w:rPr>
                <w:b w:val="0"/>
                <w:bCs/>
                <w:color w:val="auto"/>
              </w:rPr>
            </w:pPr>
            <w:r>
              <w:rPr>
                <w:b w:val="0"/>
                <w:bCs/>
                <w:color w:val="auto"/>
              </w:rPr>
              <w:t>长期</w:t>
            </w:r>
          </w:p>
        </w:tc>
        <w:tc>
          <w:tcPr>
            <w:tcW w:w="257" w:type="pct"/>
            <w:vMerge w:val="restart"/>
            <w:shd w:val="clear" w:color="auto" w:fill="auto"/>
            <w:vAlign w:val="center"/>
          </w:tcPr>
          <w:p w14:paraId="468D62BF">
            <w:pPr>
              <w:pStyle w:val="31"/>
              <w:bidi w:val="0"/>
              <w:rPr>
                <w:b w:val="0"/>
                <w:bCs/>
                <w:color w:val="auto"/>
              </w:rPr>
            </w:pPr>
            <w:r>
              <w:rPr>
                <w:b w:val="0"/>
                <w:bCs/>
                <w:color w:val="auto"/>
              </w:rPr>
              <w:t>短期</w:t>
            </w:r>
          </w:p>
        </w:tc>
        <w:tc>
          <w:tcPr>
            <w:tcW w:w="257" w:type="pct"/>
            <w:vMerge w:val="restart"/>
            <w:shd w:val="clear" w:color="auto" w:fill="auto"/>
            <w:vAlign w:val="center"/>
          </w:tcPr>
          <w:p w14:paraId="25A827E4">
            <w:pPr>
              <w:pStyle w:val="31"/>
              <w:bidi w:val="0"/>
              <w:rPr>
                <w:b w:val="0"/>
                <w:bCs/>
                <w:color w:val="auto"/>
              </w:rPr>
            </w:pPr>
            <w:r>
              <w:rPr>
                <w:b w:val="0"/>
                <w:bCs/>
                <w:color w:val="auto"/>
              </w:rPr>
              <w:t>局部</w:t>
            </w:r>
          </w:p>
        </w:tc>
        <w:tc>
          <w:tcPr>
            <w:tcW w:w="285" w:type="pct"/>
            <w:vMerge w:val="restart"/>
            <w:shd w:val="clear" w:color="auto" w:fill="auto"/>
            <w:vAlign w:val="center"/>
          </w:tcPr>
          <w:p w14:paraId="7FEBB902">
            <w:pPr>
              <w:pStyle w:val="31"/>
              <w:bidi w:val="0"/>
              <w:rPr>
                <w:b w:val="0"/>
                <w:bCs/>
                <w:color w:val="auto"/>
              </w:rPr>
            </w:pPr>
            <w:r>
              <w:rPr>
                <w:b w:val="0"/>
                <w:bCs/>
                <w:color w:val="auto"/>
              </w:rPr>
              <w:t>大范围</w:t>
            </w:r>
          </w:p>
        </w:tc>
        <w:tc>
          <w:tcPr>
            <w:tcW w:w="257" w:type="pct"/>
            <w:vMerge w:val="restart"/>
            <w:shd w:val="clear" w:color="auto" w:fill="auto"/>
            <w:vAlign w:val="center"/>
          </w:tcPr>
          <w:p w14:paraId="7CBFE98F">
            <w:pPr>
              <w:pStyle w:val="31"/>
              <w:bidi w:val="0"/>
              <w:rPr>
                <w:b w:val="0"/>
                <w:bCs/>
                <w:color w:val="auto"/>
              </w:rPr>
            </w:pPr>
            <w:r>
              <w:rPr>
                <w:b w:val="0"/>
                <w:bCs/>
                <w:color w:val="auto"/>
              </w:rPr>
              <w:t>直接</w:t>
            </w:r>
          </w:p>
        </w:tc>
        <w:tc>
          <w:tcPr>
            <w:tcW w:w="257" w:type="pct"/>
            <w:vMerge w:val="restart"/>
            <w:shd w:val="clear" w:color="auto" w:fill="auto"/>
            <w:vAlign w:val="center"/>
          </w:tcPr>
          <w:p w14:paraId="7C891D01">
            <w:pPr>
              <w:pStyle w:val="31"/>
              <w:bidi w:val="0"/>
              <w:rPr>
                <w:b w:val="0"/>
                <w:bCs/>
                <w:color w:val="auto"/>
              </w:rPr>
            </w:pPr>
            <w:r>
              <w:rPr>
                <w:b w:val="0"/>
                <w:bCs/>
                <w:color w:val="auto"/>
              </w:rPr>
              <w:t>间接</w:t>
            </w:r>
          </w:p>
        </w:tc>
        <w:tc>
          <w:tcPr>
            <w:tcW w:w="257" w:type="pct"/>
            <w:vMerge w:val="restart"/>
            <w:shd w:val="clear" w:color="auto" w:fill="auto"/>
            <w:vAlign w:val="center"/>
          </w:tcPr>
          <w:p w14:paraId="298B8AD3">
            <w:pPr>
              <w:pStyle w:val="31"/>
              <w:bidi w:val="0"/>
              <w:rPr>
                <w:b w:val="0"/>
                <w:bCs/>
                <w:color w:val="auto"/>
              </w:rPr>
            </w:pPr>
            <w:r>
              <w:rPr>
                <w:b w:val="0"/>
                <w:bCs/>
                <w:color w:val="auto"/>
              </w:rPr>
              <w:t>有利</w:t>
            </w:r>
          </w:p>
        </w:tc>
        <w:tc>
          <w:tcPr>
            <w:tcW w:w="262" w:type="pct"/>
            <w:vMerge w:val="restart"/>
            <w:shd w:val="clear" w:color="auto" w:fill="auto"/>
            <w:vAlign w:val="center"/>
          </w:tcPr>
          <w:p w14:paraId="19DBC0D5">
            <w:pPr>
              <w:pStyle w:val="31"/>
              <w:bidi w:val="0"/>
              <w:rPr>
                <w:b w:val="0"/>
                <w:bCs/>
                <w:color w:val="auto"/>
              </w:rPr>
            </w:pPr>
            <w:r>
              <w:rPr>
                <w:b w:val="0"/>
                <w:bCs/>
                <w:color w:val="auto"/>
              </w:rPr>
              <w:t>不利</w:t>
            </w:r>
          </w:p>
        </w:tc>
        <w:tc>
          <w:tcPr>
            <w:tcW w:w="285" w:type="pct"/>
            <w:vMerge w:val="restart"/>
            <w:shd w:val="clear" w:color="auto" w:fill="auto"/>
            <w:vAlign w:val="center"/>
          </w:tcPr>
          <w:p w14:paraId="502E756C">
            <w:pPr>
              <w:pStyle w:val="31"/>
              <w:bidi w:val="0"/>
              <w:rPr>
                <w:b w:val="0"/>
                <w:bCs/>
                <w:color w:val="auto"/>
              </w:rPr>
            </w:pPr>
            <w:r>
              <w:rPr>
                <w:b w:val="0"/>
                <w:bCs/>
                <w:color w:val="auto"/>
              </w:rPr>
              <w:t>不确定</w:t>
            </w:r>
          </w:p>
        </w:tc>
        <w:tc>
          <w:tcPr>
            <w:tcW w:w="285" w:type="pct"/>
            <w:vMerge w:val="restart"/>
            <w:shd w:val="clear" w:color="auto" w:fill="auto"/>
            <w:vAlign w:val="center"/>
          </w:tcPr>
          <w:p w14:paraId="5BFF6FD4">
            <w:pPr>
              <w:pStyle w:val="31"/>
              <w:bidi w:val="0"/>
              <w:rPr>
                <w:b w:val="0"/>
                <w:bCs/>
                <w:color w:val="auto"/>
              </w:rPr>
            </w:pPr>
            <w:r>
              <w:rPr>
                <w:b w:val="0"/>
                <w:bCs/>
                <w:color w:val="auto"/>
              </w:rPr>
              <w:t>不显著</w:t>
            </w:r>
          </w:p>
        </w:tc>
        <w:tc>
          <w:tcPr>
            <w:tcW w:w="690" w:type="pct"/>
            <w:gridSpan w:val="3"/>
            <w:shd w:val="clear" w:color="auto" w:fill="auto"/>
            <w:vAlign w:val="center"/>
          </w:tcPr>
          <w:p w14:paraId="2FBEAB80">
            <w:pPr>
              <w:pStyle w:val="31"/>
              <w:bidi w:val="0"/>
              <w:rPr>
                <w:b w:val="0"/>
                <w:bCs/>
                <w:color w:val="auto"/>
              </w:rPr>
            </w:pPr>
            <w:r>
              <w:rPr>
                <w:b w:val="0"/>
                <w:bCs/>
                <w:color w:val="auto"/>
              </w:rPr>
              <w:t>显著</w:t>
            </w:r>
          </w:p>
        </w:tc>
      </w:tr>
      <w:tr w14:paraId="7FA2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6921BBE2">
            <w:pPr>
              <w:pStyle w:val="31"/>
              <w:bidi w:val="0"/>
              <w:rPr>
                <w:b w:val="0"/>
                <w:bCs/>
                <w:color w:val="auto"/>
              </w:rPr>
            </w:pPr>
          </w:p>
        </w:tc>
        <w:tc>
          <w:tcPr>
            <w:tcW w:w="814" w:type="pct"/>
            <w:vMerge w:val="continue"/>
            <w:shd w:val="clear" w:color="auto" w:fill="auto"/>
            <w:vAlign w:val="center"/>
          </w:tcPr>
          <w:p w14:paraId="79F13575">
            <w:pPr>
              <w:pStyle w:val="31"/>
              <w:bidi w:val="0"/>
              <w:rPr>
                <w:b w:val="0"/>
                <w:bCs/>
                <w:color w:val="auto"/>
              </w:rPr>
            </w:pPr>
          </w:p>
        </w:tc>
        <w:tc>
          <w:tcPr>
            <w:tcW w:w="242" w:type="pct"/>
            <w:vMerge w:val="continue"/>
            <w:shd w:val="clear" w:color="auto" w:fill="auto"/>
            <w:vAlign w:val="center"/>
          </w:tcPr>
          <w:p w14:paraId="4B2E0382">
            <w:pPr>
              <w:pStyle w:val="31"/>
              <w:bidi w:val="0"/>
              <w:rPr>
                <w:b w:val="0"/>
                <w:bCs/>
                <w:color w:val="auto"/>
              </w:rPr>
            </w:pPr>
          </w:p>
        </w:tc>
        <w:tc>
          <w:tcPr>
            <w:tcW w:w="249" w:type="pct"/>
            <w:vMerge w:val="continue"/>
            <w:shd w:val="clear" w:color="auto" w:fill="auto"/>
            <w:vAlign w:val="center"/>
          </w:tcPr>
          <w:p w14:paraId="3DD38AD2">
            <w:pPr>
              <w:pStyle w:val="31"/>
              <w:bidi w:val="0"/>
              <w:rPr>
                <w:b w:val="0"/>
                <w:bCs/>
                <w:color w:val="auto"/>
              </w:rPr>
            </w:pPr>
          </w:p>
        </w:tc>
        <w:tc>
          <w:tcPr>
            <w:tcW w:w="243" w:type="pct"/>
            <w:vMerge w:val="continue"/>
            <w:shd w:val="clear" w:color="auto" w:fill="auto"/>
            <w:vAlign w:val="center"/>
          </w:tcPr>
          <w:p w14:paraId="118C29C8">
            <w:pPr>
              <w:pStyle w:val="31"/>
              <w:bidi w:val="0"/>
              <w:rPr>
                <w:b w:val="0"/>
                <w:bCs/>
                <w:color w:val="auto"/>
              </w:rPr>
            </w:pPr>
          </w:p>
        </w:tc>
        <w:tc>
          <w:tcPr>
            <w:tcW w:w="257" w:type="pct"/>
            <w:vMerge w:val="continue"/>
            <w:shd w:val="clear" w:color="auto" w:fill="auto"/>
            <w:vAlign w:val="center"/>
          </w:tcPr>
          <w:p w14:paraId="3A38015A">
            <w:pPr>
              <w:pStyle w:val="31"/>
              <w:bidi w:val="0"/>
              <w:rPr>
                <w:b w:val="0"/>
                <w:bCs/>
                <w:color w:val="auto"/>
              </w:rPr>
            </w:pPr>
          </w:p>
        </w:tc>
        <w:tc>
          <w:tcPr>
            <w:tcW w:w="257" w:type="pct"/>
            <w:vMerge w:val="continue"/>
            <w:shd w:val="clear" w:color="auto" w:fill="auto"/>
            <w:vAlign w:val="center"/>
          </w:tcPr>
          <w:p w14:paraId="3BE4E074">
            <w:pPr>
              <w:pStyle w:val="31"/>
              <w:bidi w:val="0"/>
              <w:rPr>
                <w:b w:val="0"/>
                <w:bCs/>
                <w:color w:val="auto"/>
              </w:rPr>
            </w:pPr>
          </w:p>
        </w:tc>
        <w:tc>
          <w:tcPr>
            <w:tcW w:w="285" w:type="pct"/>
            <w:vMerge w:val="continue"/>
            <w:shd w:val="clear" w:color="auto" w:fill="auto"/>
            <w:vAlign w:val="center"/>
          </w:tcPr>
          <w:p w14:paraId="3974A1F7">
            <w:pPr>
              <w:pStyle w:val="31"/>
              <w:bidi w:val="0"/>
              <w:rPr>
                <w:b w:val="0"/>
                <w:bCs/>
                <w:color w:val="auto"/>
              </w:rPr>
            </w:pPr>
          </w:p>
        </w:tc>
        <w:tc>
          <w:tcPr>
            <w:tcW w:w="257" w:type="pct"/>
            <w:vMerge w:val="continue"/>
            <w:shd w:val="clear" w:color="auto" w:fill="auto"/>
            <w:vAlign w:val="center"/>
          </w:tcPr>
          <w:p w14:paraId="2E3242B3">
            <w:pPr>
              <w:pStyle w:val="31"/>
              <w:bidi w:val="0"/>
              <w:rPr>
                <w:b w:val="0"/>
                <w:bCs/>
                <w:color w:val="auto"/>
              </w:rPr>
            </w:pPr>
          </w:p>
        </w:tc>
        <w:tc>
          <w:tcPr>
            <w:tcW w:w="257" w:type="pct"/>
            <w:vMerge w:val="continue"/>
            <w:shd w:val="clear" w:color="auto" w:fill="auto"/>
            <w:vAlign w:val="center"/>
          </w:tcPr>
          <w:p w14:paraId="3915504A">
            <w:pPr>
              <w:pStyle w:val="31"/>
              <w:bidi w:val="0"/>
              <w:rPr>
                <w:b w:val="0"/>
                <w:bCs/>
                <w:color w:val="auto"/>
              </w:rPr>
            </w:pPr>
          </w:p>
        </w:tc>
        <w:tc>
          <w:tcPr>
            <w:tcW w:w="257" w:type="pct"/>
            <w:vMerge w:val="continue"/>
            <w:shd w:val="clear" w:color="auto" w:fill="auto"/>
            <w:vAlign w:val="center"/>
          </w:tcPr>
          <w:p w14:paraId="03973EF5">
            <w:pPr>
              <w:pStyle w:val="31"/>
              <w:bidi w:val="0"/>
              <w:rPr>
                <w:b w:val="0"/>
                <w:bCs/>
                <w:color w:val="auto"/>
              </w:rPr>
            </w:pPr>
          </w:p>
        </w:tc>
        <w:tc>
          <w:tcPr>
            <w:tcW w:w="262" w:type="pct"/>
            <w:vMerge w:val="continue"/>
            <w:shd w:val="clear" w:color="auto" w:fill="auto"/>
            <w:vAlign w:val="center"/>
          </w:tcPr>
          <w:p w14:paraId="6AAD7148">
            <w:pPr>
              <w:pStyle w:val="31"/>
              <w:bidi w:val="0"/>
              <w:rPr>
                <w:b w:val="0"/>
                <w:bCs/>
                <w:color w:val="auto"/>
              </w:rPr>
            </w:pPr>
          </w:p>
        </w:tc>
        <w:tc>
          <w:tcPr>
            <w:tcW w:w="285" w:type="pct"/>
            <w:vMerge w:val="continue"/>
            <w:shd w:val="clear" w:color="auto" w:fill="auto"/>
            <w:vAlign w:val="center"/>
          </w:tcPr>
          <w:p w14:paraId="72E6758C">
            <w:pPr>
              <w:pStyle w:val="31"/>
              <w:bidi w:val="0"/>
              <w:rPr>
                <w:b w:val="0"/>
                <w:bCs/>
                <w:color w:val="auto"/>
              </w:rPr>
            </w:pPr>
          </w:p>
        </w:tc>
        <w:tc>
          <w:tcPr>
            <w:tcW w:w="285" w:type="pct"/>
            <w:vMerge w:val="continue"/>
            <w:shd w:val="clear" w:color="auto" w:fill="auto"/>
            <w:vAlign w:val="center"/>
          </w:tcPr>
          <w:p w14:paraId="055C9778">
            <w:pPr>
              <w:pStyle w:val="31"/>
              <w:bidi w:val="0"/>
              <w:rPr>
                <w:b w:val="0"/>
                <w:bCs/>
                <w:color w:val="auto"/>
              </w:rPr>
            </w:pPr>
          </w:p>
        </w:tc>
        <w:tc>
          <w:tcPr>
            <w:tcW w:w="229" w:type="pct"/>
            <w:shd w:val="clear" w:color="auto" w:fill="auto"/>
            <w:vAlign w:val="center"/>
          </w:tcPr>
          <w:p w14:paraId="425985F1">
            <w:pPr>
              <w:pStyle w:val="31"/>
              <w:bidi w:val="0"/>
              <w:rPr>
                <w:b w:val="0"/>
                <w:bCs/>
                <w:color w:val="auto"/>
              </w:rPr>
            </w:pPr>
            <w:r>
              <w:rPr>
                <w:b w:val="0"/>
                <w:bCs/>
                <w:color w:val="auto"/>
              </w:rPr>
              <w:t>小</w:t>
            </w:r>
          </w:p>
        </w:tc>
        <w:tc>
          <w:tcPr>
            <w:tcW w:w="229" w:type="pct"/>
            <w:shd w:val="clear" w:color="auto" w:fill="auto"/>
            <w:vAlign w:val="center"/>
          </w:tcPr>
          <w:p w14:paraId="592FA95B">
            <w:pPr>
              <w:pStyle w:val="31"/>
              <w:bidi w:val="0"/>
              <w:rPr>
                <w:b w:val="0"/>
                <w:bCs/>
                <w:color w:val="auto"/>
              </w:rPr>
            </w:pPr>
            <w:r>
              <w:rPr>
                <w:b w:val="0"/>
                <w:bCs/>
                <w:color w:val="auto"/>
              </w:rPr>
              <w:t>中</w:t>
            </w:r>
          </w:p>
        </w:tc>
        <w:tc>
          <w:tcPr>
            <w:tcW w:w="232" w:type="pct"/>
            <w:shd w:val="clear" w:color="auto" w:fill="auto"/>
            <w:vAlign w:val="center"/>
          </w:tcPr>
          <w:p w14:paraId="35D0AAB7">
            <w:pPr>
              <w:pStyle w:val="31"/>
              <w:bidi w:val="0"/>
              <w:rPr>
                <w:b w:val="0"/>
                <w:bCs/>
                <w:color w:val="auto"/>
              </w:rPr>
            </w:pPr>
            <w:r>
              <w:rPr>
                <w:b w:val="0"/>
                <w:bCs/>
                <w:color w:val="auto"/>
              </w:rPr>
              <w:t>大</w:t>
            </w:r>
          </w:p>
        </w:tc>
      </w:tr>
      <w:tr w14:paraId="3568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restart"/>
            <w:shd w:val="clear" w:color="auto" w:fill="auto"/>
            <w:vAlign w:val="center"/>
          </w:tcPr>
          <w:p w14:paraId="6F366C83">
            <w:pPr>
              <w:pStyle w:val="31"/>
              <w:bidi w:val="0"/>
              <w:rPr>
                <w:b w:val="0"/>
                <w:bCs/>
                <w:color w:val="auto"/>
              </w:rPr>
            </w:pPr>
            <w:r>
              <w:rPr>
                <w:b w:val="0"/>
                <w:bCs/>
                <w:color w:val="auto"/>
              </w:rPr>
              <w:t>施工期</w:t>
            </w:r>
          </w:p>
        </w:tc>
        <w:tc>
          <w:tcPr>
            <w:tcW w:w="814" w:type="pct"/>
            <w:shd w:val="clear" w:color="auto" w:fill="auto"/>
            <w:vAlign w:val="center"/>
          </w:tcPr>
          <w:p w14:paraId="4FDE1098">
            <w:pPr>
              <w:pStyle w:val="31"/>
              <w:bidi w:val="0"/>
              <w:rPr>
                <w:b w:val="0"/>
                <w:bCs/>
                <w:color w:val="auto"/>
              </w:rPr>
            </w:pPr>
            <w:r>
              <w:rPr>
                <w:b w:val="0"/>
                <w:bCs/>
                <w:color w:val="auto"/>
              </w:rPr>
              <w:t>土石方引起的水土流失</w:t>
            </w:r>
          </w:p>
        </w:tc>
        <w:tc>
          <w:tcPr>
            <w:tcW w:w="242" w:type="pct"/>
            <w:shd w:val="clear" w:color="auto" w:fill="auto"/>
            <w:vAlign w:val="center"/>
          </w:tcPr>
          <w:p w14:paraId="52456C24">
            <w:pPr>
              <w:pStyle w:val="31"/>
              <w:bidi w:val="0"/>
              <w:rPr>
                <w:b w:val="0"/>
                <w:bCs/>
                <w:color w:val="auto"/>
              </w:rPr>
            </w:pPr>
            <w:r>
              <w:rPr>
                <w:b w:val="0"/>
                <w:bCs/>
                <w:color w:val="auto"/>
              </w:rPr>
              <w:t>√</w:t>
            </w:r>
          </w:p>
        </w:tc>
        <w:tc>
          <w:tcPr>
            <w:tcW w:w="249" w:type="pct"/>
            <w:shd w:val="clear" w:color="auto" w:fill="auto"/>
            <w:vAlign w:val="center"/>
          </w:tcPr>
          <w:p w14:paraId="37782F47">
            <w:pPr>
              <w:pStyle w:val="31"/>
              <w:bidi w:val="0"/>
              <w:rPr>
                <w:b w:val="0"/>
                <w:bCs/>
                <w:color w:val="auto"/>
              </w:rPr>
            </w:pPr>
          </w:p>
        </w:tc>
        <w:tc>
          <w:tcPr>
            <w:tcW w:w="243" w:type="pct"/>
            <w:shd w:val="clear" w:color="auto" w:fill="auto"/>
            <w:vAlign w:val="center"/>
          </w:tcPr>
          <w:p w14:paraId="4CE21CDB">
            <w:pPr>
              <w:pStyle w:val="31"/>
              <w:bidi w:val="0"/>
              <w:rPr>
                <w:b w:val="0"/>
                <w:bCs/>
                <w:color w:val="auto"/>
              </w:rPr>
            </w:pPr>
          </w:p>
        </w:tc>
        <w:tc>
          <w:tcPr>
            <w:tcW w:w="257" w:type="pct"/>
            <w:shd w:val="clear" w:color="auto" w:fill="auto"/>
            <w:vAlign w:val="center"/>
          </w:tcPr>
          <w:p w14:paraId="4266045D">
            <w:pPr>
              <w:pStyle w:val="31"/>
              <w:bidi w:val="0"/>
              <w:rPr>
                <w:b w:val="0"/>
                <w:bCs/>
                <w:color w:val="auto"/>
              </w:rPr>
            </w:pPr>
            <w:r>
              <w:rPr>
                <w:b w:val="0"/>
                <w:bCs/>
                <w:color w:val="auto"/>
              </w:rPr>
              <w:t>√</w:t>
            </w:r>
          </w:p>
        </w:tc>
        <w:tc>
          <w:tcPr>
            <w:tcW w:w="257" w:type="pct"/>
            <w:shd w:val="clear" w:color="auto" w:fill="auto"/>
            <w:vAlign w:val="center"/>
          </w:tcPr>
          <w:p w14:paraId="2ED233A4">
            <w:pPr>
              <w:pStyle w:val="31"/>
              <w:bidi w:val="0"/>
              <w:rPr>
                <w:b w:val="0"/>
                <w:bCs/>
                <w:color w:val="auto"/>
              </w:rPr>
            </w:pPr>
            <w:r>
              <w:rPr>
                <w:b w:val="0"/>
                <w:bCs/>
                <w:color w:val="auto"/>
              </w:rPr>
              <w:t>√</w:t>
            </w:r>
          </w:p>
        </w:tc>
        <w:tc>
          <w:tcPr>
            <w:tcW w:w="285" w:type="pct"/>
            <w:shd w:val="clear" w:color="auto" w:fill="auto"/>
            <w:vAlign w:val="center"/>
          </w:tcPr>
          <w:p w14:paraId="0F844FE0">
            <w:pPr>
              <w:pStyle w:val="31"/>
              <w:bidi w:val="0"/>
              <w:rPr>
                <w:b w:val="0"/>
                <w:bCs/>
                <w:color w:val="auto"/>
              </w:rPr>
            </w:pPr>
          </w:p>
        </w:tc>
        <w:tc>
          <w:tcPr>
            <w:tcW w:w="257" w:type="pct"/>
            <w:shd w:val="clear" w:color="auto" w:fill="auto"/>
            <w:vAlign w:val="center"/>
          </w:tcPr>
          <w:p w14:paraId="5C254D4D">
            <w:pPr>
              <w:pStyle w:val="31"/>
              <w:bidi w:val="0"/>
              <w:rPr>
                <w:b w:val="0"/>
                <w:bCs/>
                <w:color w:val="auto"/>
              </w:rPr>
            </w:pPr>
            <w:r>
              <w:rPr>
                <w:b w:val="0"/>
                <w:bCs/>
                <w:color w:val="auto"/>
              </w:rPr>
              <w:t>√</w:t>
            </w:r>
          </w:p>
        </w:tc>
        <w:tc>
          <w:tcPr>
            <w:tcW w:w="257" w:type="pct"/>
            <w:shd w:val="clear" w:color="auto" w:fill="auto"/>
            <w:vAlign w:val="center"/>
          </w:tcPr>
          <w:p w14:paraId="66441E32">
            <w:pPr>
              <w:pStyle w:val="31"/>
              <w:bidi w:val="0"/>
              <w:rPr>
                <w:b w:val="0"/>
                <w:bCs/>
                <w:color w:val="auto"/>
              </w:rPr>
            </w:pPr>
          </w:p>
        </w:tc>
        <w:tc>
          <w:tcPr>
            <w:tcW w:w="257" w:type="pct"/>
            <w:shd w:val="clear" w:color="auto" w:fill="auto"/>
            <w:vAlign w:val="center"/>
          </w:tcPr>
          <w:p w14:paraId="6D340C06">
            <w:pPr>
              <w:pStyle w:val="31"/>
              <w:bidi w:val="0"/>
              <w:rPr>
                <w:b w:val="0"/>
                <w:bCs/>
                <w:color w:val="auto"/>
              </w:rPr>
            </w:pPr>
          </w:p>
        </w:tc>
        <w:tc>
          <w:tcPr>
            <w:tcW w:w="262" w:type="pct"/>
            <w:shd w:val="clear" w:color="auto" w:fill="auto"/>
            <w:vAlign w:val="center"/>
          </w:tcPr>
          <w:p w14:paraId="34D99B92">
            <w:pPr>
              <w:pStyle w:val="31"/>
              <w:bidi w:val="0"/>
              <w:rPr>
                <w:b w:val="0"/>
                <w:bCs/>
                <w:color w:val="auto"/>
              </w:rPr>
            </w:pPr>
            <w:r>
              <w:rPr>
                <w:b w:val="0"/>
                <w:bCs/>
                <w:color w:val="auto"/>
              </w:rPr>
              <w:t>√</w:t>
            </w:r>
          </w:p>
        </w:tc>
        <w:tc>
          <w:tcPr>
            <w:tcW w:w="285" w:type="pct"/>
            <w:shd w:val="clear" w:color="auto" w:fill="auto"/>
            <w:vAlign w:val="center"/>
          </w:tcPr>
          <w:p w14:paraId="3C08EB21">
            <w:pPr>
              <w:pStyle w:val="31"/>
              <w:bidi w:val="0"/>
              <w:rPr>
                <w:b w:val="0"/>
                <w:bCs/>
                <w:color w:val="auto"/>
              </w:rPr>
            </w:pPr>
          </w:p>
        </w:tc>
        <w:tc>
          <w:tcPr>
            <w:tcW w:w="285" w:type="pct"/>
            <w:shd w:val="clear" w:color="auto" w:fill="auto"/>
            <w:vAlign w:val="center"/>
          </w:tcPr>
          <w:p w14:paraId="5F7EA3D7">
            <w:pPr>
              <w:pStyle w:val="31"/>
              <w:bidi w:val="0"/>
              <w:rPr>
                <w:b w:val="0"/>
                <w:bCs/>
                <w:color w:val="auto"/>
              </w:rPr>
            </w:pPr>
            <w:r>
              <w:rPr>
                <w:b w:val="0"/>
                <w:bCs/>
                <w:color w:val="auto"/>
              </w:rPr>
              <w:t>√</w:t>
            </w:r>
          </w:p>
        </w:tc>
        <w:tc>
          <w:tcPr>
            <w:tcW w:w="229" w:type="pct"/>
            <w:shd w:val="clear" w:color="auto" w:fill="auto"/>
            <w:vAlign w:val="center"/>
          </w:tcPr>
          <w:p w14:paraId="6A840F34">
            <w:pPr>
              <w:pStyle w:val="31"/>
              <w:bidi w:val="0"/>
              <w:rPr>
                <w:b w:val="0"/>
                <w:bCs/>
                <w:color w:val="auto"/>
              </w:rPr>
            </w:pPr>
          </w:p>
        </w:tc>
        <w:tc>
          <w:tcPr>
            <w:tcW w:w="229" w:type="pct"/>
            <w:shd w:val="clear" w:color="auto" w:fill="auto"/>
            <w:vAlign w:val="center"/>
          </w:tcPr>
          <w:p w14:paraId="099D4858">
            <w:pPr>
              <w:pStyle w:val="31"/>
              <w:bidi w:val="0"/>
              <w:rPr>
                <w:b w:val="0"/>
                <w:bCs/>
                <w:color w:val="auto"/>
              </w:rPr>
            </w:pPr>
          </w:p>
        </w:tc>
        <w:tc>
          <w:tcPr>
            <w:tcW w:w="232" w:type="pct"/>
            <w:shd w:val="clear" w:color="auto" w:fill="auto"/>
            <w:vAlign w:val="center"/>
          </w:tcPr>
          <w:p w14:paraId="36461D59">
            <w:pPr>
              <w:pStyle w:val="31"/>
              <w:bidi w:val="0"/>
              <w:rPr>
                <w:b w:val="0"/>
                <w:bCs/>
                <w:color w:val="auto"/>
              </w:rPr>
            </w:pPr>
          </w:p>
        </w:tc>
      </w:tr>
      <w:tr w14:paraId="02A0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04A24301">
            <w:pPr>
              <w:pStyle w:val="31"/>
              <w:bidi w:val="0"/>
              <w:rPr>
                <w:b w:val="0"/>
                <w:bCs/>
                <w:color w:val="auto"/>
              </w:rPr>
            </w:pPr>
          </w:p>
        </w:tc>
        <w:tc>
          <w:tcPr>
            <w:tcW w:w="814" w:type="pct"/>
            <w:shd w:val="clear" w:color="auto" w:fill="auto"/>
            <w:vAlign w:val="center"/>
          </w:tcPr>
          <w:p w14:paraId="292FD1E6">
            <w:pPr>
              <w:pStyle w:val="31"/>
              <w:bidi w:val="0"/>
              <w:rPr>
                <w:b w:val="0"/>
                <w:bCs/>
                <w:color w:val="auto"/>
              </w:rPr>
            </w:pPr>
            <w:r>
              <w:rPr>
                <w:b w:val="0"/>
                <w:bCs/>
                <w:color w:val="auto"/>
              </w:rPr>
              <w:t>施工机械设备噪声、汽车运输噪声</w:t>
            </w:r>
          </w:p>
        </w:tc>
        <w:tc>
          <w:tcPr>
            <w:tcW w:w="242" w:type="pct"/>
            <w:shd w:val="clear" w:color="auto" w:fill="auto"/>
            <w:vAlign w:val="center"/>
          </w:tcPr>
          <w:p w14:paraId="09602FFB">
            <w:pPr>
              <w:pStyle w:val="31"/>
              <w:bidi w:val="0"/>
              <w:rPr>
                <w:b w:val="0"/>
                <w:bCs/>
                <w:color w:val="auto"/>
              </w:rPr>
            </w:pPr>
            <w:r>
              <w:rPr>
                <w:b w:val="0"/>
                <w:bCs/>
                <w:color w:val="auto"/>
              </w:rPr>
              <w:t>√</w:t>
            </w:r>
          </w:p>
        </w:tc>
        <w:tc>
          <w:tcPr>
            <w:tcW w:w="249" w:type="pct"/>
            <w:shd w:val="clear" w:color="auto" w:fill="auto"/>
            <w:vAlign w:val="center"/>
          </w:tcPr>
          <w:p w14:paraId="4C6F53AD">
            <w:pPr>
              <w:pStyle w:val="31"/>
              <w:bidi w:val="0"/>
              <w:rPr>
                <w:b w:val="0"/>
                <w:bCs/>
                <w:color w:val="auto"/>
              </w:rPr>
            </w:pPr>
          </w:p>
        </w:tc>
        <w:tc>
          <w:tcPr>
            <w:tcW w:w="243" w:type="pct"/>
            <w:shd w:val="clear" w:color="auto" w:fill="auto"/>
            <w:vAlign w:val="center"/>
          </w:tcPr>
          <w:p w14:paraId="50A4B5DC">
            <w:pPr>
              <w:pStyle w:val="31"/>
              <w:bidi w:val="0"/>
              <w:rPr>
                <w:b w:val="0"/>
                <w:bCs/>
                <w:color w:val="auto"/>
              </w:rPr>
            </w:pPr>
          </w:p>
        </w:tc>
        <w:tc>
          <w:tcPr>
            <w:tcW w:w="257" w:type="pct"/>
            <w:shd w:val="clear" w:color="auto" w:fill="auto"/>
            <w:vAlign w:val="center"/>
          </w:tcPr>
          <w:p w14:paraId="1DA72894">
            <w:pPr>
              <w:pStyle w:val="31"/>
              <w:bidi w:val="0"/>
              <w:rPr>
                <w:b w:val="0"/>
                <w:bCs/>
                <w:color w:val="auto"/>
              </w:rPr>
            </w:pPr>
            <w:r>
              <w:rPr>
                <w:b w:val="0"/>
                <w:bCs/>
                <w:color w:val="auto"/>
              </w:rPr>
              <w:t>√</w:t>
            </w:r>
          </w:p>
        </w:tc>
        <w:tc>
          <w:tcPr>
            <w:tcW w:w="257" w:type="pct"/>
            <w:shd w:val="clear" w:color="auto" w:fill="auto"/>
            <w:vAlign w:val="center"/>
          </w:tcPr>
          <w:p w14:paraId="21D6562B">
            <w:pPr>
              <w:pStyle w:val="31"/>
              <w:bidi w:val="0"/>
              <w:rPr>
                <w:b w:val="0"/>
                <w:bCs/>
                <w:color w:val="auto"/>
              </w:rPr>
            </w:pPr>
            <w:r>
              <w:rPr>
                <w:b w:val="0"/>
                <w:bCs/>
                <w:color w:val="auto"/>
              </w:rPr>
              <w:t>√</w:t>
            </w:r>
          </w:p>
        </w:tc>
        <w:tc>
          <w:tcPr>
            <w:tcW w:w="285" w:type="pct"/>
            <w:shd w:val="clear" w:color="auto" w:fill="auto"/>
            <w:vAlign w:val="center"/>
          </w:tcPr>
          <w:p w14:paraId="2C126844">
            <w:pPr>
              <w:pStyle w:val="31"/>
              <w:bidi w:val="0"/>
              <w:rPr>
                <w:b w:val="0"/>
                <w:bCs/>
                <w:color w:val="auto"/>
              </w:rPr>
            </w:pPr>
          </w:p>
        </w:tc>
        <w:tc>
          <w:tcPr>
            <w:tcW w:w="257" w:type="pct"/>
            <w:shd w:val="clear" w:color="auto" w:fill="auto"/>
            <w:vAlign w:val="center"/>
          </w:tcPr>
          <w:p w14:paraId="6C3142B2">
            <w:pPr>
              <w:pStyle w:val="31"/>
              <w:bidi w:val="0"/>
              <w:rPr>
                <w:b w:val="0"/>
                <w:bCs/>
                <w:color w:val="auto"/>
              </w:rPr>
            </w:pPr>
            <w:r>
              <w:rPr>
                <w:b w:val="0"/>
                <w:bCs/>
                <w:color w:val="auto"/>
              </w:rPr>
              <w:t>√</w:t>
            </w:r>
          </w:p>
        </w:tc>
        <w:tc>
          <w:tcPr>
            <w:tcW w:w="257" w:type="pct"/>
            <w:shd w:val="clear" w:color="auto" w:fill="auto"/>
            <w:vAlign w:val="center"/>
          </w:tcPr>
          <w:p w14:paraId="38566EFA">
            <w:pPr>
              <w:pStyle w:val="31"/>
              <w:bidi w:val="0"/>
              <w:rPr>
                <w:b w:val="0"/>
                <w:bCs/>
                <w:color w:val="auto"/>
              </w:rPr>
            </w:pPr>
          </w:p>
        </w:tc>
        <w:tc>
          <w:tcPr>
            <w:tcW w:w="257" w:type="pct"/>
            <w:shd w:val="clear" w:color="auto" w:fill="auto"/>
            <w:vAlign w:val="center"/>
          </w:tcPr>
          <w:p w14:paraId="0A5BCB9A">
            <w:pPr>
              <w:pStyle w:val="31"/>
              <w:bidi w:val="0"/>
              <w:rPr>
                <w:b w:val="0"/>
                <w:bCs/>
                <w:color w:val="auto"/>
              </w:rPr>
            </w:pPr>
          </w:p>
        </w:tc>
        <w:tc>
          <w:tcPr>
            <w:tcW w:w="262" w:type="pct"/>
            <w:shd w:val="clear" w:color="auto" w:fill="auto"/>
            <w:vAlign w:val="center"/>
          </w:tcPr>
          <w:p w14:paraId="79F1A802">
            <w:pPr>
              <w:pStyle w:val="31"/>
              <w:bidi w:val="0"/>
              <w:rPr>
                <w:b w:val="0"/>
                <w:bCs/>
                <w:color w:val="auto"/>
              </w:rPr>
            </w:pPr>
            <w:r>
              <w:rPr>
                <w:b w:val="0"/>
                <w:bCs/>
                <w:color w:val="auto"/>
              </w:rPr>
              <w:t>√</w:t>
            </w:r>
          </w:p>
        </w:tc>
        <w:tc>
          <w:tcPr>
            <w:tcW w:w="285" w:type="pct"/>
            <w:shd w:val="clear" w:color="auto" w:fill="auto"/>
            <w:vAlign w:val="center"/>
          </w:tcPr>
          <w:p w14:paraId="10B2C494">
            <w:pPr>
              <w:pStyle w:val="31"/>
              <w:bidi w:val="0"/>
              <w:rPr>
                <w:b w:val="0"/>
                <w:bCs/>
                <w:color w:val="auto"/>
              </w:rPr>
            </w:pPr>
          </w:p>
        </w:tc>
        <w:tc>
          <w:tcPr>
            <w:tcW w:w="285" w:type="pct"/>
            <w:shd w:val="clear" w:color="auto" w:fill="auto"/>
            <w:vAlign w:val="center"/>
          </w:tcPr>
          <w:p w14:paraId="47ACEE74">
            <w:pPr>
              <w:pStyle w:val="31"/>
              <w:bidi w:val="0"/>
              <w:rPr>
                <w:b w:val="0"/>
                <w:bCs/>
                <w:color w:val="auto"/>
              </w:rPr>
            </w:pPr>
          </w:p>
        </w:tc>
        <w:tc>
          <w:tcPr>
            <w:tcW w:w="229" w:type="pct"/>
            <w:shd w:val="clear" w:color="auto" w:fill="auto"/>
            <w:vAlign w:val="center"/>
          </w:tcPr>
          <w:p w14:paraId="7F08E4CA">
            <w:pPr>
              <w:pStyle w:val="31"/>
              <w:bidi w:val="0"/>
              <w:rPr>
                <w:b w:val="0"/>
                <w:bCs/>
                <w:color w:val="auto"/>
              </w:rPr>
            </w:pPr>
            <w:r>
              <w:rPr>
                <w:b w:val="0"/>
                <w:bCs/>
                <w:color w:val="auto"/>
              </w:rPr>
              <w:t>√</w:t>
            </w:r>
          </w:p>
        </w:tc>
        <w:tc>
          <w:tcPr>
            <w:tcW w:w="229" w:type="pct"/>
            <w:shd w:val="clear" w:color="auto" w:fill="auto"/>
            <w:vAlign w:val="center"/>
          </w:tcPr>
          <w:p w14:paraId="2A66D16C">
            <w:pPr>
              <w:pStyle w:val="31"/>
              <w:bidi w:val="0"/>
              <w:rPr>
                <w:b w:val="0"/>
                <w:bCs/>
                <w:color w:val="auto"/>
              </w:rPr>
            </w:pPr>
          </w:p>
        </w:tc>
        <w:tc>
          <w:tcPr>
            <w:tcW w:w="232" w:type="pct"/>
            <w:shd w:val="clear" w:color="auto" w:fill="auto"/>
            <w:vAlign w:val="center"/>
          </w:tcPr>
          <w:p w14:paraId="0D3EB335">
            <w:pPr>
              <w:pStyle w:val="31"/>
              <w:bidi w:val="0"/>
              <w:rPr>
                <w:b w:val="0"/>
                <w:bCs/>
                <w:color w:val="auto"/>
              </w:rPr>
            </w:pPr>
          </w:p>
        </w:tc>
      </w:tr>
      <w:tr w14:paraId="56E3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071F60A8">
            <w:pPr>
              <w:pStyle w:val="31"/>
              <w:bidi w:val="0"/>
              <w:rPr>
                <w:b w:val="0"/>
                <w:bCs/>
                <w:color w:val="auto"/>
              </w:rPr>
            </w:pPr>
          </w:p>
        </w:tc>
        <w:tc>
          <w:tcPr>
            <w:tcW w:w="814" w:type="pct"/>
            <w:shd w:val="clear" w:color="auto" w:fill="auto"/>
            <w:vAlign w:val="center"/>
          </w:tcPr>
          <w:p w14:paraId="51A757C6">
            <w:pPr>
              <w:pStyle w:val="31"/>
              <w:bidi w:val="0"/>
              <w:rPr>
                <w:b w:val="0"/>
                <w:bCs/>
                <w:color w:val="auto"/>
              </w:rPr>
            </w:pPr>
            <w:r>
              <w:rPr>
                <w:b w:val="0"/>
                <w:bCs/>
                <w:color w:val="auto"/>
              </w:rPr>
              <w:t>施工扬尘</w:t>
            </w:r>
          </w:p>
        </w:tc>
        <w:tc>
          <w:tcPr>
            <w:tcW w:w="242" w:type="pct"/>
            <w:shd w:val="clear" w:color="auto" w:fill="auto"/>
            <w:vAlign w:val="center"/>
          </w:tcPr>
          <w:p w14:paraId="781F40D3">
            <w:pPr>
              <w:pStyle w:val="31"/>
              <w:bidi w:val="0"/>
              <w:rPr>
                <w:b w:val="0"/>
                <w:bCs/>
                <w:color w:val="auto"/>
              </w:rPr>
            </w:pPr>
            <w:r>
              <w:rPr>
                <w:b w:val="0"/>
                <w:bCs/>
                <w:color w:val="auto"/>
              </w:rPr>
              <w:t>√</w:t>
            </w:r>
          </w:p>
        </w:tc>
        <w:tc>
          <w:tcPr>
            <w:tcW w:w="249" w:type="pct"/>
            <w:shd w:val="clear" w:color="auto" w:fill="auto"/>
            <w:vAlign w:val="center"/>
          </w:tcPr>
          <w:p w14:paraId="494F4205">
            <w:pPr>
              <w:pStyle w:val="31"/>
              <w:bidi w:val="0"/>
              <w:rPr>
                <w:b w:val="0"/>
                <w:bCs/>
                <w:color w:val="auto"/>
              </w:rPr>
            </w:pPr>
          </w:p>
        </w:tc>
        <w:tc>
          <w:tcPr>
            <w:tcW w:w="243" w:type="pct"/>
            <w:shd w:val="clear" w:color="auto" w:fill="auto"/>
            <w:vAlign w:val="center"/>
          </w:tcPr>
          <w:p w14:paraId="2A68D78D">
            <w:pPr>
              <w:pStyle w:val="31"/>
              <w:bidi w:val="0"/>
              <w:rPr>
                <w:b w:val="0"/>
                <w:bCs/>
                <w:color w:val="auto"/>
              </w:rPr>
            </w:pPr>
          </w:p>
        </w:tc>
        <w:tc>
          <w:tcPr>
            <w:tcW w:w="257" w:type="pct"/>
            <w:shd w:val="clear" w:color="auto" w:fill="auto"/>
            <w:vAlign w:val="center"/>
          </w:tcPr>
          <w:p w14:paraId="4F253D41">
            <w:pPr>
              <w:pStyle w:val="31"/>
              <w:bidi w:val="0"/>
              <w:rPr>
                <w:b w:val="0"/>
                <w:bCs/>
                <w:color w:val="auto"/>
              </w:rPr>
            </w:pPr>
            <w:r>
              <w:rPr>
                <w:b w:val="0"/>
                <w:bCs/>
                <w:color w:val="auto"/>
              </w:rPr>
              <w:t>√</w:t>
            </w:r>
          </w:p>
        </w:tc>
        <w:tc>
          <w:tcPr>
            <w:tcW w:w="257" w:type="pct"/>
            <w:shd w:val="clear" w:color="auto" w:fill="auto"/>
            <w:vAlign w:val="center"/>
          </w:tcPr>
          <w:p w14:paraId="43D8A952">
            <w:pPr>
              <w:pStyle w:val="31"/>
              <w:bidi w:val="0"/>
              <w:rPr>
                <w:b w:val="0"/>
                <w:bCs/>
                <w:color w:val="auto"/>
              </w:rPr>
            </w:pPr>
            <w:r>
              <w:rPr>
                <w:b w:val="0"/>
                <w:bCs/>
                <w:color w:val="auto"/>
              </w:rPr>
              <w:t>√</w:t>
            </w:r>
          </w:p>
        </w:tc>
        <w:tc>
          <w:tcPr>
            <w:tcW w:w="285" w:type="pct"/>
            <w:shd w:val="clear" w:color="auto" w:fill="auto"/>
            <w:vAlign w:val="center"/>
          </w:tcPr>
          <w:p w14:paraId="3B823A9C">
            <w:pPr>
              <w:pStyle w:val="31"/>
              <w:bidi w:val="0"/>
              <w:rPr>
                <w:b w:val="0"/>
                <w:bCs/>
                <w:color w:val="auto"/>
              </w:rPr>
            </w:pPr>
          </w:p>
        </w:tc>
        <w:tc>
          <w:tcPr>
            <w:tcW w:w="257" w:type="pct"/>
            <w:shd w:val="clear" w:color="auto" w:fill="auto"/>
            <w:vAlign w:val="center"/>
          </w:tcPr>
          <w:p w14:paraId="43C3FA12">
            <w:pPr>
              <w:pStyle w:val="31"/>
              <w:bidi w:val="0"/>
              <w:rPr>
                <w:b w:val="0"/>
                <w:bCs/>
                <w:color w:val="auto"/>
              </w:rPr>
            </w:pPr>
            <w:r>
              <w:rPr>
                <w:b w:val="0"/>
                <w:bCs/>
                <w:color w:val="auto"/>
              </w:rPr>
              <w:t>√</w:t>
            </w:r>
          </w:p>
        </w:tc>
        <w:tc>
          <w:tcPr>
            <w:tcW w:w="257" w:type="pct"/>
            <w:shd w:val="clear" w:color="auto" w:fill="auto"/>
            <w:vAlign w:val="center"/>
          </w:tcPr>
          <w:p w14:paraId="76BFDC9A">
            <w:pPr>
              <w:pStyle w:val="31"/>
              <w:bidi w:val="0"/>
              <w:rPr>
                <w:b w:val="0"/>
                <w:bCs/>
                <w:color w:val="auto"/>
              </w:rPr>
            </w:pPr>
          </w:p>
        </w:tc>
        <w:tc>
          <w:tcPr>
            <w:tcW w:w="257" w:type="pct"/>
            <w:shd w:val="clear" w:color="auto" w:fill="auto"/>
            <w:vAlign w:val="center"/>
          </w:tcPr>
          <w:p w14:paraId="73BFE25C">
            <w:pPr>
              <w:pStyle w:val="31"/>
              <w:bidi w:val="0"/>
              <w:rPr>
                <w:b w:val="0"/>
                <w:bCs/>
                <w:color w:val="auto"/>
              </w:rPr>
            </w:pPr>
          </w:p>
        </w:tc>
        <w:tc>
          <w:tcPr>
            <w:tcW w:w="262" w:type="pct"/>
            <w:shd w:val="clear" w:color="auto" w:fill="auto"/>
            <w:vAlign w:val="center"/>
          </w:tcPr>
          <w:p w14:paraId="418FBF65">
            <w:pPr>
              <w:pStyle w:val="31"/>
              <w:bidi w:val="0"/>
              <w:rPr>
                <w:b w:val="0"/>
                <w:bCs/>
                <w:color w:val="auto"/>
              </w:rPr>
            </w:pPr>
            <w:r>
              <w:rPr>
                <w:b w:val="0"/>
                <w:bCs/>
                <w:color w:val="auto"/>
              </w:rPr>
              <w:t>√</w:t>
            </w:r>
          </w:p>
        </w:tc>
        <w:tc>
          <w:tcPr>
            <w:tcW w:w="285" w:type="pct"/>
            <w:shd w:val="clear" w:color="auto" w:fill="auto"/>
            <w:vAlign w:val="center"/>
          </w:tcPr>
          <w:p w14:paraId="0AF962A7">
            <w:pPr>
              <w:pStyle w:val="31"/>
              <w:bidi w:val="0"/>
              <w:rPr>
                <w:b w:val="0"/>
                <w:bCs/>
                <w:color w:val="auto"/>
              </w:rPr>
            </w:pPr>
          </w:p>
        </w:tc>
        <w:tc>
          <w:tcPr>
            <w:tcW w:w="285" w:type="pct"/>
            <w:shd w:val="clear" w:color="auto" w:fill="auto"/>
            <w:vAlign w:val="center"/>
          </w:tcPr>
          <w:p w14:paraId="7DE32F42">
            <w:pPr>
              <w:pStyle w:val="31"/>
              <w:bidi w:val="0"/>
              <w:rPr>
                <w:b w:val="0"/>
                <w:bCs/>
                <w:color w:val="auto"/>
              </w:rPr>
            </w:pPr>
          </w:p>
        </w:tc>
        <w:tc>
          <w:tcPr>
            <w:tcW w:w="229" w:type="pct"/>
            <w:shd w:val="clear" w:color="auto" w:fill="auto"/>
            <w:vAlign w:val="center"/>
          </w:tcPr>
          <w:p w14:paraId="1C4B2BDD">
            <w:pPr>
              <w:pStyle w:val="31"/>
              <w:bidi w:val="0"/>
              <w:rPr>
                <w:b w:val="0"/>
                <w:bCs/>
                <w:color w:val="auto"/>
              </w:rPr>
            </w:pPr>
            <w:r>
              <w:rPr>
                <w:b w:val="0"/>
                <w:bCs/>
                <w:color w:val="auto"/>
              </w:rPr>
              <w:t>√</w:t>
            </w:r>
          </w:p>
        </w:tc>
        <w:tc>
          <w:tcPr>
            <w:tcW w:w="229" w:type="pct"/>
            <w:shd w:val="clear" w:color="auto" w:fill="auto"/>
            <w:vAlign w:val="center"/>
          </w:tcPr>
          <w:p w14:paraId="62C0F797">
            <w:pPr>
              <w:pStyle w:val="31"/>
              <w:bidi w:val="0"/>
              <w:rPr>
                <w:b w:val="0"/>
                <w:bCs/>
                <w:color w:val="auto"/>
              </w:rPr>
            </w:pPr>
          </w:p>
        </w:tc>
        <w:tc>
          <w:tcPr>
            <w:tcW w:w="232" w:type="pct"/>
            <w:shd w:val="clear" w:color="auto" w:fill="auto"/>
            <w:vAlign w:val="center"/>
          </w:tcPr>
          <w:p w14:paraId="35EE715C">
            <w:pPr>
              <w:pStyle w:val="31"/>
              <w:bidi w:val="0"/>
              <w:rPr>
                <w:b w:val="0"/>
                <w:bCs/>
                <w:color w:val="auto"/>
              </w:rPr>
            </w:pPr>
          </w:p>
        </w:tc>
      </w:tr>
      <w:tr w14:paraId="1CEA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01FBBD28">
            <w:pPr>
              <w:pStyle w:val="31"/>
              <w:bidi w:val="0"/>
              <w:rPr>
                <w:b w:val="0"/>
                <w:bCs/>
                <w:color w:val="auto"/>
              </w:rPr>
            </w:pPr>
          </w:p>
        </w:tc>
        <w:tc>
          <w:tcPr>
            <w:tcW w:w="814" w:type="pct"/>
            <w:shd w:val="clear" w:color="auto" w:fill="auto"/>
            <w:vAlign w:val="center"/>
          </w:tcPr>
          <w:p w14:paraId="6D36936D">
            <w:pPr>
              <w:pStyle w:val="31"/>
              <w:bidi w:val="0"/>
              <w:rPr>
                <w:b w:val="0"/>
                <w:bCs/>
                <w:color w:val="auto"/>
              </w:rPr>
            </w:pPr>
            <w:r>
              <w:rPr>
                <w:b w:val="0"/>
                <w:bCs/>
                <w:color w:val="auto"/>
              </w:rPr>
              <w:t>施工废水和生活污水</w:t>
            </w:r>
          </w:p>
        </w:tc>
        <w:tc>
          <w:tcPr>
            <w:tcW w:w="242" w:type="pct"/>
            <w:shd w:val="clear" w:color="auto" w:fill="auto"/>
            <w:vAlign w:val="center"/>
          </w:tcPr>
          <w:p w14:paraId="614A88CB">
            <w:pPr>
              <w:pStyle w:val="31"/>
              <w:bidi w:val="0"/>
              <w:rPr>
                <w:b w:val="0"/>
                <w:bCs/>
                <w:color w:val="auto"/>
              </w:rPr>
            </w:pPr>
            <w:r>
              <w:rPr>
                <w:b w:val="0"/>
                <w:bCs/>
                <w:color w:val="auto"/>
              </w:rPr>
              <w:t>√</w:t>
            </w:r>
          </w:p>
        </w:tc>
        <w:tc>
          <w:tcPr>
            <w:tcW w:w="249" w:type="pct"/>
            <w:shd w:val="clear" w:color="auto" w:fill="auto"/>
            <w:vAlign w:val="center"/>
          </w:tcPr>
          <w:p w14:paraId="6D435DF2">
            <w:pPr>
              <w:pStyle w:val="31"/>
              <w:bidi w:val="0"/>
              <w:rPr>
                <w:b w:val="0"/>
                <w:bCs/>
                <w:color w:val="auto"/>
              </w:rPr>
            </w:pPr>
          </w:p>
        </w:tc>
        <w:tc>
          <w:tcPr>
            <w:tcW w:w="243" w:type="pct"/>
            <w:shd w:val="clear" w:color="auto" w:fill="auto"/>
            <w:vAlign w:val="center"/>
          </w:tcPr>
          <w:p w14:paraId="3046433B">
            <w:pPr>
              <w:pStyle w:val="31"/>
              <w:bidi w:val="0"/>
              <w:rPr>
                <w:b w:val="0"/>
                <w:bCs/>
                <w:color w:val="auto"/>
              </w:rPr>
            </w:pPr>
          </w:p>
        </w:tc>
        <w:tc>
          <w:tcPr>
            <w:tcW w:w="257" w:type="pct"/>
            <w:shd w:val="clear" w:color="auto" w:fill="auto"/>
            <w:vAlign w:val="center"/>
          </w:tcPr>
          <w:p w14:paraId="25FF42FD">
            <w:pPr>
              <w:pStyle w:val="31"/>
              <w:bidi w:val="0"/>
              <w:rPr>
                <w:b w:val="0"/>
                <w:bCs/>
                <w:color w:val="auto"/>
              </w:rPr>
            </w:pPr>
            <w:r>
              <w:rPr>
                <w:b w:val="0"/>
                <w:bCs/>
                <w:color w:val="auto"/>
              </w:rPr>
              <w:t>√</w:t>
            </w:r>
          </w:p>
        </w:tc>
        <w:tc>
          <w:tcPr>
            <w:tcW w:w="257" w:type="pct"/>
            <w:shd w:val="clear" w:color="auto" w:fill="auto"/>
            <w:vAlign w:val="center"/>
          </w:tcPr>
          <w:p w14:paraId="7B89C15C">
            <w:pPr>
              <w:pStyle w:val="31"/>
              <w:bidi w:val="0"/>
              <w:rPr>
                <w:b w:val="0"/>
                <w:bCs/>
                <w:color w:val="auto"/>
              </w:rPr>
            </w:pPr>
            <w:r>
              <w:rPr>
                <w:b w:val="0"/>
                <w:bCs/>
                <w:color w:val="auto"/>
              </w:rPr>
              <w:t>√</w:t>
            </w:r>
          </w:p>
        </w:tc>
        <w:tc>
          <w:tcPr>
            <w:tcW w:w="285" w:type="pct"/>
            <w:shd w:val="clear" w:color="auto" w:fill="auto"/>
            <w:vAlign w:val="center"/>
          </w:tcPr>
          <w:p w14:paraId="6CBAF912">
            <w:pPr>
              <w:pStyle w:val="31"/>
              <w:bidi w:val="0"/>
              <w:rPr>
                <w:b w:val="0"/>
                <w:bCs/>
                <w:color w:val="auto"/>
              </w:rPr>
            </w:pPr>
          </w:p>
        </w:tc>
        <w:tc>
          <w:tcPr>
            <w:tcW w:w="257" w:type="pct"/>
            <w:shd w:val="clear" w:color="auto" w:fill="auto"/>
            <w:vAlign w:val="center"/>
          </w:tcPr>
          <w:p w14:paraId="5E8E8BE7">
            <w:pPr>
              <w:pStyle w:val="31"/>
              <w:bidi w:val="0"/>
              <w:rPr>
                <w:b w:val="0"/>
                <w:bCs/>
                <w:color w:val="auto"/>
              </w:rPr>
            </w:pPr>
            <w:r>
              <w:rPr>
                <w:b w:val="0"/>
                <w:bCs/>
                <w:color w:val="auto"/>
              </w:rPr>
              <w:t>√</w:t>
            </w:r>
          </w:p>
        </w:tc>
        <w:tc>
          <w:tcPr>
            <w:tcW w:w="257" w:type="pct"/>
            <w:shd w:val="clear" w:color="auto" w:fill="auto"/>
            <w:vAlign w:val="center"/>
          </w:tcPr>
          <w:p w14:paraId="11639CE3">
            <w:pPr>
              <w:pStyle w:val="31"/>
              <w:bidi w:val="0"/>
              <w:rPr>
                <w:b w:val="0"/>
                <w:bCs/>
                <w:color w:val="auto"/>
              </w:rPr>
            </w:pPr>
          </w:p>
        </w:tc>
        <w:tc>
          <w:tcPr>
            <w:tcW w:w="257" w:type="pct"/>
            <w:shd w:val="clear" w:color="auto" w:fill="auto"/>
            <w:vAlign w:val="center"/>
          </w:tcPr>
          <w:p w14:paraId="7D13DB03">
            <w:pPr>
              <w:pStyle w:val="31"/>
              <w:bidi w:val="0"/>
              <w:rPr>
                <w:b w:val="0"/>
                <w:bCs/>
                <w:color w:val="auto"/>
              </w:rPr>
            </w:pPr>
          </w:p>
        </w:tc>
        <w:tc>
          <w:tcPr>
            <w:tcW w:w="262" w:type="pct"/>
            <w:shd w:val="clear" w:color="auto" w:fill="auto"/>
            <w:vAlign w:val="center"/>
          </w:tcPr>
          <w:p w14:paraId="11AFD60D">
            <w:pPr>
              <w:pStyle w:val="31"/>
              <w:bidi w:val="0"/>
              <w:rPr>
                <w:b w:val="0"/>
                <w:bCs/>
                <w:color w:val="auto"/>
              </w:rPr>
            </w:pPr>
            <w:r>
              <w:rPr>
                <w:b w:val="0"/>
                <w:bCs/>
                <w:color w:val="auto"/>
              </w:rPr>
              <w:t>√</w:t>
            </w:r>
          </w:p>
        </w:tc>
        <w:tc>
          <w:tcPr>
            <w:tcW w:w="285" w:type="pct"/>
            <w:shd w:val="clear" w:color="auto" w:fill="auto"/>
            <w:vAlign w:val="center"/>
          </w:tcPr>
          <w:p w14:paraId="5214B869">
            <w:pPr>
              <w:pStyle w:val="31"/>
              <w:bidi w:val="0"/>
              <w:rPr>
                <w:b w:val="0"/>
                <w:bCs/>
                <w:color w:val="auto"/>
              </w:rPr>
            </w:pPr>
          </w:p>
        </w:tc>
        <w:tc>
          <w:tcPr>
            <w:tcW w:w="285" w:type="pct"/>
            <w:shd w:val="clear" w:color="auto" w:fill="auto"/>
            <w:vAlign w:val="center"/>
          </w:tcPr>
          <w:p w14:paraId="08D45111">
            <w:pPr>
              <w:pStyle w:val="31"/>
              <w:bidi w:val="0"/>
              <w:rPr>
                <w:b w:val="0"/>
                <w:bCs/>
                <w:color w:val="auto"/>
              </w:rPr>
            </w:pPr>
            <w:r>
              <w:rPr>
                <w:b w:val="0"/>
                <w:bCs/>
                <w:color w:val="auto"/>
              </w:rPr>
              <w:t>√</w:t>
            </w:r>
          </w:p>
        </w:tc>
        <w:tc>
          <w:tcPr>
            <w:tcW w:w="229" w:type="pct"/>
            <w:shd w:val="clear" w:color="auto" w:fill="auto"/>
            <w:vAlign w:val="center"/>
          </w:tcPr>
          <w:p w14:paraId="3629ABED">
            <w:pPr>
              <w:pStyle w:val="31"/>
              <w:bidi w:val="0"/>
              <w:rPr>
                <w:b w:val="0"/>
                <w:bCs/>
                <w:color w:val="auto"/>
              </w:rPr>
            </w:pPr>
          </w:p>
        </w:tc>
        <w:tc>
          <w:tcPr>
            <w:tcW w:w="229" w:type="pct"/>
            <w:shd w:val="clear" w:color="auto" w:fill="auto"/>
            <w:vAlign w:val="center"/>
          </w:tcPr>
          <w:p w14:paraId="3CC54EBE">
            <w:pPr>
              <w:pStyle w:val="31"/>
              <w:bidi w:val="0"/>
              <w:rPr>
                <w:b w:val="0"/>
                <w:bCs/>
                <w:color w:val="auto"/>
              </w:rPr>
            </w:pPr>
          </w:p>
        </w:tc>
        <w:tc>
          <w:tcPr>
            <w:tcW w:w="232" w:type="pct"/>
            <w:shd w:val="clear" w:color="auto" w:fill="auto"/>
            <w:vAlign w:val="center"/>
          </w:tcPr>
          <w:p w14:paraId="7C868011">
            <w:pPr>
              <w:pStyle w:val="31"/>
              <w:bidi w:val="0"/>
              <w:rPr>
                <w:b w:val="0"/>
                <w:bCs/>
                <w:color w:val="auto"/>
              </w:rPr>
            </w:pPr>
          </w:p>
        </w:tc>
      </w:tr>
      <w:tr w14:paraId="345E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13A1E595">
            <w:pPr>
              <w:pStyle w:val="31"/>
              <w:bidi w:val="0"/>
              <w:rPr>
                <w:b w:val="0"/>
                <w:bCs/>
                <w:color w:val="auto"/>
              </w:rPr>
            </w:pPr>
          </w:p>
        </w:tc>
        <w:tc>
          <w:tcPr>
            <w:tcW w:w="814" w:type="pct"/>
            <w:shd w:val="clear" w:color="auto" w:fill="auto"/>
            <w:vAlign w:val="center"/>
          </w:tcPr>
          <w:p w14:paraId="5CA0432F">
            <w:pPr>
              <w:pStyle w:val="31"/>
              <w:bidi w:val="0"/>
              <w:rPr>
                <w:b w:val="0"/>
                <w:bCs/>
                <w:color w:val="auto"/>
              </w:rPr>
            </w:pPr>
            <w:r>
              <w:rPr>
                <w:b w:val="0"/>
                <w:bCs/>
                <w:color w:val="auto"/>
              </w:rPr>
              <w:t>建筑垃圾、</w:t>
            </w:r>
            <w:r>
              <w:rPr>
                <w:rFonts w:hint="eastAsia"/>
                <w:b w:val="0"/>
                <w:bCs/>
                <w:color w:val="auto"/>
                <w:lang w:val="en-US" w:eastAsia="zh-CN"/>
              </w:rPr>
              <w:t>弃土</w:t>
            </w:r>
            <w:r>
              <w:rPr>
                <w:b w:val="0"/>
                <w:bCs/>
                <w:color w:val="auto"/>
              </w:rPr>
              <w:t>底泥等固废</w:t>
            </w:r>
          </w:p>
        </w:tc>
        <w:tc>
          <w:tcPr>
            <w:tcW w:w="242" w:type="pct"/>
            <w:shd w:val="clear" w:color="auto" w:fill="auto"/>
            <w:vAlign w:val="center"/>
          </w:tcPr>
          <w:p w14:paraId="33BEF5F9">
            <w:pPr>
              <w:pStyle w:val="31"/>
              <w:bidi w:val="0"/>
              <w:rPr>
                <w:b w:val="0"/>
                <w:bCs/>
                <w:color w:val="auto"/>
              </w:rPr>
            </w:pPr>
            <w:r>
              <w:rPr>
                <w:b w:val="0"/>
                <w:bCs/>
                <w:color w:val="auto"/>
              </w:rPr>
              <w:t>√</w:t>
            </w:r>
          </w:p>
        </w:tc>
        <w:tc>
          <w:tcPr>
            <w:tcW w:w="249" w:type="pct"/>
            <w:shd w:val="clear" w:color="auto" w:fill="auto"/>
            <w:vAlign w:val="center"/>
          </w:tcPr>
          <w:p w14:paraId="646C2A2A">
            <w:pPr>
              <w:pStyle w:val="31"/>
              <w:bidi w:val="0"/>
              <w:rPr>
                <w:b w:val="0"/>
                <w:bCs/>
                <w:color w:val="auto"/>
              </w:rPr>
            </w:pPr>
          </w:p>
        </w:tc>
        <w:tc>
          <w:tcPr>
            <w:tcW w:w="243" w:type="pct"/>
            <w:shd w:val="clear" w:color="auto" w:fill="auto"/>
            <w:vAlign w:val="center"/>
          </w:tcPr>
          <w:p w14:paraId="6F22209B">
            <w:pPr>
              <w:pStyle w:val="31"/>
              <w:bidi w:val="0"/>
              <w:rPr>
                <w:b w:val="0"/>
                <w:bCs/>
                <w:color w:val="auto"/>
              </w:rPr>
            </w:pPr>
          </w:p>
        </w:tc>
        <w:tc>
          <w:tcPr>
            <w:tcW w:w="257" w:type="pct"/>
            <w:shd w:val="clear" w:color="auto" w:fill="auto"/>
            <w:vAlign w:val="center"/>
          </w:tcPr>
          <w:p w14:paraId="2FE56137">
            <w:pPr>
              <w:pStyle w:val="31"/>
              <w:bidi w:val="0"/>
              <w:rPr>
                <w:b w:val="0"/>
                <w:bCs/>
                <w:color w:val="auto"/>
              </w:rPr>
            </w:pPr>
            <w:r>
              <w:rPr>
                <w:b w:val="0"/>
                <w:bCs/>
                <w:color w:val="auto"/>
              </w:rPr>
              <w:t>√</w:t>
            </w:r>
          </w:p>
        </w:tc>
        <w:tc>
          <w:tcPr>
            <w:tcW w:w="257" w:type="pct"/>
            <w:shd w:val="clear" w:color="auto" w:fill="auto"/>
            <w:vAlign w:val="center"/>
          </w:tcPr>
          <w:p w14:paraId="7C2608D3">
            <w:pPr>
              <w:pStyle w:val="31"/>
              <w:bidi w:val="0"/>
              <w:rPr>
                <w:b w:val="0"/>
                <w:bCs/>
                <w:color w:val="auto"/>
              </w:rPr>
            </w:pPr>
            <w:r>
              <w:rPr>
                <w:b w:val="0"/>
                <w:bCs/>
                <w:color w:val="auto"/>
              </w:rPr>
              <w:t>√</w:t>
            </w:r>
          </w:p>
        </w:tc>
        <w:tc>
          <w:tcPr>
            <w:tcW w:w="285" w:type="pct"/>
            <w:shd w:val="clear" w:color="auto" w:fill="auto"/>
            <w:vAlign w:val="center"/>
          </w:tcPr>
          <w:p w14:paraId="7B3DD033">
            <w:pPr>
              <w:pStyle w:val="31"/>
              <w:bidi w:val="0"/>
              <w:rPr>
                <w:b w:val="0"/>
                <w:bCs/>
                <w:color w:val="auto"/>
              </w:rPr>
            </w:pPr>
          </w:p>
        </w:tc>
        <w:tc>
          <w:tcPr>
            <w:tcW w:w="257" w:type="pct"/>
            <w:shd w:val="clear" w:color="auto" w:fill="auto"/>
            <w:vAlign w:val="center"/>
          </w:tcPr>
          <w:p w14:paraId="6C83F58D">
            <w:pPr>
              <w:pStyle w:val="31"/>
              <w:bidi w:val="0"/>
              <w:rPr>
                <w:b w:val="0"/>
                <w:bCs/>
                <w:color w:val="auto"/>
              </w:rPr>
            </w:pPr>
            <w:r>
              <w:rPr>
                <w:b w:val="0"/>
                <w:bCs/>
                <w:color w:val="auto"/>
              </w:rPr>
              <w:t>√</w:t>
            </w:r>
          </w:p>
        </w:tc>
        <w:tc>
          <w:tcPr>
            <w:tcW w:w="257" w:type="pct"/>
            <w:shd w:val="clear" w:color="auto" w:fill="auto"/>
            <w:vAlign w:val="center"/>
          </w:tcPr>
          <w:p w14:paraId="4CBFD210">
            <w:pPr>
              <w:pStyle w:val="31"/>
              <w:bidi w:val="0"/>
              <w:rPr>
                <w:b w:val="0"/>
                <w:bCs/>
                <w:color w:val="auto"/>
              </w:rPr>
            </w:pPr>
          </w:p>
        </w:tc>
        <w:tc>
          <w:tcPr>
            <w:tcW w:w="257" w:type="pct"/>
            <w:shd w:val="clear" w:color="auto" w:fill="auto"/>
            <w:vAlign w:val="center"/>
          </w:tcPr>
          <w:p w14:paraId="29C20EB9">
            <w:pPr>
              <w:pStyle w:val="31"/>
              <w:bidi w:val="0"/>
              <w:rPr>
                <w:b w:val="0"/>
                <w:bCs/>
                <w:color w:val="auto"/>
              </w:rPr>
            </w:pPr>
          </w:p>
        </w:tc>
        <w:tc>
          <w:tcPr>
            <w:tcW w:w="262" w:type="pct"/>
            <w:shd w:val="clear" w:color="auto" w:fill="auto"/>
            <w:vAlign w:val="center"/>
          </w:tcPr>
          <w:p w14:paraId="7BA708BA">
            <w:pPr>
              <w:pStyle w:val="31"/>
              <w:bidi w:val="0"/>
              <w:rPr>
                <w:b w:val="0"/>
                <w:bCs/>
                <w:color w:val="auto"/>
              </w:rPr>
            </w:pPr>
            <w:r>
              <w:rPr>
                <w:b w:val="0"/>
                <w:bCs/>
                <w:color w:val="auto"/>
              </w:rPr>
              <w:t>√</w:t>
            </w:r>
          </w:p>
        </w:tc>
        <w:tc>
          <w:tcPr>
            <w:tcW w:w="285" w:type="pct"/>
            <w:shd w:val="clear" w:color="auto" w:fill="auto"/>
            <w:vAlign w:val="center"/>
          </w:tcPr>
          <w:p w14:paraId="31BA0575">
            <w:pPr>
              <w:pStyle w:val="31"/>
              <w:bidi w:val="0"/>
              <w:rPr>
                <w:b w:val="0"/>
                <w:bCs/>
                <w:color w:val="auto"/>
              </w:rPr>
            </w:pPr>
          </w:p>
        </w:tc>
        <w:tc>
          <w:tcPr>
            <w:tcW w:w="285" w:type="pct"/>
            <w:shd w:val="clear" w:color="auto" w:fill="auto"/>
            <w:vAlign w:val="center"/>
          </w:tcPr>
          <w:p w14:paraId="2B0C64E1">
            <w:pPr>
              <w:pStyle w:val="31"/>
              <w:bidi w:val="0"/>
              <w:rPr>
                <w:b w:val="0"/>
                <w:bCs/>
                <w:color w:val="auto"/>
              </w:rPr>
            </w:pPr>
            <w:r>
              <w:rPr>
                <w:b w:val="0"/>
                <w:bCs/>
                <w:color w:val="auto"/>
              </w:rPr>
              <w:t>√</w:t>
            </w:r>
          </w:p>
        </w:tc>
        <w:tc>
          <w:tcPr>
            <w:tcW w:w="229" w:type="pct"/>
            <w:shd w:val="clear" w:color="auto" w:fill="auto"/>
            <w:vAlign w:val="center"/>
          </w:tcPr>
          <w:p w14:paraId="0D0CA1BE">
            <w:pPr>
              <w:pStyle w:val="31"/>
              <w:bidi w:val="0"/>
              <w:rPr>
                <w:b w:val="0"/>
                <w:bCs/>
                <w:color w:val="auto"/>
              </w:rPr>
            </w:pPr>
          </w:p>
        </w:tc>
        <w:tc>
          <w:tcPr>
            <w:tcW w:w="229" w:type="pct"/>
            <w:shd w:val="clear" w:color="auto" w:fill="auto"/>
            <w:vAlign w:val="center"/>
          </w:tcPr>
          <w:p w14:paraId="28FCD706">
            <w:pPr>
              <w:pStyle w:val="31"/>
              <w:bidi w:val="0"/>
              <w:rPr>
                <w:b w:val="0"/>
                <w:bCs/>
                <w:color w:val="auto"/>
              </w:rPr>
            </w:pPr>
          </w:p>
        </w:tc>
        <w:tc>
          <w:tcPr>
            <w:tcW w:w="232" w:type="pct"/>
            <w:shd w:val="clear" w:color="auto" w:fill="auto"/>
            <w:vAlign w:val="center"/>
          </w:tcPr>
          <w:p w14:paraId="10E739A9">
            <w:pPr>
              <w:pStyle w:val="31"/>
              <w:bidi w:val="0"/>
              <w:rPr>
                <w:b w:val="0"/>
                <w:bCs/>
                <w:color w:val="auto"/>
              </w:rPr>
            </w:pPr>
          </w:p>
        </w:tc>
      </w:tr>
      <w:tr w14:paraId="1B2E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3FA5D89C">
            <w:pPr>
              <w:pStyle w:val="31"/>
              <w:bidi w:val="0"/>
              <w:rPr>
                <w:b w:val="0"/>
                <w:bCs/>
                <w:color w:val="auto"/>
              </w:rPr>
            </w:pPr>
          </w:p>
        </w:tc>
        <w:tc>
          <w:tcPr>
            <w:tcW w:w="814" w:type="pct"/>
            <w:shd w:val="clear" w:color="auto" w:fill="auto"/>
            <w:vAlign w:val="center"/>
          </w:tcPr>
          <w:p w14:paraId="010E55F7">
            <w:pPr>
              <w:pStyle w:val="31"/>
              <w:bidi w:val="0"/>
              <w:rPr>
                <w:b w:val="0"/>
                <w:bCs/>
                <w:color w:val="auto"/>
              </w:rPr>
            </w:pPr>
            <w:r>
              <w:rPr>
                <w:b w:val="0"/>
                <w:bCs/>
                <w:color w:val="auto"/>
              </w:rPr>
              <w:t>机械设备尾气和燃油废气</w:t>
            </w:r>
          </w:p>
        </w:tc>
        <w:tc>
          <w:tcPr>
            <w:tcW w:w="242" w:type="pct"/>
            <w:shd w:val="clear" w:color="auto" w:fill="auto"/>
            <w:vAlign w:val="center"/>
          </w:tcPr>
          <w:p w14:paraId="71C34103">
            <w:pPr>
              <w:pStyle w:val="31"/>
              <w:bidi w:val="0"/>
              <w:rPr>
                <w:b w:val="0"/>
                <w:bCs/>
                <w:color w:val="auto"/>
              </w:rPr>
            </w:pPr>
            <w:r>
              <w:rPr>
                <w:b w:val="0"/>
                <w:bCs/>
                <w:color w:val="auto"/>
              </w:rPr>
              <w:t>√</w:t>
            </w:r>
          </w:p>
        </w:tc>
        <w:tc>
          <w:tcPr>
            <w:tcW w:w="249" w:type="pct"/>
            <w:shd w:val="clear" w:color="auto" w:fill="auto"/>
            <w:vAlign w:val="center"/>
          </w:tcPr>
          <w:p w14:paraId="0483CE29">
            <w:pPr>
              <w:pStyle w:val="31"/>
              <w:bidi w:val="0"/>
              <w:rPr>
                <w:b w:val="0"/>
                <w:bCs/>
                <w:color w:val="auto"/>
              </w:rPr>
            </w:pPr>
          </w:p>
        </w:tc>
        <w:tc>
          <w:tcPr>
            <w:tcW w:w="243" w:type="pct"/>
            <w:shd w:val="clear" w:color="auto" w:fill="auto"/>
            <w:vAlign w:val="center"/>
          </w:tcPr>
          <w:p w14:paraId="088C3114">
            <w:pPr>
              <w:pStyle w:val="31"/>
              <w:bidi w:val="0"/>
              <w:rPr>
                <w:b w:val="0"/>
                <w:bCs/>
                <w:color w:val="auto"/>
              </w:rPr>
            </w:pPr>
          </w:p>
        </w:tc>
        <w:tc>
          <w:tcPr>
            <w:tcW w:w="257" w:type="pct"/>
            <w:shd w:val="clear" w:color="auto" w:fill="auto"/>
            <w:vAlign w:val="center"/>
          </w:tcPr>
          <w:p w14:paraId="04B2ECFC">
            <w:pPr>
              <w:pStyle w:val="31"/>
              <w:bidi w:val="0"/>
              <w:rPr>
                <w:b w:val="0"/>
                <w:bCs/>
                <w:color w:val="auto"/>
              </w:rPr>
            </w:pPr>
            <w:r>
              <w:rPr>
                <w:b w:val="0"/>
                <w:bCs/>
                <w:color w:val="auto"/>
              </w:rPr>
              <w:t>√</w:t>
            </w:r>
          </w:p>
        </w:tc>
        <w:tc>
          <w:tcPr>
            <w:tcW w:w="257" w:type="pct"/>
            <w:shd w:val="clear" w:color="auto" w:fill="auto"/>
            <w:vAlign w:val="center"/>
          </w:tcPr>
          <w:p w14:paraId="3038847D">
            <w:pPr>
              <w:pStyle w:val="31"/>
              <w:bidi w:val="0"/>
              <w:rPr>
                <w:b w:val="0"/>
                <w:bCs/>
                <w:color w:val="auto"/>
              </w:rPr>
            </w:pPr>
            <w:r>
              <w:rPr>
                <w:b w:val="0"/>
                <w:bCs/>
                <w:color w:val="auto"/>
              </w:rPr>
              <w:t>√</w:t>
            </w:r>
          </w:p>
        </w:tc>
        <w:tc>
          <w:tcPr>
            <w:tcW w:w="285" w:type="pct"/>
            <w:shd w:val="clear" w:color="auto" w:fill="auto"/>
            <w:vAlign w:val="center"/>
          </w:tcPr>
          <w:p w14:paraId="7B935EF3">
            <w:pPr>
              <w:pStyle w:val="31"/>
              <w:bidi w:val="0"/>
              <w:rPr>
                <w:b w:val="0"/>
                <w:bCs/>
                <w:color w:val="auto"/>
              </w:rPr>
            </w:pPr>
          </w:p>
        </w:tc>
        <w:tc>
          <w:tcPr>
            <w:tcW w:w="257" w:type="pct"/>
            <w:shd w:val="clear" w:color="auto" w:fill="auto"/>
            <w:vAlign w:val="center"/>
          </w:tcPr>
          <w:p w14:paraId="0869AF3C">
            <w:pPr>
              <w:pStyle w:val="31"/>
              <w:bidi w:val="0"/>
              <w:rPr>
                <w:b w:val="0"/>
                <w:bCs/>
                <w:color w:val="auto"/>
              </w:rPr>
            </w:pPr>
            <w:r>
              <w:rPr>
                <w:b w:val="0"/>
                <w:bCs/>
                <w:color w:val="auto"/>
              </w:rPr>
              <w:t>√</w:t>
            </w:r>
          </w:p>
        </w:tc>
        <w:tc>
          <w:tcPr>
            <w:tcW w:w="257" w:type="pct"/>
            <w:shd w:val="clear" w:color="auto" w:fill="auto"/>
            <w:vAlign w:val="center"/>
          </w:tcPr>
          <w:p w14:paraId="0E6D123E">
            <w:pPr>
              <w:pStyle w:val="31"/>
              <w:bidi w:val="0"/>
              <w:rPr>
                <w:b w:val="0"/>
                <w:bCs/>
                <w:color w:val="auto"/>
              </w:rPr>
            </w:pPr>
          </w:p>
        </w:tc>
        <w:tc>
          <w:tcPr>
            <w:tcW w:w="257" w:type="pct"/>
            <w:shd w:val="clear" w:color="auto" w:fill="auto"/>
            <w:vAlign w:val="center"/>
          </w:tcPr>
          <w:p w14:paraId="09F51ADB">
            <w:pPr>
              <w:pStyle w:val="31"/>
              <w:bidi w:val="0"/>
              <w:rPr>
                <w:b w:val="0"/>
                <w:bCs/>
                <w:color w:val="auto"/>
              </w:rPr>
            </w:pPr>
          </w:p>
        </w:tc>
        <w:tc>
          <w:tcPr>
            <w:tcW w:w="262" w:type="pct"/>
            <w:shd w:val="clear" w:color="auto" w:fill="auto"/>
            <w:vAlign w:val="center"/>
          </w:tcPr>
          <w:p w14:paraId="66749D30">
            <w:pPr>
              <w:pStyle w:val="31"/>
              <w:bidi w:val="0"/>
              <w:rPr>
                <w:b w:val="0"/>
                <w:bCs/>
                <w:color w:val="auto"/>
              </w:rPr>
            </w:pPr>
            <w:r>
              <w:rPr>
                <w:b w:val="0"/>
                <w:bCs/>
                <w:color w:val="auto"/>
              </w:rPr>
              <w:t>√</w:t>
            </w:r>
          </w:p>
        </w:tc>
        <w:tc>
          <w:tcPr>
            <w:tcW w:w="285" w:type="pct"/>
            <w:shd w:val="clear" w:color="auto" w:fill="auto"/>
            <w:vAlign w:val="center"/>
          </w:tcPr>
          <w:p w14:paraId="60837141">
            <w:pPr>
              <w:pStyle w:val="31"/>
              <w:bidi w:val="0"/>
              <w:rPr>
                <w:b w:val="0"/>
                <w:bCs/>
                <w:color w:val="auto"/>
              </w:rPr>
            </w:pPr>
          </w:p>
        </w:tc>
        <w:tc>
          <w:tcPr>
            <w:tcW w:w="285" w:type="pct"/>
            <w:shd w:val="clear" w:color="auto" w:fill="auto"/>
            <w:vAlign w:val="center"/>
          </w:tcPr>
          <w:p w14:paraId="5F2C5679">
            <w:pPr>
              <w:pStyle w:val="31"/>
              <w:bidi w:val="0"/>
              <w:rPr>
                <w:b w:val="0"/>
                <w:bCs/>
                <w:color w:val="auto"/>
              </w:rPr>
            </w:pPr>
            <w:r>
              <w:rPr>
                <w:b w:val="0"/>
                <w:bCs/>
                <w:color w:val="auto"/>
              </w:rPr>
              <w:t>√</w:t>
            </w:r>
          </w:p>
        </w:tc>
        <w:tc>
          <w:tcPr>
            <w:tcW w:w="229" w:type="pct"/>
            <w:shd w:val="clear" w:color="auto" w:fill="auto"/>
            <w:vAlign w:val="center"/>
          </w:tcPr>
          <w:p w14:paraId="25983A4F">
            <w:pPr>
              <w:pStyle w:val="31"/>
              <w:bidi w:val="0"/>
              <w:rPr>
                <w:b w:val="0"/>
                <w:bCs/>
                <w:color w:val="auto"/>
              </w:rPr>
            </w:pPr>
          </w:p>
        </w:tc>
        <w:tc>
          <w:tcPr>
            <w:tcW w:w="229" w:type="pct"/>
            <w:shd w:val="clear" w:color="auto" w:fill="auto"/>
            <w:vAlign w:val="center"/>
          </w:tcPr>
          <w:p w14:paraId="69EBDB73">
            <w:pPr>
              <w:pStyle w:val="31"/>
              <w:bidi w:val="0"/>
              <w:rPr>
                <w:b w:val="0"/>
                <w:bCs/>
                <w:color w:val="auto"/>
              </w:rPr>
            </w:pPr>
          </w:p>
        </w:tc>
        <w:tc>
          <w:tcPr>
            <w:tcW w:w="232" w:type="pct"/>
            <w:shd w:val="clear" w:color="auto" w:fill="auto"/>
            <w:vAlign w:val="center"/>
          </w:tcPr>
          <w:p w14:paraId="78896CF3">
            <w:pPr>
              <w:pStyle w:val="31"/>
              <w:bidi w:val="0"/>
              <w:rPr>
                <w:b w:val="0"/>
                <w:bCs/>
                <w:color w:val="auto"/>
              </w:rPr>
            </w:pPr>
          </w:p>
        </w:tc>
      </w:tr>
      <w:tr w14:paraId="2DDA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48E926A4">
            <w:pPr>
              <w:pStyle w:val="31"/>
              <w:bidi w:val="0"/>
              <w:rPr>
                <w:b w:val="0"/>
                <w:bCs/>
                <w:color w:val="auto"/>
              </w:rPr>
            </w:pPr>
          </w:p>
        </w:tc>
        <w:tc>
          <w:tcPr>
            <w:tcW w:w="814" w:type="pct"/>
            <w:shd w:val="clear" w:color="auto" w:fill="auto"/>
            <w:vAlign w:val="center"/>
          </w:tcPr>
          <w:p w14:paraId="116356F6">
            <w:pPr>
              <w:pStyle w:val="31"/>
              <w:bidi w:val="0"/>
              <w:rPr>
                <w:b w:val="0"/>
                <w:bCs/>
                <w:color w:val="auto"/>
              </w:rPr>
            </w:pPr>
            <w:r>
              <w:rPr>
                <w:b w:val="0"/>
                <w:bCs/>
                <w:color w:val="auto"/>
              </w:rPr>
              <w:t>底泥恶臭</w:t>
            </w:r>
          </w:p>
        </w:tc>
        <w:tc>
          <w:tcPr>
            <w:tcW w:w="242" w:type="pct"/>
            <w:shd w:val="clear" w:color="auto" w:fill="auto"/>
            <w:vAlign w:val="center"/>
          </w:tcPr>
          <w:p w14:paraId="1D91872E">
            <w:pPr>
              <w:pStyle w:val="31"/>
              <w:bidi w:val="0"/>
              <w:rPr>
                <w:b w:val="0"/>
                <w:bCs/>
                <w:color w:val="auto"/>
              </w:rPr>
            </w:pPr>
            <w:r>
              <w:rPr>
                <w:b w:val="0"/>
                <w:bCs/>
                <w:color w:val="auto"/>
              </w:rPr>
              <w:t>√</w:t>
            </w:r>
          </w:p>
        </w:tc>
        <w:tc>
          <w:tcPr>
            <w:tcW w:w="249" w:type="pct"/>
            <w:shd w:val="clear" w:color="auto" w:fill="auto"/>
            <w:vAlign w:val="center"/>
          </w:tcPr>
          <w:p w14:paraId="45F5BB64">
            <w:pPr>
              <w:pStyle w:val="31"/>
              <w:bidi w:val="0"/>
              <w:rPr>
                <w:b w:val="0"/>
                <w:bCs/>
                <w:color w:val="auto"/>
              </w:rPr>
            </w:pPr>
          </w:p>
        </w:tc>
        <w:tc>
          <w:tcPr>
            <w:tcW w:w="243" w:type="pct"/>
            <w:shd w:val="clear" w:color="auto" w:fill="auto"/>
            <w:vAlign w:val="center"/>
          </w:tcPr>
          <w:p w14:paraId="64697D02">
            <w:pPr>
              <w:pStyle w:val="31"/>
              <w:bidi w:val="0"/>
              <w:rPr>
                <w:b w:val="0"/>
                <w:bCs/>
                <w:color w:val="auto"/>
              </w:rPr>
            </w:pPr>
          </w:p>
        </w:tc>
        <w:tc>
          <w:tcPr>
            <w:tcW w:w="257" w:type="pct"/>
            <w:shd w:val="clear" w:color="auto" w:fill="auto"/>
            <w:vAlign w:val="center"/>
          </w:tcPr>
          <w:p w14:paraId="35CEB97B">
            <w:pPr>
              <w:pStyle w:val="31"/>
              <w:bidi w:val="0"/>
              <w:rPr>
                <w:b w:val="0"/>
                <w:bCs/>
                <w:color w:val="auto"/>
              </w:rPr>
            </w:pPr>
            <w:r>
              <w:rPr>
                <w:b w:val="0"/>
                <w:bCs/>
                <w:color w:val="auto"/>
              </w:rPr>
              <w:t>√</w:t>
            </w:r>
          </w:p>
        </w:tc>
        <w:tc>
          <w:tcPr>
            <w:tcW w:w="257" w:type="pct"/>
            <w:shd w:val="clear" w:color="auto" w:fill="auto"/>
            <w:vAlign w:val="center"/>
          </w:tcPr>
          <w:p w14:paraId="3AF74079">
            <w:pPr>
              <w:pStyle w:val="31"/>
              <w:bidi w:val="0"/>
              <w:rPr>
                <w:b w:val="0"/>
                <w:bCs/>
                <w:color w:val="auto"/>
              </w:rPr>
            </w:pPr>
            <w:r>
              <w:rPr>
                <w:b w:val="0"/>
                <w:bCs/>
                <w:color w:val="auto"/>
              </w:rPr>
              <w:t>√</w:t>
            </w:r>
          </w:p>
        </w:tc>
        <w:tc>
          <w:tcPr>
            <w:tcW w:w="285" w:type="pct"/>
            <w:shd w:val="clear" w:color="auto" w:fill="auto"/>
            <w:vAlign w:val="center"/>
          </w:tcPr>
          <w:p w14:paraId="118972E6">
            <w:pPr>
              <w:pStyle w:val="31"/>
              <w:bidi w:val="0"/>
              <w:rPr>
                <w:b w:val="0"/>
                <w:bCs/>
                <w:color w:val="auto"/>
              </w:rPr>
            </w:pPr>
          </w:p>
        </w:tc>
        <w:tc>
          <w:tcPr>
            <w:tcW w:w="257" w:type="pct"/>
            <w:shd w:val="clear" w:color="auto" w:fill="auto"/>
            <w:vAlign w:val="center"/>
          </w:tcPr>
          <w:p w14:paraId="48859801">
            <w:pPr>
              <w:pStyle w:val="31"/>
              <w:bidi w:val="0"/>
              <w:rPr>
                <w:b w:val="0"/>
                <w:bCs/>
                <w:color w:val="auto"/>
              </w:rPr>
            </w:pPr>
            <w:r>
              <w:rPr>
                <w:b w:val="0"/>
                <w:bCs/>
                <w:color w:val="auto"/>
              </w:rPr>
              <w:t>√</w:t>
            </w:r>
          </w:p>
        </w:tc>
        <w:tc>
          <w:tcPr>
            <w:tcW w:w="257" w:type="pct"/>
            <w:shd w:val="clear" w:color="auto" w:fill="auto"/>
            <w:vAlign w:val="center"/>
          </w:tcPr>
          <w:p w14:paraId="21C055F0">
            <w:pPr>
              <w:pStyle w:val="31"/>
              <w:bidi w:val="0"/>
              <w:rPr>
                <w:b w:val="0"/>
                <w:bCs/>
                <w:color w:val="auto"/>
              </w:rPr>
            </w:pPr>
          </w:p>
        </w:tc>
        <w:tc>
          <w:tcPr>
            <w:tcW w:w="257" w:type="pct"/>
            <w:shd w:val="clear" w:color="auto" w:fill="auto"/>
            <w:vAlign w:val="center"/>
          </w:tcPr>
          <w:p w14:paraId="3F338815">
            <w:pPr>
              <w:pStyle w:val="31"/>
              <w:bidi w:val="0"/>
              <w:rPr>
                <w:b w:val="0"/>
                <w:bCs/>
                <w:color w:val="auto"/>
              </w:rPr>
            </w:pPr>
          </w:p>
        </w:tc>
        <w:tc>
          <w:tcPr>
            <w:tcW w:w="262" w:type="pct"/>
            <w:shd w:val="clear" w:color="auto" w:fill="auto"/>
            <w:vAlign w:val="center"/>
          </w:tcPr>
          <w:p w14:paraId="4700A7A2">
            <w:pPr>
              <w:pStyle w:val="31"/>
              <w:bidi w:val="0"/>
              <w:rPr>
                <w:b w:val="0"/>
                <w:bCs/>
                <w:color w:val="auto"/>
              </w:rPr>
            </w:pPr>
            <w:r>
              <w:rPr>
                <w:b w:val="0"/>
                <w:bCs/>
                <w:color w:val="auto"/>
              </w:rPr>
              <w:t>√</w:t>
            </w:r>
          </w:p>
        </w:tc>
        <w:tc>
          <w:tcPr>
            <w:tcW w:w="285" w:type="pct"/>
            <w:shd w:val="clear" w:color="auto" w:fill="auto"/>
            <w:vAlign w:val="center"/>
          </w:tcPr>
          <w:p w14:paraId="0AB3F562">
            <w:pPr>
              <w:pStyle w:val="31"/>
              <w:bidi w:val="0"/>
              <w:rPr>
                <w:b w:val="0"/>
                <w:bCs/>
                <w:color w:val="auto"/>
              </w:rPr>
            </w:pPr>
          </w:p>
        </w:tc>
        <w:tc>
          <w:tcPr>
            <w:tcW w:w="285" w:type="pct"/>
            <w:shd w:val="clear" w:color="auto" w:fill="auto"/>
            <w:vAlign w:val="center"/>
          </w:tcPr>
          <w:p w14:paraId="044DCD34">
            <w:pPr>
              <w:pStyle w:val="31"/>
              <w:bidi w:val="0"/>
              <w:rPr>
                <w:b w:val="0"/>
                <w:bCs/>
                <w:color w:val="auto"/>
              </w:rPr>
            </w:pPr>
            <w:r>
              <w:rPr>
                <w:b w:val="0"/>
                <w:bCs/>
                <w:color w:val="auto"/>
              </w:rPr>
              <w:t>√</w:t>
            </w:r>
          </w:p>
        </w:tc>
        <w:tc>
          <w:tcPr>
            <w:tcW w:w="229" w:type="pct"/>
            <w:shd w:val="clear" w:color="auto" w:fill="auto"/>
            <w:vAlign w:val="center"/>
          </w:tcPr>
          <w:p w14:paraId="6ABE0A5F">
            <w:pPr>
              <w:pStyle w:val="31"/>
              <w:bidi w:val="0"/>
              <w:rPr>
                <w:b w:val="0"/>
                <w:bCs/>
                <w:color w:val="auto"/>
              </w:rPr>
            </w:pPr>
          </w:p>
        </w:tc>
        <w:tc>
          <w:tcPr>
            <w:tcW w:w="229" w:type="pct"/>
            <w:shd w:val="clear" w:color="auto" w:fill="auto"/>
            <w:vAlign w:val="center"/>
          </w:tcPr>
          <w:p w14:paraId="6A57D076">
            <w:pPr>
              <w:pStyle w:val="31"/>
              <w:bidi w:val="0"/>
              <w:rPr>
                <w:b w:val="0"/>
                <w:bCs/>
                <w:color w:val="auto"/>
              </w:rPr>
            </w:pPr>
          </w:p>
        </w:tc>
        <w:tc>
          <w:tcPr>
            <w:tcW w:w="232" w:type="pct"/>
            <w:shd w:val="clear" w:color="auto" w:fill="auto"/>
            <w:vAlign w:val="center"/>
          </w:tcPr>
          <w:p w14:paraId="21CDABC0">
            <w:pPr>
              <w:pStyle w:val="31"/>
              <w:bidi w:val="0"/>
              <w:rPr>
                <w:b w:val="0"/>
                <w:bCs/>
                <w:color w:val="auto"/>
              </w:rPr>
            </w:pPr>
          </w:p>
        </w:tc>
      </w:tr>
      <w:tr w14:paraId="26D2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vMerge w:val="continue"/>
            <w:shd w:val="clear" w:color="auto" w:fill="auto"/>
            <w:vAlign w:val="center"/>
          </w:tcPr>
          <w:p w14:paraId="4ECE40A2">
            <w:pPr>
              <w:pStyle w:val="31"/>
              <w:bidi w:val="0"/>
              <w:rPr>
                <w:b w:val="0"/>
                <w:bCs/>
                <w:color w:val="auto"/>
              </w:rPr>
            </w:pPr>
          </w:p>
        </w:tc>
        <w:tc>
          <w:tcPr>
            <w:tcW w:w="814" w:type="pct"/>
            <w:shd w:val="clear" w:color="auto" w:fill="auto"/>
            <w:vAlign w:val="center"/>
          </w:tcPr>
          <w:p w14:paraId="64A9F104">
            <w:pPr>
              <w:pStyle w:val="31"/>
              <w:bidi w:val="0"/>
              <w:rPr>
                <w:b w:val="0"/>
                <w:bCs/>
                <w:color w:val="auto"/>
              </w:rPr>
            </w:pPr>
            <w:r>
              <w:rPr>
                <w:b w:val="0"/>
                <w:bCs/>
                <w:color w:val="auto"/>
              </w:rPr>
              <w:t>生态环境影响</w:t>
            </w:r>
          </w:p>
        </w:tc>
        <w:tc>
          <w:tcPr>
            <w:tcW w:w="242" w:type="pct"/>
            <w:shd w:val="clear" w:color="auto" w:fill="auto"/>
            <w:vAlign w:val="center"/>
          </w:tcPr>
          <w:p w14:paraId="19724900">
            <w:pPr>
              <w:pStyle w:val="31"/>
              <w:bidi w:val="0"/>
              <w:rPr>
                <w:b w:val="0"/>
                <w:bCs/>
                <w:color w:val="auto"/>
              </w:rPr>
            </w:pPr>
            <w:r>
              <w:rPr>
                <w:b w:val="0"/>
                <w:bCs/>
                <w:color w:val="auto"/>
              </w:rPr>
              <w:t>√</w:t>
            </w:r>
          </w:p>
        </w:tc>
        <w:tc>
          <w:tcPr>
            <w:tcW w:w="249" w:type="pct"/>
            <w:shd w:val="clear" w:color="auto" w:fill="auto"/>
            <w:vAlign w:val="center"/>
          </w:tcPr>
          <w:p w14:paraId="0522B480">
            <w:pPr>
              <w:pStyle w:val="31"/>
              <w:bidi w:val="0"/>
              <w:rPr>
                <w:b w:val="0"/>
                <w:bCs/>
                <w:color w:val="auto"/>
              </w:rPr>
            </w:pPr>
          </w:p>
        </w:tc>
        <w:tc>
          <w:tcPr>
            <w:tcW w:w="243" w:type="pct"/>
            <w:shd w:val="clear" w:color="auto" w:fill="auto"/>
            <w:vAlign w:val="center"/>
          </w:tcPr>
          <w:p w14:paraId="0DE213A6">
            <w:pPr>
              <w:pStyle w:val="31"/>
              <w:bidi w:val="0"/>
              <w:rPr>
                <w:b w:val="0"/>
                <w:bCs/>
                <w:color w:val="auto"/>
              </w:rPr>
            </w:pPr>
          </w:p>
        </w:tc>
        <w:tc>
          <w:tcPr>
            <w:tcW w:w="257" w:type="pct"/>
            <w:shd w:val="clear" w:color="auto" w:fill="auto"/>
            <w:vAlign w:val="center"/>
          </w:tcPr>
          <w:p w14:paraId="0C1D9308">
            <w:pPr>
              <w:pStyle w:val="31"/>
              <w:bidi w:val="0"/>
              <w:rPr>
                <w:b w:val="0"/>
                <w:bCs/>
                <w:color w:val="auto"/>
              </w:rPr>
            </w:pPr>
            <w:r>
              <w:rPr>
                <w:b w:val="0"/>
                <w:bCs/>
                <w:color w:val="auto"/>
              </w:rPr>
              <w:t>√</w:t>
            </w:r>
          </w:p>
        </w:tc>
        <w:tc>
          <w:tcPr>
            <w:tcW w:w="257" w:type="pct"/>
            <w:shd w:val="clear" w:color="auto" w:fill="auto"/>
            <w:vAlign w:val="center"/>
          </w:tcPr>
          <w:p w14:paraId="55BBE59D">
            <w:pPr>
              <w:pStyle w:val="31"/>
              <w:bidi w:val="0"/>
              <w:rPr>
                <w:b w:val="0"/>
                <w:bCs/>
                <w:color w:val="auto"/>
              </w:rPr>
            </w:pPr>
            <w:r>
              <w:rPr>
                <w:b w:val="0"/>
                <w:bCs/>
                <w:color w:val="auto"/>
              </w:rPr>
              <w:t>√</w:t>
            </w:r>
          </w:p>
        </w:tc>
        <w:tc>
          <w:tcPr>
            <w:tcW w:w="285" w:type="pct"/>
            <w:shd w:val="clear" w:color="auto" w:fill="auto"/>
            <w:vAlign w:val="center"/>
          </w:tcPr>
          <w:p w14:paraId="5FCE8459">
            <w:pPr>
              <w:pStyle w:val="31"/>
              <w:bidi w:val="0"/>
              <w:rPr>
                <w:b w:val="0"/>
                <w:bCs/>
                <w:color w:val="auto"/>
              </w:rPr>
            </w:pPr>
          </w:p>
        </w:tc>
        <w:tc>
          <w:tcPr>
            <w:tcW w:w="257" w:type="pct"/>
            <w:shd w:val="clear" w:color="auto" w:fill="auto"/>
            <w:vAlign w:val="center"/>
          </w:tcPr>
          <w:p w14:paraId="0572FD65">
            <w:pPr>
              <w:pStyle w:val="31"/>
              <w:bidi w:val="0"/>
              <w:rPr>
                <w:b w:val="0"/>
                <w:bCs/>
                <w:color w:val="auto"/>
              </w:rPr>
            </w:pPr>
          </w:p>
        </w:tc>
        <w:tc>
          <w:tcPr>
            <w:tcW w:w="257" w:type="pct"/>
            <w:shd w:val="clear" w:color="auto" w:fill="auto"/>
            <w:vAlign w:val="center"/>
          </w:tcPr>
          <w:p w14:paraId="00D04DD6">
            <w:pPr>
              <w:pStyle w:val="31"/>
              <w:bidi w:val="0"/>
              <w:rPr>
                <w:b w:val="0"/>
                <w:bCs/>
                <w:color w:val="auto"/>
              </w:rPr>
            </w:pPr>
            <w:r>
              <w:rPr>
                <w:b w:val="0"/>
                <w:bCs/>
                <w:color w:val="auto"/>
              </w:rPr>
              <w:t>√</w:t>
            </w:r>
          </w:p>
        </w:tc>
        <w:tc>
          <w:tcPr>
            <w:tcW w:w="257" w:type="pct"/>
            <w:shd w:val="clear" w:color="auto" w:fill="auto"/>
            <w:vAlign w:val="center"/>
          </w:tcPr>
          <w:p w14:paraId="567D623A">
            <w:pPr>
              <w:pStyle w:val="31"/>
              <w:bidi w:val="0"/>
              <w:rPr>
                <w:b w:val="0"/>
                <w:bCs/>
                <w:color w:val="auto"/>
              </w:rPr>
            </w:pPr>
          </w:p>
        </w:tc>
        <w:tc>
          <w:tcPr>
            <w:tcW w:w="262" w:type="pct"/>
            <w:shd w:val="clear" w:color="auto" w:fill="auto"/>
            <w:vAlign w:val="center"/>
          </w:tcPr>
          <w:p w14:paraId="69566E82">
            <w:pPr>
              <w:pStyle w:val="31"/>
              <w:bidi w:val="0"/>
              <w:rPr>
                <w:b w:val="0"/>
                <w:bCs/>
                <w:color w:val="auto"/>
              </w:rPr>
            </w:pPr>
            <w:r>
              <w:rPr>
                <w:b w:val="0"/>
                <w:bCs/>
                <w:color w:val="auto"/>
              </w:rPr>
              <w:t>√</w:t>
            </w:r>
          </w:p>
        </w:tc>
        <w:tc>
          <w:tcPr>
            <w:tcW w:w="285" w:type="pct"/>
            <w:shd w:val="clear" w:color="auto" w:fill="auto"/>
            <w:vAlign w:val="center"/>
          </w:tcPr>
          <w:p w14:paraId="6E067ECF">
            <w:pPr>
              <w:pStyle w:val="31"/>
              <w:bidi w:val="0"/>
              <w:rPr>
                <w:b w:val="0"/>
                <w:bCs/>
                <w:color w:val="auto"/>
              </w:rPr>
            </w:pPr>
          </w:p>
        </w:tc>
        <w:tc>
          <w:tcPr>
            <w:tcW w:w="285" w:type="pct"/>
            <w:shd w:val="clear" w:color="auto" w:fill="auto"/>
            <w:vAlign w:val="center"/>
          </w:tcPr>
          <w:p w14:paraId="687CDB70">
            <w:pPr>
              <w:pStyle w:val="31"/>
              <w:bidi w:val="0"/>
              <w:rPr>
                <w:b w:val="0"/>
                <w:bCs/>
                <w:color w:val="auto"/>
              </w:rPr>
            </w:pPr>
          </w:p>
        </w:tc>
        <w:tc>
          <w:tcPr>
            <w:tcW w:w="229" w:type="pct"/>
            <w:shd w:val="clear" w:color="auto" w:fill="auto"/>
            <w:vAlign w:val="center"/>
          </w:tcPr>
          <w:p w14:paraId="44DC898A">
            <w:pPr>
              <w:pStyle w:val="31"/>
              <w:bidi w:val="0"/>
              <w:rPr>
                <w:b w:val="0"/>
                <w:bCs/>
                <w:color w:val="auto"/>
              </w:rPr>
            </w:pPr>
            <w:r>
              <w:rPr>
                <w:b w:val="0"/>
                <w:bCs/>
                <w:color w:val="auto"/>
              </w:rPr>
              <w:t>√</w:t>
            </w:r>
          </w:p>
        </w:tc>
        <w:tc>
          <w:tcPr>
            <w:tcW w:w="229" w:type="pct"/>
            <w:shd w:val="clear" w:color="auto" w:fill="auto"/>
            <w:vAlign w:val="center"/>
          </w:tcPr>
          <w:p w14:paraId="2F8496B6">
            <w:pPr>
              <w:pStyle w:val="31"/>
              <w:bidi w:val="0"/>
              <w:rPr>
                <w:b w:val="0"/>
                <w:bCs/>
                <w:color w:val="auto"/>
              </w:rPr>
            </w:pPr>
          </w:p>
        </w:tc>
        <w:tc>
          <w:tcPr>
            <w:tcW w:w="232" w:type="pct"/>
            <w:shd w:val="clear" w:color="auto" w:fill="auto"/>
            <w:vAlign w:val="center"/>
          </w:tcPr>
          <w:p w14:paraId="1715E1D9">
            <w:pPr>
              <w:pStyle w:val="31"/>
              <w:bidi w:val="0"/>
              <w:rPr>
                <w:b w:val="0"/>
                <w:bCs/>
                <w:color w:val="auto"/>
              </w:rPr>
            </w:pPr>
          </w:p>
        </w:tc>
      </w:tr>
      <w:tr w14:paraId="245E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60" w:type="pct"/>
            <w:shd w:val="clear" w:color="auto" w:fill="auto"/>
            <w:vAlign w:val="center"/>
          </w:tcPr>
          <w:p w14:paraId="0E4B66BD">
            <w:pPr>
              <w:pStyle w:val="31"/>
              <w:bidi w:val="0"/>
              <w:rPr>
                <w:b w:val="0"/>
                <w:bCs/>
                <w:color w:val="auto"/>
              </w:rPr>
            </w:pPr>
            <w:r>
              <w:rPr>
                <w:b w:val="0"/>
                <w:bCs/>
                <w:color w:val="auto"/>
              </w:rPr>
              <w:t>运营期</w:t>
            </w:r>
          </w:p>
        </w:tc>
        <w:tc>
          <w:tcPr>
            <w:tcW w:w="814" w:type="pct"/>
            <w:shd w:val="clear" w:color="auto" w:fill="auto"/>
            <w:vAlign w:val="center"/>
          </w:tcPr>
          <w:p w14:paraId="37DA9E3C">
            <w:pPr>
              <w:pStyle w:val="31"/>
              <w:bidi w:val="0"/>
              <w:rPr>
                <w:b w:val="0"/>
                <w:bCs/>
                <w:color w:val="auto"/>
              </w:rPr>
            </w:pPr>
            <w:r>
              <w:rPr>
                <w:b w:val="0"/>
                <w:bCs/>
                <w:color w:val="auto"/>
              </w:rPr>
              <w:t>生态环境影响</w:t>
            </w:r>
          </w:p>
        </w:tc>
        <w:tc>
          <w:tcPr>
            <w:tcW w:w="242" w:type="pct"/>
            <w:shd w:val="clear" w:color="auto" w:fill="auto"/>
            <w:vAlign w:val="center"/>
          </w:tcPr>
          <w:p w14:paraId="7CD45FFB">
            <w:pPr>
              <w:pStyle w:val="31"/>
              <w:bidi w:val="0"/>
              <w:rPr>
                <w:b w:val="0"/>
                <w:bCs/>
                <w:color w:val="auto"/>
              </w:rPr>
            </w:pPr>
          </w:p>
        </w:tc>
        <w:tc>
          <w:tcPr>
            <w:tcW w:w="249" w:type="pct"/>
            <w:shd w:val="clear" w:color="auto" w:fill="auto"/>
            <w:vAlign w:val="center"/>
          </w:tcPr>
          <w:p w14:paraId="39519DD7">
            <w:pPr>
              <w:pStyle w:val="31"/>
              <w:bidi w:val="0"/>
              <w:rPr>
                <w:b w:val="0"/>
                <w:bCs/>
                <w:color w:val="auto"/>
              </w:rPr>
            </w:pPr>
          </w:p>
        </w:tc>
        <w:tc>
          <w:tcPr>
            <w:tcW w:w="243" w:type="pct"/>
            <w:shd w:val="clear" w:color="auto" w:fill="auto"/>
            <w:vAlign w:val="center"/>
          </w:tcPr>
          <w:p w14:paraId="7F60599C">
            <w:pPr>
              <w:pStyle w:val="31"/>
              <w:bidi w:val="0"/>
              <w:rPr>
                <w:b w:val="0"/>
                <w:bCs/>
                <w:color w:val="auto"/>
              </w:rPr>
            </w:pPr>
          </w:p>
        </w:tc>
        <w:tc>
          <w:tcPr>
            <w:tcW w:w="257" w:type="pct"/>
            <w:shd w:val="clear" w:color="auto" w:fill="auto"/>
            <w:vAlign w:val="center"/>
          </w:tcPr>
          <w:p w14:paraId="2CB5070B">
            <w:pPr>
              <w:pStyle w:val="31"/>
              <w:bidi w:val="0"/>
              <w:rPr>
                <w:b w:val="0"/>
                <w:bCs/>
                <w:color w:val="auto"/>
              </w:rPr>
            </w:pPr>
          </w:p>
        </w:tc>
        <w:tc>
          <w:tcPr>
            <w:tcW w:w="257" w:type="pct"/>
            <w:shd w:val="clear" w:color="auto" w:fill="auto"/>
            <w:vAlign w:val="center"/>
          </w:tcPr>
          <w:p w14:paraId="1B9742B2">
            <w:pPr>
              <w:pStyle w:val="31"/>
              <w:bidi w:val="0"/>
              <w:rPr>
                <w:b w:val="0"/>
                <w:bCs/>
                <w:color w:val="auto"/>
              </w:rPr>
            </w:pPr>
          </w:p>
        </w:tc>
        <w:tc>
          <w:tcPr>
            <w:tcW w:w="285" w:type="pct"/>
            <w:shd w:val="clear" w:color="auto" w:fill="auto"/>
            <w:vAlign w:val="center"/>
          </w:tcPr>
          <w:p w14:paraId="43902460">
            <w:pPr>
              <w:pStyle w:val="31"/>
              <w:bidi w:val="0"/>
              <w:rPr>
                <w:b w:val="0"/>
                <w:bCs/>
                <w:color w:val="auto"/>
              </w:rPr>
            </w:pPr>
            <w:r>
              <w:rPr>
                <w:b w:val="0"/>
                <w:bCs/>
                <w:color w:val="auto"/>
              </w:rPr>
              <w:t>√</w:t>
            </w:r>
          </w:p>
        </w:tc>
        <w:tc>
          <w:tcPr>
            <w:tcW w:w="257" w:type="pct"/>
            <w:shd w:val="clear" w:color="auto" w:fill="auto"/>
            <w:vAlign w:val="center"/>
          </w:tcPr>
          <w:p w14:paraId="7257FC02">
            <w:pPr>
              <w:pStyle w:val="31"/>
              <w:bidi w:val="0"/>
              <w:rPr>
                <w:b w:val="0"/>
                <w:bCs/>
                <w:color w:val="auto"/>
              </w:rPr>
            </w:pPr>
          </w:p>
        </w:tc>
        <w:tc>
          <w:tcPr>
            <w:tcW w:w="257" w:type="pct"/>
            <w:shd w:val="clear" w:color="auto" w:fill="auto"/>
            <w:vAlign w:val="center"/>
          </w:tcPr>
          <w:p w14:paraId="72C40353">
            <w:pPr>
              <w:pStyle w:val="31"/>
              <w:bidi w:val="0"/>
              <w:rPr>
                <w:b w:val="0"/>
                <w:bCs/>
                <w:color w:val="auto"/>
              </w:rPr>
            </w:pPr>
            <w:r>
              <w:rPr>
                <w:b w:val="0"/>
                <w:bCs/>
                <w:color w:val="auto"/>
              </w:rPr>
              <w:t>√</w:t>
            </w:r>
          </w:p>
        </w:tc>
        <w:tc>
          <w:tcPr>
            <w:tcW w:w="257" w:type="pct"/>
            <w:shd w:val="clear" w:color="auto" w:fill="auto"/>
            <w:vAlign w:val="center"/>
          </w:tcPr>
          <w:p w14:paraId="7171FD2E">
            <w:pPr>
              <w:pStyle w:val="31"/>
              <w:bidi w:val="0"/>
              <w:rPr>
                <w:b w:val="0"/>
                <w:bCs/>
                <w:color w:val="auto"/>
              </w:rPr>
            </w:pPr>
            <w:r>
              <w:rPr>
                <w:b w:val="0"/>
                <w:bCs/>
                <w:color w:val="auto"/>
              </w:rPr>
              <w:t>√</w:t>
            </w:r>
          </w:p>
        </w:tc>
        <w:tc>
          <w:tcPr>
            <w:tcW w:w="262" w:type="pct"/>
            <w:shd w:val="clear" w:color="auto" w:fill="auto"/>
            <w:vAlign w:val="center"/>
          </w:tcPr>
          <w:p w14:paraId="2A87167B">
            <w:pPr>
              <w:pStyle w:val="31"/>
              <w:bidi w:val="0"/>
              <w:rPr>
                <w:b w:val="0"/>
                <w:bCs/>
                <w:color w:val="auto"/>
              </w:rPr>
            </w:pPr>
          </w:p>
        </w:tc>
        <w:tc>
          <w:tcPr>
            <w:tcW w:w="285" w:type="pct"/>
            <w:shd w:val="clear" w:color="auto" w:fill="auto"/>
            <w:vAlign w:val="center"/>
          </w:tcPr>
          <w:p w14:paraId="539AC478">
            <w:pPr>
              <w:pStyle w:val="31"/>
              <w:bidi w:val="0"/>
              <w:rPr>
                <w:b w:val="0"/>
                <w:bCs/>
                <w:color w:val="auto"/>
              </w:rPr>
            </w:pPr>
          </w:p>
        </w:tc>
        <w:tc>
          <w:tcPr>
            <w:tcW w:w="285" w:type="pct"/>
            <w:shd w:val="clear" w:color="auto" w:fill="auto"/>
            <w:vAlign w:val="center"/>
          </w:tcPr>
          <w:p w14:paraId="1D4756AD">
            <w:pPr>
              <w:pStyle w:val="31"/>
              <w:bidi w:val="0"/>
              <w:rPr>
                <w:b w:val="0"/>
                <w:bCs/>
                <w:color w:val="auto"/>
              </w:rPr>
            </w:pPr>
          </w:p>
        </w:tc>
        <w:tc>
          <w:tcPr>
            <w:tcW w:w="229" w:type="pct"/>
            <w:shd w:val="clear" w:color="auto" w:fill="auto"/>
            <w:vAlign w:val="center"/>
          </w:tcPr>
          <w:p w14:paraId="48F017FC">
            <w:pPr>
              <w:pStyle w:val="31"/>
              <w:bidi w:val="0"/>
              <w:rPr>
                <w:b w:val="0"/>
                <w:bCs/>
                <w:color w:val="auto"/>
              </w:rPr>
            </w:pPr>
            <w:r>
              <w:rPr>
                <w:b w:val="0"/>
                <w:bCs/>
                <w:color w:val="auto"/>
              </w:rPr>
              <w:t>√</w:t>
            </w:r>
          </w:p>
        </w:tc>
        <w:tc>
          <w:tcPr>
            <w:tcW w:w="229" w:type="pct"/>
            <w:shd w:val="clear" w:color="auto" w:fill="auto"/>
            <w:vAlign w:val="center"/>
          </w:tcPr>
          <w:p w14:paraId="24F3B6DB">
            <w:pPr>
              <w:pStyle w:val="31"/>
              <w:bidi w:val="0"/>
              <w:rPr>
                <w:b w:val="0"/>
                <w:bCs/>
                <w:color w:val="auto"/>
              </w:rPr>
            </w:pPr>
          </w:p>
        </w:tc>
        <w:tc>
          <w:tcPr>
            <w:tcW w:w="232" w:type="pct"/>
            <w:shd w:val="clear" w:color="auto" w:fill="auto"/>
            <w:vAlign w:val="center"/>
          </w:tcPr>
          <w:p w14:paraId="4FEC842B">
            <w:pPr>
              <w:pStyle w:val="31"/>
              <w:bidi w:val="0"/>
              <w:rPr>
                <w:b w:val="0"/>
                <w:bCs/>
                <w:color w:val="auto"/>
              </w:rPr>
            </w:pPr>
          </w:p>
        </w:tc>
      </w:tr>
    </w:tbl>
    <w:p w14:paraId="17560BDF">
      <w:pPr>
        <w:pStyle w:val="4"/>
        <w:bidi w:val="0"/>
        <w:rPr>
          <w:color w:val="auto"/>
        </w:rPr>
      </w:pPr>
      <w:bookmarkStart w:id="58" w:name="_Toc2364"/>
      <w:r>
        <w:rPr>
          <w:color w:val="auto"/>
        </w:rPr>
        <w:t>评价因子筛选</w:t>
      </w:r>
      <w:bookmarkEnd w:id="58"/>
    </w:p>
    <w:p w14:paraId="2D92D1AB">
      <w:pPr>
        <w:autoSpaceDE w:val="0"/>
        <w:autoSpaceDN w:val="0"/>
        <w:adjustRightInd w:val="0"/>
        <w:spacing w:line="360" w:lineRule="auto"/>
        <w:ind w:firstLine="480" w:firstLineChars="200"/>
        <w:jc w:val="left"/>
        <w:rPr>
          <w:rFonts w:ascii="Times New Roman" w:hAnsi="Times New Roman"/>
          <w:color w:val="auto"/>
        </w:rPr>
      </w:pPr>
      <w:r>
        <w:rPr>
          <w:rFonts w:ascii="Times New Roman" w:hAnsi="Times New Roman"/>
          <w:color w:val="auto"/>
          <w:sz w:val="24"/>
          <w:szCs w:val="24"/>
        </w:rPr>
        <w:t>根据拟建项目工程特点、建设方案及排污规划，结合区域的环境质量状况，筛选出本项目各环境要素的评价因子汇总如下：</w:t>
      </w:r>
    </w:p>
    <w:p w14:paraId="2236A8E6">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color w:val="auto"/>
        </w:rPr>
        <w:t>项目环境影响评价因子汇总一览表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4015"/>
        <w:gridCol w:w="1878"/>
        <w:gridCol w:w="1437"/>
      </w:tblGrid>
      <w:tr w14:paraId="0A8E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86" w:type="dxa"/>
            <w:shd w:val="clear" w:color="auto" w:fill="auto"/>
            <w:vAlign w:val="center"/>
          </w:tcPr>
          <w:p w14:paraId="2B2EE315">
            <w:pPr>
              <w:pStyle w:val="31"/>
              <w:bidi w:val="0"/>
              <w:rPr>
                <w:b w:val="0"/>
                <w:bCs/>
                <w:color w:val="auto"/>
              </w:rPr>
            </w:pPr>
            <w:r>
              <w:rPr>
                <w:b w:val="0"/>
                <w:bCs/>
                <w:color w:val="auto"/>
              </w:rPr>
              <w:t>项目</w:t>
            </w:r>
          </w:p>
        </w:tc>
        <w:tc>
          <w:tcPr>
            <w:tcW w:w="4015" w:type="dxa"/>
            <w:shd w:val="clear" w:color="auto" w:fill="auto"/>
            <w:vAlign w:val="center"/>
          </w:tcPr>
          <w:p w14:paraId="06C06123">
            <w:pPr>
              <w:pStyle w:val="31"/>
              <w:bidi w:val="0"/>
              <w:rPr>
                <w:b w:val="0"/>
                <w:bCs/>
                <w:color w:val="auto"/>
              </w:rPr>
            </w:pPr>
            <w:r>
              <w:rPr>
                <w:b w:val="0"/>
                <w:bCs/>
                <w:color w:val="auto"/>
              </w:rPr>
              <w:t>现状评价因子</w:t>
            </w:r>
          </w:p>
        </w:tc>
        <w:tc>
          <w:tcPr>
            <w:tcW w:w="1878" w:type="dxa"/>
            <w:shd w:val="clear" w:color="auto" w:fill="auto"/>
            <w:vAlign w:val="center"/>
          </w:tcPr>
          <w:p w14:paraId="19EA3CEC">
            <w:pPr>
              <w:pStyle w:val="31"/>
              <w:bidi w:val="0"/>
              <w:rPr>
                <w:b w:val="0"/>
                <w:bCs/>
                <w:color w:val="auto"/>
              </w:rPr>
            </w:pPr>
            <w:r>
              <w:rPr>
                <w:b w:val="0"/>
                <w:bCs/>
                <w:color w:val="auto"/>
              </w:rPr>
              <w:t>预测评价因子</w:t>
            </w:r>
          </w:p>
        </w:tc>
        <w:tc>
          <w:tcPr>
            <w:tcW w:w="1437" w:type="dxa"/>
            <w:shd w:val="clear" w:color="auto" w:fill="auto"/>
            <w:vAlign w:val="center"/>
          </w:tcPr>
          <w:p w14:paraId="5808E989">
            <w:pPr>
              <w:pStyle w:val="31"/>
              <w:bidi w:val="0"/>
              <w:rPr>
                <w:b w:val="0"/>
                <w:bCs/>
                <w:color w:val="auto"/>
              </w:rPr>
            </w:pPr>
            <w:r>
              <w:rPr>
                <w:b w:val="0"/>
                <w:bCs/>
                <w:color w:val="auto"/>
              </w:rPr>
              <w:t>总量控制因子</w:t>
            </w:r>
          </w:p>
        </w:tc>
      </w:tr>
      <w:tr w14:paraId="77F9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86" w:type="dxa"/>
            <w:shd w:val="clear" w:color="auto" w:fill="auto"/>
            <w:vAlign w:val="center"/>
          </w:tcPr>
          <w:p w14:paraId="558A90C2">
            <w:pPr>
              <w:pStyle w:val="31"/>
              <w:bidi w:val="0"/>
              <w:rPr>
                <w:b w:val="0"/>
                <w:bCs/>
                <w:color w:val="auto"/>
              </w:rPr>
            </w:pPr>
            <w:r>
              <w:rPr>
                <w:b w:val="0"/>
                <w:bCs/>
                <w:color w:val="auto"/>
              </w:rPr>
              <w:t>环境空气</w:t>
            </w:r>
          </w:p>
        </w:tc>
        <w:tc>
          <w:tcPr>
            <w:tcW w:w="4015" w:type="dxa"/>
            <w:shd w:val="clear" w:color="auto" w:fill="auto"/>
            <w:vAlign w:val="center"/>
          </w:tcPr>
          <w:p w14:paraId="255FA88D">
            <w:pPr>
              <w:pStyle w:val="31"/>
              <w:bidi w:val="0"/>
              <w:rPr>
                <w:b w:val="0"/>
                <w:bCs/>
                <w:color w:val="auto"/>
              </w:rPr>
            </w:pPr>
            <w:r>
              <w:rPr>
                <w:b w:val="0"/>
                <w:bCs/>
                <w:color w:val="auto"/>
              </w:rPr>
              <w:t>SO</w:t>
            </w:r>
            <w:r>
              <w:rPr>
                <w:b w:val="0"/>
                <w:bCs/>
                <w:color w:val="auto"/>
                <w:vertAlign w:val="subscript"/>
              </w:rPr>
              <w:t>2</w:t>
            </w:r>
            <w:r>
              <w:rPr>
                <w:b w:val="0"/>
                <w:bCs/>
                <w:color w:val="auto"/>
              </w:rPr>
              <w:t>、NO</w:t>
            </w:r>
            <w:r>
              <w:rPr>
                <w:b w:val="0"/>
                <w:bCs/>
                <w:color w:val="auto"/>
                <w:vertAlign w:val="subscript"/>
              </w:rPr>
              <w:t>2</w:t>
            </w:r>
            <w:r>
              <w:rPr>
                <w:b w:val="0"/>
                <w:bCs/>
                <w:color w:val="auto"/>
              </w:rPr>
              <w:t>、PM</w:t>
            </w:r>
            <w:r>
              <w:rPr>
                <w:b w:val="0"/>
                <w:bCs/>
                <w:color w:val="auto"/>
                <w:vertAlign w:val="subscript"/>
              </w:rPr>
              <w:t>10</w:t>
            </w:r>
            <w:r>
              <w:rPr>
                <w:b w:val="0"/>
                <w:bCs/>
                <w:color w:val="auto"/>
              </w:rPr>
              <w:t>、PM</w:t>
            </w:r>
            <w:r>
              <w:rPr>
                <w:b w:val="0"/>
                <w:bCs/>
                <w:color w:val="auto"/>
                <w:vertAlign w:val="subscript"/>
              </w:rPr>
              <w:t>2.5</w:t>
            </w:r>
            <w:r>
              <w:rPr>
                <w:b w:val="0"/>
                <w:bCs/>
                <w:color w:val="auto"/>
              </w:rPr>
              <w:t>、CO、O</w:t>
            </w:r>
            <w:r>
              <w:rPr>
                <w:b w:val="0"/>
                <w:bCs/>
                <w:color w:val="auto"/>
                <w:vertAlign w:val="subscript"/>
              </w:rPr>
              <w:t>3</w:t>
            </w:r>
          </w:p>
        </w:tc>
        <w:tc>
          <w:tcPr>
            <w:tcW w:w="1878" w:type="dxa"/>
            <w:shd w:val="clear" w:color="auto" w:fill="auto"/>
            <w:vAlign w:val="center"/>
          </w:tcPr>
          <w:p w14:paraId="60107A32">
            <w:pPr>
              <w:pStyle w:val="31"/>
              <w:bidi w:val="0"/>
              <w:rPr>
                <w:rFonts w:hint="eastAsia" w:eastAsia="宋体"/>
                <w:b w:val="0"/>
                <w:bCs/>
                <w:color w:val="auto"/>
                <w:lang w:eastAsia="zh-CN"/>
              </w:rPr>
            </w:pPr>
            <w:r>
              <w:rPr>
                <w:rFonts w:hint="eastAsia"/>
                <w:b w:val="0"/>
                <w:bCs/>
                <w:color w:val="auto"/>
                <w:lang w:val="en-US" w:eastAsia="zh-CN"/>
              </w:rPr>
              <w:t>/</w:t>
            </w:r>
          </w:p>
        </w:tc>
        <w:tc>
          <w:tcPr>
            <w:tcW w:w="1437" w:type="dxa"/>
            <w:shd w:val="clear" w:color="auto" w:fill="auto"/>
            <w:vAlign w:val="center"/>
          </w:tcPr>
          <w:p w14:paraId="058C41C7">
            <w:pPr>
              <w:pStyle w:val="31"/>
              <w:bidi w:val="0"/>
              <w:rPr>
                <w:b w:val="0"/>
                <w:bCs/>
                <w:color w:val="auto"/>
              </w:rPr>
            </w:pPr>
            <w:r>
              <w:rPr>
                <w:b w:val="0"/>
                <w:bCs/>
                <w:color w:val="auto"/>
              </w:rPr>
              <w:t>/</w:t>
            </w:r>
          </w:p>
        </w:tc>
      </w:tr>
      <w:tr w14:paraId="0EBA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86" w:type="dxa"/>
            <w:shd w:val="clear" w:color="auto" w:fill="auto"/>
            <w:vAlign w:val="center"/>
          </w:tcPr>
          <w:p w14:paraId="009F1CBE">
            <w:pPr>
              <w:pStyle w:val="31"/>
              <w:bidi w:val="0"/>
              <w:rPr>
                <w:b w:val="0"/>
                <w:bCs/>
                <w:color w:val="auto"/>
              </w:rPr>
            </w:pPr>
            <w:r>
              <w:rPr>
                <w:b w:val="0"/>
                <w:bCs/>
                <w:color w:val="auto"/>
              </w:rPr>
              <w:t>地表水环境</w:t>
            </w:r>
          </w:p>
        </w:tc>
        <w:tc>
          <w:tcPr>
            <w:tcW w:w="4015" w:type="dxa"/>
            <w:shd w:val="clear" w:color="auto" w:fill="auto"/>
            <w:vAlign w:val="center"/>
          </w:tcPr>
          <w:p w14:paraId="3AF4996C">
            <w:pPr>
              <w:pStyle w:val="31"/>
              <w:bidi w:val="0"/>
              <w:rPr>
                <w:b w:val="0"/>
                <w:bCs/>
                <w:color w:val="auto"/>
              </w:rPr>
            </w:pPr>
            <w:r>
              <w:rPr>
                <w:rFonts w:hint="eastAsia"/>
                <w:b w:val="0"/>
                <w:bCs/>
                <w:color w:val="auto"/>
              </w:rPr>
              <w:t>pH、COD、BOD</w:t>
            </w:r>
            <w:r>
              <w:rPr>
                <w:rFonts w:hint="eastAsia"/>
                <w:b w:val="0"/>
                <w:bCs/>
                <w:color w:val="auto"/>
                <w:vertAlign w:val="subscript"/>
              </w:rPr>
              <w:t>5</w:t>
            </w:r>
            <w:r>
              <w:rPr>
                <w:rFonts w:hint="eastAsia"/>
                <w:b w:val="0"/>
                <w:bCs/>
                <w:color w:val="auto"/>
              </w:rPr>
              <w:t>、NH</w:t>
            </w:r>
            <w:r>
              <w:rPr>
                <w:rFonts w:hint="eastAsia"/>
                <w:b w:val="0"/>
                <w:bCs/>
                <w:color w:val="auto"/>
                <w:vertAlign w:val="subscript"/>
              </w:rPr>
              <w:t>3</w:t>
            </w:r>
            <w:r>
              <w:rPr>
                <w:rFonts w:hint="eastAsia"/>
                <w:b w:val="0"/>
                <w:bCs/>
                <w:color w:val="auto"/>
              </w:rPr>
              <w:t>-N、总磷、石油类</w:t>
            </w:r>
          </w:p>
        </w:tc>
        <w:tc>
          <w:tcPr>
            <w:tcW w:w="1878" w:type="dxa"/>
            <w:shd w:val="clear" w:color="auto" w:fill="auto"/>
            <w:vAlign w:val="center"/>
          </w:tcPr>
          <w:p w14:paraId="2F3E4F2B">
            <w:pPr>
              <w:pStyle w:val="31"/>
              <w:bidi w:val="0"/>
              <w:rPr>
                <w:b w:val="0"/>
                <w:bCs/>
                <w:color w:val="auto"/>
              </w:rPr>
            </w:pPr>
            <w:r>
              <w:rPr>
                <w:b w:val="0"/>
                <w:bCs/>
                <w:color w:val="auto"/>
              </w:rPr>
              <w:t>/</w:t>
            </w:r>
          </w:p>
        </w:tc>
        <w:tc>
          <w:tcPr>
            <w:tcW w:w="1437" w:type="dxa"/>
            <w:shd w:val="clear" w:color="auto" w:fill="auto"/>
            <w:vAlign w:val="center"/>
          </w:tcPr>
          <w:p w14:paraId="02A5F7F9">
            <w:pPr>
              <w:pStyle w:val="31"/>
              <w:bidi w:val="0"/>
              <w:rPr>
                <w:b w:val="0"/>
                <w:bCs/>
                <w:color w:val="auto"/>
              </w:rPr>
            </w:pPr>
            <w:r>
              <w:rPr>
                <w:b w:val="0"/>
                <w:bCs/>
                <w:color w:val="auto"/>
              </w:rPr>
              <w:t>/</w:t>
            </w:r>
          </w:p>
        </w:tc>
      </w:tr>
      <w:tr w14:paraId="5049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86" w:type="dxa"/>
            <w:shd w:val="clear" w:color="auto" w:fill="auto"/>
            <w:vAlign w:val="center"/>
          </w:tcPr>
          <w:p w14:paraId="54C399CB">
            <w:pPr>
              <w:pStyle w:val="31"/>
              <w:bidi w:val="0"/>
              <w:rPr>
                <w:b w:val="0"/>
                <w:bCs/>
                <w:color w:val="auto"/>
              </w:rPr>
            </w:pPr>
            <w:r>
              <w:rPr>
                <w:b w:val="0"/>
                <w:bCs/>
                <w:color w:val="auto"/>
              </w:rPr>
              <w:t>地下水环境</w:t>
            </w:r>
          </w:p>
        </w:tc>
        <w:tc>
          <w:tcPr>
            <w:tcW w:w="4015" w:type="dxa"/>
            <w:shd w:val="clear" w:color="auto" w:fill="auto"/>
            <w:vAlign w:val="center"/>
          </w:tcPr>
          <w:p w14:paraId="25152656">
            <w:pPr>
              <w:pStyle w:val="31"/>
              <w:bidi w:val="0"/>
              <w:rPr>
                <w:b w:val="0"/>
                <w:bCs/>
                <w:color w:val="auto"/>
              </w:rPr>
            </w:pPr>
            <w:r>
              <w:rPr>
                <w:b w:val="0"/>
                <w:bCs/>
                <w:color w:val="auto"/>
              </w:rPr>
              <w:t>K</w:t>
            </w:r>
            <w:r>
              <w:rPr>
                <w:b w:val="0"/>
                <w:bCs/>
                <w:color w:val="auto"/>
                <w:vertAlign w:val="superscript"/>
              </w:rPr>
              <w:t>+</w:t>
            </w:r>
            <w:r>
              <w:rPr>
                <w:b w:val="0"/>
                <w:bCs/>
                <w:color w:val="auto"/>
              </w:rPr>
              <w:t>、Na</w:t>
            </w:r>
            <w:r>
              <w:rPr>
                <w:b w:val="0"/>
                <w:bCs/>
                <w:color w:val="auto"/>
                <w:vertAlign w:val="superscript"/>
              </w:rPr>
              <w:t>+</w:t>
            </w:r>
            <w:r>
              <w:rPr>
                <w:b w:val="0"/>
                <w:bCs/>
                <w:color w:val="auto"/>
              </w:rPr>
              <w:t>、Ca</w:t>
            </w:r>
            <w:r>
              <w:rPr>
                <w:b w:val="0"/>
                <w:bCs/>
                <w:color w:val="auto"/>
                <w:vertAlign w:val="superscript"/>
              </w:rPr>
              <w:t>2+</w:t>
            </w:r>
            <w:r>
              <w:rPr>
                <w:b w:val="0"/>
                <w:bCs/>
                <w:color w:val="auto"/>
              </w:rPr>
              <w:t>、Mg</w:t>
            </w:r>
            <w:r>
              <w:rPr>
                <w:b w:val="0"/>
                <w:bCs/>
                <w:color w:val="auto"/>
                <w:vertAlign w:val="superscript"/>
              </w:rPr>
              <w:t>2+</w:t>
            </w:r>
            <w:r>
              <w:rPr>
                <w:b w:val="0"/>
                <w:bCs/>
                <w:color w:val="auto"/>
              </w:rPr>
              <w:t>、CO</w:t>
            </w:r>
            <w:r>
              <w:rPr>
                <w:b w:val="0"/>
                <w:bCs/>
                <w:color w:val="auto"/>
                <w:vertAlign w:val="subscript"/>
              </w:rPr>
              <w:t>3</w:t>
            </w:r>
            <w:r>
              <w:rPr>
                <w:b w:val="0"/>
                <w:bCs/>
                <w:color w:val="auto"/>
                <w:vertAlign w:val="superscript"/>
              </w:rPr>
              <w:t>2-</w:t>
            </w:r>
            <w:r>
              <w:rPr>
                <w:b w:val="0"/>
                <w:bCs/>
                <w:color w:val="auto"/>
              </w:rPr>
              <w:t>、HCO</w:t>
            </w:r>
            <w:r>
              <w:rPr>
                <w:b w:val="0"/>
                <w:bCs/>
                <w:color w:val="auto"/>
                <w:vertAlign w:val="subscript"/>
              </w:rPr>
              <w:t>3</w:t>
            </w:r>
            <w:r>
              <w:rPr>
                <w:b w:val="0"/>
                <w:bCs/>
                <w:color w:val="auto"/>
              </w:rPr>
              <w:t>-、Cl</w:t>
            </w:r>
            <w:r>
              <w:rPr>
                <w:b w:val="0"/>
                <w:bCs/>
                <w:color w:val="auto"/>
                <w:vertAlign w:val="superscript"/>
              </w:rPr>
              <w:t>-</w:t>
            </w:r>
            <w:r>
              <w:rPr>
                <w:b w:val="0"/>
                <w:bCs/>
                <w:color w:val="auto"/>
              </w:rPr>
              <w:t>、SO</w:t>
            </w:r>
            <w:r>
              <w:rPr>
                <w:b w:val="0"/>
                <w:bCs/>
                <w:color w:val="auto"/>
                <w:vertAlign w:val="subscript"/>
              </w:rPr>
              <w:t>4</w:t>
            </w:r>
            <w:r>
              <w:rPr>
                <w:b w:val="0"/>
                <w:bCs/>
                <w:color w:val="auto"/>
                <w:vertAlign w:val="superscript"/>
              </w:rPr>
              <w:t>2-</w:t>
            </w:r>
            <w:r>
              <w:rPr>
                <w:b w:val="0"/>
                <w:bCs/>
                <w:color w:val="auto"/>
              </w:rPr>
              <w:t>、pH、氨氮、硝酸盐、亚硝酸盐、挥发性酚类、氰化物、砷、汞、六价铬、总硬度、铅、氟、镉、铁、锰、溶解性总固体、耗氧量、硫酸盐、氯化物、总大肠菌群、细菌总数</w:t>
            </w:r>
            <w:r>
              <w:rPr>
                <w:rFonts w:hint="eastAsia" w:ascii="Times New Roman" w:hAnsi="Times New Roman" w:cs="Times New Roman"/>
                <w:b w:val="0"/>
                <w:bCs/>
                <w:color w:val="auto"/>
                <w:sz w:val="21"/>
                <w:szCs w:val="21"/>
                <w:lang w:eastAsia="zh-CN"/>
              </w:rPr>
              <w:t>、</w:t>
            </w:r>
            <w:r>
              <w:rPr>
                <w:rFonts w:hint="eastAsia" w:ascii="Times New Roman" w:hAnsi="Times New Roman" w:cs="Times New Roman"/>
                <w:b w:val="0"/>
                <w:bCs/>
                <w:color w:val="auto"/>
                <w:sz w:val="21"/>
                <w:szCs w:val="21"/>
                <w:lang w:val="en-US" w:eastAsia="zh-CN"/>
              </w:rPr>
              <w:t>铜、镍、锌</w:t>
            </w:r>
            <w:r>
              <w:rPr>
                <w:b w:val="0"/>
                <w:bCs/>
                <w:color w:val="auto"/>
              </w:rPr>
              <w:t>。</w:t>
            </w:r>
          </w:p>
        </w:tc>
        <w:tc>
          <w:tcPr>
            <w:tcW w:w="1878" w:type="dxa"/>
            <w:shd w:val="clear" w:color="auto" w:fill="auto"/>
            <w:vAlign w:val="center"/>
          </w:tcPr>
          <w:p w14:paraId="04452109">
            <w:pPr>
              <w:pStyle w:val="31"/>
              <w:bidi w:val="0"/>
              <w:rPr>
                <w:rFonts w:hint="eastAsia" w:eastAsia="宋体"/>
                <w:b w:val="0"/>
                <w:bCs/>
                <w:color w:val="auto"/>
                <w:lang w:eastAsia="zh-CN"/>
              </w:rPr>
            </w:pPr>
            <w:r>
              <w:rPr>
                <w:rFonts w:hint="eastAsia" w:eastAsia="宋体" w:cs="Times New Roman"/>
                <w:b w:val="0"/>
                <w:bCs/>
                <w:color w:val="auto"/>
                <w:sz w:val="21"/>
                <w:szCs w:val="21"/>
                <w:lang w:eastAsia="zh-CN"/>
              </w:rPr>
              <w:t>铅、镉、铜、镍、铬</w:t>
            </w:r>
            <w:r>
              <w:rPr>
                <w:rFonts w:hint="eastAsia" w:cs="Times New Roman"/>
                <w:b w:val="0"/>
                <w:bCs/>
                <w:color w:val="auto"/>
                <w:sz w:val="21"/>
                <w:szCs w:val="21"/>
                <w:lang w:eastAsia="zh-CN"/>
              </w:rPr>
              <w:t>（</w:t>
            </w:r>
            <w:r>
              <w:rPr>
                <w:rFonts w:hint="eastAsia" w:eastAsia="宋体" w:cs="Times New Roman"/>
                <w:b w:val="0"/>
                <w:bCs/>
                <w:color w:val="auto"/>
                <w:sz w:val="21"/>
                <w:szCs w:val="21"/>
                <w:lang w:eastAsia="zh-CN"/>
              </w:rPr>
              <w:t>六价</w:t>
            </w:r>
            <w:r>
              <w:rPr>
                <w:rFonts w:hint="eastAsia" w:cs="Times New Roman"/>
                <w:b w:val="0"/>
                <w:bCs/>
                <w:color w:val="auto"/>
                <w:sz w:val="21"/>
                <w:szCs w:val="21"/>
                <w:lang w:eastAsia="zh-CN"/>
              </w:rPr>
              <w:t>）</w:t>
            </w:r>
            <w:r>
              <w:rPr>
                <w:rFonts w:hint="eastAsia" w:eastAsia="宋体" w:cs="Times New Roman"/>
                <w:b w:val="0"/>
                <w:bCs/>
                <w:color w:val="auto"/>
                <w:sz w:val="21"/>
                <w:szCs w:val="21"/>
                <w:lang w:eastAsia="zh-CN"/>
              </w:rPr>
              <w:t>、锌、砷、汞</w:t>
            </w:r>
          </w:p>
        </w:tc>
        <w:tc>
          <w:tcPr>
            <w:tcW w:w="1437" w:type="dxa"/>
            <w:shd w:val="clear" w:color="auto" w:fill="auto"/>
            <w:vAlign w:val="center"/>
          </w:tcPr>
          <w:p w14:paraId="6A034E53">
            <w:pPr>
              <w:pStyle w:val="31"/>
              <w:bidi w:val="0"/>
              <w:rPr>
                <w:b w:val="0"/>
                <w:bCs/>
                <w:color w:val="auto"/>
              </w:rPr>
            </w:pPr>
            <w:r>
              <w:rPr>
                <w:b w:val="0"/>
                <w:bCs/>
                <w:color w:val="auto"/>
              </w:rPr>
              <w:t>/</w:t>
            </w:r>
          </w:p>
        </w:tc>
      </w:tr>
      <w:tr w14:paraId="3611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86" w:type="dxa"/>
            <w:shd w:val="clear" w:color="auto" w:fill="auto"/>
            <w:vAlign w:val="center"/>
          </w:tcPr>
          <w:p w14:paraId="45806CF5">
            <w:pPr>
              <w:pStyle w:val="31"/>
              <w:bidi w:val="0"/>
              <w:rPr>
                <w:b w:val="0"/>
                <w:bCs/>
                <w:color w:val="auto"/>
              </w:rPr>
            </w:pPr>
            <w:r>
              <w:rPr>
                <w:b w:val="0"/>
                <w:bCs/>
                <w:color w:val="auto"/>
              </w:rPr>
              <w:t>环境噪声</w:t>
            </w:r>
          </w:p>
        </w:tc>
        <w:tc>
          <w:tcPr>
            <w:tcW w:w="4015" w:type="dxa"/>
            <w:shd w:val="clear" w:color="auto" w:fill="auto"/>
            <w:vAlign w:val="center"/>
          </w:tcPr>
          <w:p w14:paraId="21C0B591">
            <w:pPr>
              <w:pStyle w:val="31"/>
              <w:bidi w:val="0"/>
              <w:rPr>
                <w:b w:val="0"/>
                <w:bCs/>
                <w:color w:val="auto"/>
              </w:rPr>
            </w:pPr>
            <w:r>
              <w:rPr>
                <w:b w:val="0"/>
                <w:bCs/>
                <w:color w:val="auto"/>
              </w:rPr>
              <w:t>L</w:t>
            </w:r>
            <w:r>
              <w:rPr>
                <w:rFonts w:hint="eastAsia"/>
                <w:b w:val="0"/>
                <w:bCs/>
                <w:color w:val="auto"/>
                <w:lang w:eastAsia="zh-CN"/>
              </w:rPr>
              <w:t>（</w:t>
            </w:r>
            <w:r>
              <w:rPr>
                <w:b w:val="0"/>
                <w:bCs/>
                <w:color w:val="auto"/>
              </w:rPr>
              <w:t>A</w:t>
            </w:r>
            <w:r>
              <w:rPr>
                <w:rFonts w:hint="eastAsia"/>
                <w:b w:val="0"/>
                <w:bCs/>
                <w:color w:val="auto"/>
                <w:lang w:eastAsia="zh-CN"/>
              </w:rPr>
              <w:t>）</w:t>
            </w:r>
            <w:r>
              <w:rPr>
                <w:b w:val="0"/>
                <w:bCs/>
                <w:color w:val="auto"/>
              </w:rPr>
              <w:t>eq</w:t>
            </w:r>
          </w:p>
        </w:tc>
        <w:tc>
          <w:tcPr>
            <w:tcW w:w="1878" w:type="dxa"/>
            <w:shd w:val="clear" w:color="auto" w:fill="auto"/>
            <w:vAlign w:val="center"/>
          </w:tcPr>
          <w:p w14:paraId="42D1316D">
            <w:pPr>
              <w:pStyle w:val="31"/>
              <w:bidi w:val="0"/>
              <w:rPr>
                <w:b w:val="0"/>
                <w:bCs/>
                <w:color w:val="auto"/>
              </w:rPr>
            </w:pPr>
            <w:r>
              <w:rPr>
                <w:b w:val="0"/>
                <w:bCs/>
                <w:color w:val="auto"/>
              </w:rPr>
              <w:t>L</w:t>
            </w:r>
            <w:r>
              <w:rPr>
                <w:rFonts w:hint="eastAsia"/>
                <w:b w:val="0"/>
                <w:bCs/>
                <w:color w:val="auto"/>
                <w:lang w:eastAsia="zh-CN"/>
              </w:rPr>
              <w:t>（</w:t>
            </w:r>
            <w:r>
              <w:rPr>
                <w:b w:val="0"/>
                <w:bCs/>
                <w:color w:val="auto"/>
              </w:rPr>
              <w:t>A</w:t>
            </w:r>
            <w:r>
              <w:rPr>
                <w:rFonts w:hint="eastAsia"/>
                <w:b w:val="0"/>
                <w:bCs/>
                <w:color w:val="auto"/>
                <w:lang w:eastAsia="zh-CN"/>
              </w:rPr>
              <w:t>）</w:t>
            </w:r>
            <w:r>
              <w:rPr>
                <w:b w:val="0"/>
                <w:bCs/>
                <w:color w:val="auto"/>
              </w:rPr>
              <w:t>eq</w:t>
            </w:r>
          </w:p>
        </w:tc>
        <w:tc>
          <w:tcPr>
            <w:tcW w:w="1437" w:type="dxa"/>
            <w:shd w:val="clear" w:color="auto" w:fill="auto"/>
            <w:vAlign w:val="center"/>
          </w:tcPr>
          <w:p w14:paraId="32E8206E">
            <w:pPr>
              <w:pStyle w:val="31"/>
              <w:bidi w:val="0"/>
              <w:rPr>
                <w:b w:val="0"/>
                <w:bCs/>
                <w:color w:val="auto"/>
              </w:rPr>
            </w:pPr>
            <w:r>
              <w:rPr>
                <w:b w:val="0"/>
                <w:bCs/>
                <w:color w:val="auto"/>
              </w:rPr>
              <w:t>/</w:t>
            </w:r>
          </w:p>
        </w:tc>
      </w:tr>
      <w:tr w14:paraId="2128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86" w:type="dxa"/>
            <w:shd w:val="clear" w:color="auto" w:fill="auto"/>
            <w:vAlign w:val="center"/>
          </w:tcPr>
          <w:p w14:paraId="3425F89B">
            <w:pPr>
              <w:pStyle w:val="31"/>
              <w:bidi w:val="0"/>
              <w:rPr>
                <w:color w:val="auto"/>
              </w:rPr>
            </w:pPr>
            <w:r>
              <w:rPr>
                <w:color w:val="auto"/>
              </w:rPr>
              <w:t>生态环境</w:t>
            </w:r>
          </w:p>
        </w:tc>
        <w:tc>
          <w:tcPr>
            <w:tcW w:w="4015" w:type="dxa"/>
            <w:shd w:val="clear" w:color="auto" w:fill="auto"/>
            <w:vAlign w:val="center"/>
          </w:tcPr>
          <w:p w14:paraId="4842764B">
            <w:pPr>
              <w:pStyle w:val="31"/>
              <w:bidi w:val="0"/>
              <w:rPr>
                <w:color w:val="auto"/>
              </w:rPr>
            </w:pPr>
            <w:r>
              <w:rPr>
                <w:rFonts w:hint="eastAsia"/>
                <w:color w:val="auto"/>
              </w:rPr>
              <w:t>分布范围、种群数量、种群结构等</w:t>
            </w:r>
            <w:r>
              <w:rPr>
                <w:rFonts w:hint="eastAsia"/>
                <w:color w:val="auto"/>
                <w:lang w:eastAsia="zh-CN"/>
              </w:rPr>
              <w:t>；</w:t>
            </w:r>
            <w:r>
              <w:rPr>
                <w:rFonts w:hint="eastAsia"/>
                <w:color w:val="auto"/>
              </w:rPr>
              <w:t>生境面积等</w:t>
            </w:r>
            <w:r>
              <w:rPr>
                <w:rFonts w:hint="eastAsia"/>
                <w:color w:val="auto"/>
                <w:lang w:eastAsia="zh-CN"/>
              </w:rPr>
              <w:t>；</w:t>
            </w:r>
            <w:r>
              <w:rPr>
                <w:rFonts w:hint="eastAsia"/>
                <w:color w:val="auto"/>
              </w:rPr>
              <w:t>物种组成、群落结构等</w:t>
            </w:r>
            <w:r>
              <w:rPr>
                <w:rFonts w:hint="eastAsia"/>
                <w:color w:val="auto"/>
                <w:lang w:eastAsia="zh-CN"/>
              </w:rPr>
              <w:t>；</w:t>
            </w:r>
            <w:r>
              <w:rPr>
                <w:rFonts w:hint="eastAsia"/>
                <w:color w:val="auto"/>
              </w:rPr>
              <w:t>植被覆盖度、生物量、生态系统功能等</w:t>
            </w:r>
            <w:r>
              <w:rPr>
                <w:rFonts w:hint="eastAsia"/>
                <w:color w:val="auto"/>
                <w:lang w:eastAsia="zh-CN"/>
              </w:rPr>
              <w:t>；</w:t>
            </w:r>
            <w:r>
              <w:rPr>
                <w:rFonts w:hint="eastAsia"/>
                <w:color w:val="auto"/>
              </w:rPr>
              <w:t>物种丰富度、均匀度</w:t>
            </w:r>
            <w:r>
              <w:rPr>
                <w:rFonts w:hint="eastAsia"/>
                <w:color w:val="auto"/>
                <w:lang w:eastAsia="zh-CN"/>
              </w:rPr>
              <w:t>，</w:t>
            </w:r>
            <w:r>
              <w:rPr>
                <w:rFonts w:hint="eastAsia"/>
                <w:color w:val="auto"/>
              </w:rPr>
              <w:t>优势度等</w:t>
            </w:r>
            <w:r>
              <w:rPr>
                <w:rFonts w:hint="eastAsia"/>
                <w:color w:val="auto"/>
                <w:lang w:eastAsia="zh-CN"/>
              </w:rPr>
              <w:t>；</w:t>
            </w:r>
            <w:r>
              <w:rPr>
                <w:rFonts w:hint="eastAsia"/>
                <w:color w:val="auto"/>
              </w:rPr>
              <w:t>主要保护对象、生态功能等</w:t>
            </w:r>
          </w:p>
        </w:tc>
        <w:tc>
          <w:tcPr>
            <w:tcW w:w="1878" w:type="dxa"/>
            <w:shd w:val="clear" w:color="auto" w:fill="auto"/>
            <w:vAlign w:val="center"/>
          </w:tcPr>
          <w:p w14:paraId="14A2CEC4">
            <w:pPr>
              <w:pStyle w:val="31"/>
              <w:bidi w:val="0"/>
              <w:rPr>
                <w:color w:val="auto"/>
              </w:rPr>
            </w:pPr>
            <w:r>
              <w:rPr>
                <w:rFonts w:hint="eastAsia"/>
                <w:color w:val="auto"/>
              </w:rPr>
              <w:t>物种组成、群落结构等</w:t>
            </w:r>
            <w:r>
              <w:rPr>
                <w:rFonts w:hint="eastAsia"/>
                <w:color w:val="auto"/>
                <w:lang w:eastAsia="zh-CN"/>
              </w:rPr>
              <w:t>；</w:t>
            </w:r>
            <w:r>
              <w:rPr>
                <w:rFonts w:hint="eastAsia"/>
                <w:color w:val="auto"/>
              </w:rPr>
              <w:t>植被覆盖度、生物量、生态系统功能等</w:t>
            </w:r>
            <w:r>
              <w:rPr>
                <w:rFonts w:hint="eastAsia"/>
                <w:color w:val="auto"/>
                <w:lang w:eastAsia="zh-CN"/>
              </w:rPr>
              <w:t>；</w:t>
            </w:r>
            <w:r>
              <w:rPr>
                <w:rFonts w:hint="eastAsia"/>
                <w:color w:val="auto"/>
              </w:rPr>
              <w:t>主要保护对象、生态功能等</w:t>
            </w:r>
          </w:p>
        </w:tc>
        <w:tc>
          <w:tcPr>
            <w:tcW w:w="1437" w:type="dxa"/>
            <w:shd w:val="clear" w:color="auto" w:fill="auto"/>
            <w:vAlign w:val="center"/>
          </w:tcPr>
          <w:p w14:paraId="123A4BD9">
            <w:pPr>
              <w:pStyle w:val="31"/>
              <w:bidi w:val="0"/>
              <w:rPr>
                <w:rFonts w:hint="eastAsia"/>
                <w:color w:val="auto"/>
                <w:lang w:val="en-US" w:eastAsia="zh-CN"/>
              </w:rPr>
            </w:pPr>
            <w:r>
              <w:rPr>
                <w:rFonts w:hint="eastAsia"/>
                <w:color w:val="auto"/>
                <w:lang w:val="en-US" w:eastAsia="zh-CN"/>
              </w:rPr>
              <w:t>/</w:t>
            </w:r>
          </w:p>
        </w:tc>
      </w:tr>
    </w:tbl>
    <w:p w14:paraId="05E4EDBF">
      <w:pPr>
        <w:pStyle w:val="4"/>
        <w:bidi w:val="0"/>
        <w:rPr>
          <w:rFonts w:hint="default"/>
          <w:color w:val="auto"/>
          <w:lang w:val="en-US" w:eastAsia="zh-CN"/>
        </w:rPr>
      </w:pPr>
      <w:bookmarkStart w:id="59" w:name="_Toc212"/>
      <w:r>
        <w:rPr>
          <w:rFonts w:hint="eastAsia"/>
          <w:color w:val="auto"/>
          <w:lang w:val="en-US" w:eastAsia="zh-CN"/>
        </w:rPr>
        <w:t>区域环境功能区划</w:t>
      </w:r>
      <w:bookmarkEnd w:id="59"/>
    </w:p>
    <w:p w14:paraId="33FE47B5">
      <w:pPr>
        <w:bidi w:val="0"/>
        <w:rPr>
          <w:color w:val="auto"/>
        </w:rPr>
      </w:pPr>
      <w:r>
        <w:rPr>
          <w:color w:val="auto"/>
        </w:rPr>
        <w:t>本项目区域环境功能属性见表</w:t>
      </w:r>
      <w:r>
        <w:rPr>
          <w:rFonts w:hint="eastAsia"/>
          <w:color w:val="auto"/>
          <w:lang w:val="en-US" w:eastAsia="zh-CN"/>
        </w:rPr>
        <w:t>2.3-3</w:t>
      </w:r>
      <w:r>
        <w:rPr>
          <w:color w:val="auto"/>
        </w:rPr>
        <w:t>。</w:t>
      </w:r>
    </w:p>
    <w:p w14:paraId="56159C58">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hint="default"/>
          <w:color w:val="auto"/>
        </w:rPr>
        <w:t>建设项目所在地环境功能属性</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86"/>
        <w:gridCol w:w="2134"/>
        <w:gridCol w:w="5636"/>
      </w:tblGrid>
      <w:tr w14:paraId="6A93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586" w:type="dxa"/>
            <w:noWrap w:val="0"/>
            <w:vAlign w:val="center"/>
          </w:tcPr>
          <w:p w14:paraId="777257FF">
            <w:pPr>
              <w:pStyle w:val="31"/>
              <w:bidi w:val="0"/>
              <w:rPr>
                <w:rFonts w:hint="eastAsia"/>
                <w:color w:val="auto"/>
                <w:lang w:eastAsia="zh-CN"/>
              </w:rPr>
            </w:pPr>
            <w:r>
              <w:rPr>
                <w:rFonts w:hint="eastAsia"/>
                <w:color w:val="auto"/>
                <w:lang w:val="en-US" w:eastAsia="zh-CN"/>
              </w:rPr>
              <w:t>序号</w:t>
            </w:r>
          </w:p>
        </w:tc>
        <w:tc>
          <w:tcPr>
            <w:tcW w:w="2134" w:type="dxa"/>
            <w:noWrap w:val="0"/>
            <w:vAlign w:val="center"/>
          </w:tcPr>
          <w:p w14:paraId="67D621CC">
            <w:pPr>
              <w:pStyle w:val="31"/>
              <w:bidi w:val="0"/>
              <w:rPr>
                <w:rFonts w:hint="default"/>
                <w:color w:val="auto"/>
              </w:rPr>
            </w:pPr>
            <w:r>
              <w:rPr>
                <w:rFonts w:hint="default"/>
                <w:color w:val="auto"/>
              </w:rPr>
              <w:t>项目</w:t>
            </w:r>
          </w:p>
        </w:tc>
        <w:tc>
          <w:tcPr>
            <w:tcW w:w="5636" w:type="dxa"/>
            <w:noWrap w:val="0"/>
            <w:vAlign w:val="center"/>
          </w:tcPr>
          <w:p w14:paraId="725FF9D7">
            <w:pPr>
              <w:pStyle w:val="31"/>
              <w:bidi w:val="0"/>
              <w:rPr>
                <w:rFonts w:hint="default"/>
                <w:color w:val="auto"/>
              </w:rPr>
            </w:pPr>
            <w:r>
              <w:rPr>
                <w:rFonts w:hint="default"/>
                <w:color w:val="auto"/>
              </w:rPr>
              <w:t>功能属性</w:t>
            </w:r>
          </w:p>
        </w:tc>
      </w:tr>
      <w:tr w14:paraId="48F5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586" w:type="dxa"/>
            <w:noWrap w:val="0"/>
            <w:vAlign w:val="center"/>
          </w:tcPr>
          <w:p w14:paraId="5911A11A">
            <w:pPr>
              <w:pStyle w:val="31"/>
              <w:bidi w:val="0"/>
              <w:rPr>
                <w:rFonts w:hint="default"/>
                <w:color w:val="auto"/>
              </w:rPr>
            </w:pPr>
            <w:r>
              <w:rPr>
                <w:rFonts w:hint="default"/>
                <w:color w:val="auto"/>
              </w:rPr>
              <w:t>1</w:t>
            </w:r>
          </w:p>
        </w:tc>
        <w:tc>
          <w:tcPr>
            <w:tcW w:w="2134" w:type="dxa"/>
            <w:noWrap w:val="0"/>
            <w:vAlign w:val="center"/>
          </w:tcPr>
          <w:p w14:paraId="11A23AA0">
            <w:pPr>
              <w:pStyle w:val="31"/>
              <w:bidi w:val="0"/>
              <w:rPr>
                <w:rFonts w:hint="default"/>
                <w:color w:val="auto"/>
              </w:rPr>
            </w:pPr>
            <w:r>
              <w:rPr>
                <w:rFonts w:hint="default"/>
                <w:color w:val="auto"/>
              </w:rPr>
              <w:t>地表水功能区</w:t>
            </w:r>
          </w:p>
        </w:tc>
        <w:tc>
          <w:tcPr>
            <w:tcW w:w="5636" w:type="dxa"/>
            <w:noWrap w:val="0"/>
            <w:vAlign w:val="center"/>
          </w:tcPr>
          <w:p w14:paraId="28CFCA8C">
            <w:pPr>
              <w:pStyle w:val="31"/>
              <w:bidi w:val="0"/>
              <w:rPr>
                <w:rFonts w:hint="default"/>
                <w:color w:val="auto"/>
              </w:rPr>
            </w:pPr>
            <w:r>
              <w:rPr>
                <w:rFonts w:hint="eastAsia"/>
                <w:color w:val="auto"/>
                <w:lang w:val="en-US" w:eastAsia="zh-CN"/>
              </w:rPr>
              <w:t>本项目涉及到的秋浦河河流</w:t>
            </w:r>
            <w:r>
              <w:rPr>
                <w:rFonts w:hint="default"/>
                <w:color w:val="auto"/>
                <w:lang w:val="en-US" w:eastAsia="zh-CN"/>
              </w:rPr>
              <w:t>水质类别功能区划为</w:t>
            </w:r>
            <w:r>
              <w:rPr>
                <w:rFonts w:hint="eastAsia" w:cs="Times New Roman"/>
                <w:bCs/>
                <w:color w:val="auto"/>
                <w:lang w:val="en-US" w:eastAsia="zh-CN"/>
              </w:rPr>
              <w:t>Ⅱ</w:t>
            </w:r>
            <w:r>
              <w:rPr>
                <w:rFonts w:hint="default"/>
                <w:color w:val="auto"/>
                <w:lang w:val="en-US" w:eastAsia="zh-CN"/>
              </w:rPr>
              <w:t>类水质，执行《地表水环境质量标准》（GB3838-2002）</w:t>
            </w:r>
            <w:r>
              <w:rPr>
                <w:rFonts w:hint="eastAsia" w:cs="Times New Roman"/>
                <w:bCs/>
                <w:color w:val="auto"/>
                <w:lang w:val="en-US" w:eastAsia="zh-CN"/>
              </w:rPr>
              <w:t>Ⅱ</w:t>
            </w:r>
            <w:r>
              <w:rPr>
                <w:rFonts w:hint="default"/>
                <w:color w:val="auto"/>
                <w:lang w:val="en-US" w:eastAsia="zh-CN"/>
              </w:rPr>
              <w:t>类标准；</w:t>
            </w:r>
          </w:p>
        </w:tc>
      </w:tr>
      <w:tr w14:paraId="0C75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586" w:type="dxa"/>
            <w:noWrap w:val="0"/>
            <w:vAlign w:val="center"/>
          </w:tcPr>
          <w:p w14:paraId="2C2D33B7">
            <w:pPr>
              <w:pStyle w:val="31"/>
              <w:bidi w:val="0"/>
              <w:rPr>
                <w:rFonts w:hint="default"/>
                <w:color w:val="auto"/>
              </w:rPr>
            </w:pPr>
            <w:r>
              <w:rPr>
                <w:rFonts w:hint="default"/>
                <w:color w:val="auto"/>
              </w:rPr>
              <w:t>2</w:t>
            </w:r>
          </w:p>
        </w:tc>
        <w:tc>
          <w:tcPr>
            <w:tcW w:w="2134" w:type="dxa"/>
            <w:noWrap w:val="0"/>
            <w:vAlign w:val="center"/>
          </w:tcPr>
          <w:p w14:paraId="4E058550">
            <w:pPr>
              <w:pStyle w:val="31"/>
              <w:bidi w:val="0"/>
              <w:rPr>
                <w:rFonts w:hint="default"/>
                <w:color w:val="auto"/>
                <w:lang w:val="en-US" w:eastAsia="zh-CN"/>
              </w:rPr>
            </w:pPr>
            <w:r>
              <w:rPr>
                <w:rFonts w:hint="default"/>
                <w:color w:val="auto"/>
              </w:rPr>
              <w:t>环境空气质量功能区</w:t>
            </w:r>
          </w:p>
        </w:tc>
        <w:tc>
          <w:tcPr>
            <w:tcW w:w="5636" w:type="dxa"/>
            <w:noWrap w:val="0"/>
            <w:vAlign w:val="center"/>
          </w:tcPr>
          <w:p w14:paraId="723E7C92">
            <w:pPr>
              <w:pStyle w:val="31"/>
              <w:bidi w:val="0"/>
              <w:rPr>
                <w:rFonts w:hint="default" w:eastAsia="宋体"/>
                <w:color w:val="auto"/>
                <w:lang w:val="en-US" w:eastAsia="zh-CN"/>
              </w:rPr>
            </w:pPr>
            <w:r>
              <w:rPr>
                <w:rFonts w:hint="eastAsia"/>
                <w:color w:val="auto"/>
                <w:lang w:val="en-US" w:eastAsia="zh-CN"/>
              </w:rPr>
              <w:t>风景名胜区</w:t>
            </w:r>
            <w:r>
              <w:rPr>
                <w:rFonts w:hint="default"/>
                <w:color w:val="auto"/>
              </w:rPr>
              <w:t>执行《环境空气质量标准》（GB3095-2012）</w:t>
            </w:r>
            <w:r>
              <w:rPr>
                <w:rFonts w:hint="eastAsia"/>
                <w:color w:val="auto"/>
              </w:rPr>
              <w:t>及修改单</w:t>
            </w:r>
            <w:r>
              <w:rPr>
                <w:rFonts w:hint="default"/>
                <w:color w:val="auto"/>
              </w:rPr>
              <w:t>的</w:t>
            </w:r>
            <w:r>
              <w:rPr>
                <w:rFonts w:hint="eastAsia"/>
                <w:color w:val="auto"/>
                <w:lang w:val="en-US" w:eastAsia="zh-CN"/>
              </w:rPr>
              <w:t>一</w:t>
            </w:r>
            <w:r>
              <w:rPr>
                <w:rFonts w:hint="default"/>
                <w:color w:val="auto"/>
              </w:rPr>
              <w:t>级标准</w:t>
            </w:r>
            <w:r>
              <w:rPr>
                <w:rFonts w:hint="eastAsia"/>
                <w:color w:val="auto"/>
                <w:lang w:eastAsia="zh-CN"/>
              </w:rPr>
              <w:t>，</w:t>
            </w:r>
            <w:r>
              <w:rPr>
                <w:rFonts w:hint="eastAsia"/>
                <w:color w:val="auto"/>
                <w:lang w:val="en-US" w:eastAsia="zh-CN"/>
              </w:rPr>
              <w:t>其他区域执行</w:t>
            </w:r>
            <w:r>
              <w:rPr>
                <w:rFonts w:hint="default"/>
                <w:color w:val="auto"/>
              </w:rPr>
              <w:t>《环境空气质量标准》（GB3095-2012）</w:t>
            </w:r>
            <w:r>
              <w:rPr>
                <w:rFonts w:hint="eastAsia"/>
                <w:color w:val="auto"/>
              </w:rPr>
              <w:t>及修改单</w:t>
            </w:r>
            <w:r>
              <w:rPr>
                <w:rFonts w:hint="default"/>
                <w:color w:val="auto"/>
              </w:rPr>
              <w:t>的</w:t>
            </w:r>
            <w:r>
              <w:rPr>
                <w:rFonts w:hint="eastAsia"/>
                <w:color w:val="auto"/>
                <w:lang w:val="en-US" w:eastAsia="zh-CN"/>
              </w:rPr>
              <w:t>二级标准</w:t>
            </w:r>
          </w:p>
        </w:tc>
      </w:tr>
      <w:tr w14:paraId="6887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586" w:type="dxa"/>
            <w:noWrap w:val="0"/>
            <w:vAlign w:val="center"/>
          </w:tcPr>
          <w:p w14:paraId="63567742">
            <w:pPr>
              <w:pStyle w:val="31"/>
              <w:bidi w:val="0"/>
              <w:rPr>
                <w:rFonts w:hint="default"/>
                <w:color w:val="auto"/>
              </w:rPr>
            </w:pPr>
            <w:r>
              <w:rPr>
                <w:rFonts w:hint="default"/>
                <w:color w:val="auto"/>
              </w:rPr>
              <w:t>3</w:t>
            </w:r>
          </w:p>
        </w:tc>
        <w:tc>
          <w:tcPr>
            <w:tcW w:w="2134" w:type="dxa"/>
            <w:noWrap w:val="0"/>
            <w:vAlign w:val="center"/>
          </w:tcPr>
          <w:p w14:paraId="100FE7B0">
            <w:pPr>
              <w:pStyle w:val="31"/>
              <w:bidi w:val="0"/>
              <w:rPr>
                <w:rFonts w:hint="default"/>
                <w:color w:val="auto"/>
                <w:lang w:val="en-US" w:eastAsia="zh-CN"/>
              </w:rPr>
            </w:pPr>
            <w:r>
              <w:rPr>
                <w:rFonts w:hint="default"/>
                <w:color w:val="auto"/>
              </w:rPr>
              <w:t>声功能区</w:t>
            </w:r>
          </w:p>
        </w:tc>
        <w:tc>
          <w:tcPr>
            <w:tcW w:w="5636" w:type="dxa"/>
            <w:noWrap w:val="0"/>
            <w:vAlign w:val="center"/>
          </w:tcPr>
          <w:p w14:paraId="6B1B5B19">
            <w:pPr>
              <w:pStyle w:val="31"/>
              <w:bidi w:val="0"/>
              <w:rPr>
                <w:rFonts w:hint="default"/>
                <w:color w:val="auto"/>
                <w:lang w:val="en-US" w:eastAsia="zh-CN"/>
              </w:rPr>
            </w:pPr>
            <w:r>
              <w:rPr>
                <w:rFonts w:hint="eastAsia"/>
                <w:color w:val="auto"/>
                <w:lang w:val="en-US" w:eastAsia="zh-CN"/>
              </w:rPr>
              <w:t>项目所在地</w:t>
            </w:r>
            <w:r>
              <w:rPr>
                <w:rFonts w:hint="default"/>
                <w:color w:val="auto"/>
              </w:rPr>
              <w:t>执行《声环境质量标准》（GB3096-2008）中的</w:t>
            </w:r>
            <w:r>
              <w:rPr>
                <w:rFonts w:hint="eastAsia"/>
                <w:color w:val="auto"/>
                <w:lang w:val="en-US" w:eastAsia="zh-CN"/>
              </w:rPr>
              <w:t>2</w:t>
            </w:r>
            <w:r>
              <w:rPr>
                <w:rFonts w:hint="default"/>
                <w:color w:val="auto"/>
              </w:rPr>
              <w:t>类</w:t>
            </w:r>
          </w:p>
        </w:tc>
      </w:tr>
      <w:tr w14:paraId="0BD7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586" w:type="dxa"/>
            <w:noWrap w:val="0"/>
            <w:vAlign w:val="center"/>
          </w:tcPr>
          <w:p w14:paraId="6F40A45E">
            <w:pPr>
              <w:pStyle w:val="31"/>
              <w:bidi w:val="0"/>
              <w:rPr>
                <w:rFonts w:hint="default"/>
                <w:color w:val="auto"/>
              </w:rPr>
            </w:pPr>
            <w:r>
              <w:rPr>
                <w:rFonts w:hint="default"/>
                <w:color w:val="auto"/>
              </w:rPr>
              <w:t>4</w:t>
            </w:r>
          </w:p>
        </w:tc>
        <w:tc>
          <w:tcPr>
            <w:tcW w:w="2134" w:type="dxa"/>
            <w:noWrap w:val="0"/>
            <w:vAlign w:val="center"/>
          </w:tcPr>
          <w:p w14:paraId="1F21C82B">
            <w:pPr>
              <w:pStyle w:val="31"/>
              <w:bidi w:val="0"/>
              <w:rPr>
                <w:rFonts w:hint="eastAsia" w:eastAsia="宋体"/>
                <w:color w:val="auto"/>
                <w:lang w:val="en-US" w:eastAsia="zh-CN"/>
              </w:rPr>
            </w:pPr>
            <w:r>
              <w:rPr>
                <w:rFonts w:hint="eastAsia"/>
                <w:color w:val="auto"/>
                <w:lang w:val="en-US" w:eastAsia="zh-CN"/>
              </w:rPr>
              <w:t>地下水</w:t>
            </w:r>
          </w:p>
        </w:tc>
        <w:tc>
          <w:tcPr>
            <w:tcW w:w="5636" w:type="dxa"/>
            <w:noWrap w:val="0"/>
            <w:vAlign w:val="center"/>
          </w:tcPr>
          <w:p w14:paraId="558B1803">
            <w:pPr>
              <w:pStyle w:val="31"/>
              <w:bidi w:val="0"/>
              <w:rPr>
                <w:rFonts w:hint="default"/>
                <w:color w:val="auto"/>
              </w:rPr>
            </w:pPr>
            <w:r>
              <w:rPr>
                <w:rFonts w:hint="default"/>
                <w:color w:val="auto"/>
              </w:rPr>
              <w:t>《地下水质量标准》</w:t>
            </w:r>
            <w:r>
              <w:rPr>
                <w:rFonts w:hint="eastAsia"/>
                <w:color w:val="auto"/>
                <w:lang w:eastAsia="zh-CN"/>
              </w:rPr>
              <w:t>（</w:t>
            </w:r>
            <w:r>
              <w:rPr>
                <w:rFonts w:hint="default"/>
                <w:color w:val="auto"/>
              </w:rPr>
              <w:t>GB/T14848-2017</w:t>
            </w:r>
            <w:r>
              <w:rPr>
                <w:rFonts w:hint="eastAsia"/>
                <w:color w:val="auto"/>
                <w:lang w:eastAsia="zh-CN"/>
              </w:rPr>
              <w:t>）</w:t>
            </w:r>
            <w:r>
              <w:rPr>
                <w:rFonts w:hint="default"/>
                <w:color w:val="auto"/>
              </w:rPr>
              <w:t>中的Ⅲ类标准</w:t>
            </w:r>
          </w:p>
        </w:tc>
      </w:tr>
    </w:tbl>
    <w:p w14:paraId="2F984DC1">
      <w:pPr>
        <w:pStyle w:val="4"/>
        <w:bidi w:val="0"/>
        <w:rPr>
          <w:color w:val="auto"/>
        </w:rPr>
      </w:pPr>
      <w:bookmarkStart w:id="60" w:name="_Toc32290"/>
      <w:r>
        <w:rPr>
          <w:color w:val="auto"/>
        </w:rPr>
        <w:t>评价标准</w:t>
      </w:r>
      <w:bookmarkEnd w:id="60"/>
    </w:p>
    <w:p w14:paraId="0A588028">
      <w:pPr>
        <w:pStyle w:val="5"/>
        <w:bidi w:val="0"/>
        <w:rPr>
          <w:color w:val="auto"/>
        </w:rPr>
      </w:pPr>
      <w:r>
        <w:rPr>
          <w:color w:val="auto"/>
        </w:rPr>
        <w:t>环境质量标准</w:t>
      </w:r>
    </w:p>
    <w:p w14:paraId="5E79D74E">
      <w:pPr>
        <w:bidi w:val="0"/>
        <w:rPr>
          <w:color w:val="auto"/>
        </w:rPr>
      </w:pPr>
      <w:r>
        <w:rPr>
          <w:color w:val="auto"/>
        </w:rPr>
        <w:t>（1）环境空气</w:t>
      </w:r>
    </w:p>
    <w:p w14:paraId="57D23C81">
      <w:pPr>
        <w:spacing w:line="360" w:lineRule="auto"/>
        <w:ind w:firstLine="480" w:firstLineChars="200"/>
        <w:rPr>
          <w:rFonts w:ascii="Times New Roman" w:hAnsi="Times New Roman"/>
          <w:color w:val="auto"/>
          <w:sz w:val="24"/>
          <w:szCs w:val="24"/>
        </w:rPr>
      </w:pPr>
      <w:r>
        <w:rPr>
          <w:rFonts w:hint="eastAsia"/>
          <w:color w:val="auto"/>
          <w:lang w:val="en-US" w:eastAsia="zh-CN"/>
        </w:rPr>
        <w:t>风景名胜区</w:t>
      </w:r>
      <w:r>
        <w:rPr>
          <w:rFonts w:hint="default"/>
          <w:color w:val="auto"/>
        </w:rPr>
        <w:t>执行《环境空气质量标准》（GB3095-2012）</w:t>
      </w:r>
      <w:r>
        <w:rPr>
          <w:rFonts w:hint="eastAsia"/>
          <w:color w:val="auto"/>
        </w:rPr>
        <w:t>及修改单</w:t>
      </w:r>
      <w:r>
        <w:rPr>
          <w:rFonts w:hint="default"/>
          <w:color w:val="auto"/>
        </w:rPr>
        <w:t>的</w:t>
      </w:r>
      <w:r>
        <w:rPr>
          <w:rFonts w:hint="eastAsia"/>
          <w:color w:val="auto"/>
          <w:lang w:val="en-US" w:eastAsia="zh-CN"/>
        </w:rPr>
        <w:t>一</w:t>
      </w:r>
      <w:r>
        <w:rPr>
          <w:rFonts w:hint="default"/>
          <w:color w:val="auto"/>
        </w:rPr>
        <w:t>级标准</w:t>
      </w:r>
      <w:r>
        <w:rPr>
          <w:rFonts w:hint="eastAsia"/>
          <w:color w:val="auto"/>
          <w:lang w:eastAsia="zh-CN"/>
        </w:rPr>
        <w:t>，</w:t>
      </w:r>
      <w:r>
        <w:rPr>
          <w:rFonts w:hint="eastAsia"/>
          <w:color w:val="auto"/>
          <w:lang w:val="en-US" w:eastAsia="zh-CN"/>
        </w:rPr>
        <w:t>其他区域执行</w:t>
      </w:r>
      <w:r>
        <w:rPr>
          <w:rFonts w:hint="default"/>
          <w:color w:val="auto"/>
        </w:rPr>
        <w:t>《环境空气质量标准》（GB3095-2012）</w:t>
      </w:r>
      <w:r>
        <w:rPr>
          <w:rFonts w:hint="eastAsia"/>
          <w:color w:val="auto"/>
        </w:rPr>
        <w:t>及修改单</w:t>
      </w:r>
      <w:r>
        <w:rPr>
          <w:rFonts w:hint="default"/>
          <w:color w:val="auto"/>
        </w:rPr>
        <w:t>的</w:t>
      </w:r>
      <w:r>
        <w:rPr>
          <w:rFonts w:hint="eastAsia"/>
          <w:color w:val="auto"/>
          <w:lang w:val="en-US" w:eastAsia="zh-CN"/>
        </w:rPr>
        <w:t>二级标准</w:t>
      </w:r>
      <w:r>
        <w:rPr>
          <w:rFonts w:ascii="Times New Roman" w:hAnsi="Times New Roman"/>
          <w:color w:val="auto"/>
          <w:sz w:val="24"/>
          <w:szCs w:val="24"/>
        </w:rPr>
        <w:t>；</w:t>
      </w:r>
      <w:r>
        <w:rPr>
          <w:rFonts w:ascii="Times New Roman" w:hAnsi="Times New Roman"/>
          <w:snapToGrid w:val="0"/>
          <w:color w:val="auto"/>
          <w:sz w:val="24"/>
          <w:szCs w:val="24"/>
        </w:rPr>
        <w:t>NH</w:t>
      </w:r>
      <w:r>
        <w:rPr>
          <w:rFonts w:ascii="Times New Roman" w:hAnsi="Times New Roman"/>
          <w:snapToGrid w:val="0"/>
          <w:color w:val="auto"/>
          <w:sz w:val="24"/>
          <w:szCs w:val="24"/>
          <w:vertAlign w:val="subscript"/>
        </w:rPr>
        <w:t>3</w:t>
      </w:r>
      <w:r>
        <w:rPr>
          <w:rFonts w:ascii="Times New Roman" w:hAnsi="Times New Roman"/>
          <w:snapToGrid w:val="0"/>
          <w:color w:val="auto"/>
          <w:sz w:val="24"/>
          <w:szCs w:val="24"/>
        </w:rPr>
        <w:t>、H</w:t>
      </w:r>
      <w:r>
        <w:rPr>
          <w:rFonts w:ascii="Times New Roman" w:hAnsi="Times New Roman"/>
          <w:snapToGrid w:val="0"/>
          <w:color w:val="auto"/>
          <w:sz w:val="24"/>
          <w:szCs w:val="24"/>
          <w:vertAlign w:val="subscript"/>
        </w:rPr>
        <w:t>2</w:t>
      </w:r>
      <w:r>
        <w:rPr>
          <w:rFonts w:ascii="Times New Roman" w:hAnsi="Times New Roman"/>
          <w:snapToGrid w:val="0"/>
          <w:color w:val="auto"/>
          <w:sz w:val="24"/>
          <w:szCs w:val="24"/>
        </w:rPr>
        <w:t>S</w:t>
      </w:r>
      <w:r>
        <w:rPr>
          <w:rFonts w:ascii="Times New Roman" w:hAnsi="Times New Roman"/>
          <w:color w:val="auto"/>
          <w:sz w:val="24"/>
          <w:szCs w:val="24"/>
        </w:rPr>
        <w:t>执行《环境影响评价技术导则大气环境》</w:t>
      </w:r>
      <w:r>
        <w:rPr>
          <w:rFonts w:hint="eastAsia"/>
          <w:color w:val="auto"/>
          <w:sz w:val="24"/>
          <w:szCs w:val="24"/>
          <w:lang w:val="en-US" w:eastAsia="zh-CN"/>
        </w:rPr>
        <w:t>(</w:t>
      </w:r>
      <w:r>
        <w:rPr>
          <w:rFonts w:ascii="Times New Roman" w:hAnsi="Times New Roman"/>
          <w:color w:val="auto"/>
          <w:sz w:val="24"/>
          <w:szCs w:val="24"/>
        </w:rPr>
        <w:t>HJ2.2-2018</w:t>
      </w:r>
      <w:r>
        <w:rPr>
          <w:rFonts w:hint="eastAsia"/>
          <w:color w:val="auto"/>
          <w:sz w:val="24"/>
          <w:szCs w:val="24"/>
          <w:lang w:val="en-US" w:eastAsia="zh-CN"/>
        </w:rPr>
        <w:t>)</w:t>
      </w:r>
      <w:r>
        <w:rPr>
          <w:rFonts w:hint="eastAsia"/>
          <w:color w:val="auto"/>
          <w:sz w:val="24"/>
          <w:szCs w:val="24"/>
          <w:lang w:eastAsia="zh-CN"/>
        </w:rPr>
        <w:t>附表</w:t>
      </w:r>
      <w:r>
        <w:rPr>
          <w:rFonts w:ascii="Times New Roman" w:hAnsi="Times New Roman"/>
          <w:color w:val="auto"/>
          <w:sz w:val="24"/>
          <w:szCs w:val="24"/>
        </w:rPr>
        <w:t>D表D.1中限值。具体标准值见下表。</w:t>
      </w:r>
    </w:p>
    <w:p w14:paraId="598F20DA">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4</w:t>
      </w:r>
      <w:r>
        <w:rPr>
          <w:color w:val="auto"/>
        </w:rPr>
        <w:fldChar w:fldCharType="end"/>
      </w:r>
      <w:r>
        <w:rPr>
          <w:color w:val="auto"/>
        </w:rPr>
        <w:t>项目所在区执行的环境空气质量标准</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1913"/>
        <w:gridCol w:w="891"/>
        <w:gridCol w:w="900"/>
        <w:gridCol w:w="1082"/>
        <w:gridCol w:w="2769"/>
      </w:tblGrid>
      <w:tr w14:paraId="426DF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04C2AED7">
            <w:pPr>
              <w:pStyle w:val="31"/>
              <w:bidi w:val="0"/>
              <w:rPr>
                <w:color w:val="auto"/>
              </w:rPr>
            </w:pPr>
            <w:r>
              <w:rPr>
                <w:color w:val="auto"/>
              </w:rPr>
              <w:t>污染物</w:t>
            </w:r>
          </w:p>
        </w:tc>
        <w:tc>
          <w:tcPr>
            <w:tcW w:w="1123" w:type="pct"/>
            <w:vMerge w:val="restart"/>
            <w:vAlign w:val="center"/>
          </w:tcPr>
          <w:p w14:paraId="52F62A59">
            <w:pPr>
              <w:pStyle w:val="31"/>
              <w:bidi w:val="0"/>
              <w:rPr>
                <w:color w:val="auto"/>
              </w:rPr>
            </w:pPr>
            <w:r>
              <w:rPr>
                <w:color w:val="auto"/>
              </w:rPr>
              <w:t>取值时间</w:t>
            </w:r>
          </w:p>
        </w:tc>
        <w:tc>
          <w:tcPr>
            <w:tcW w:w="1051" w:type="pct"/>
            <w:gridSpan w:val="2"/>
            <w:vAlign w:val="center"/>
          </w:tcPr>
          <w:p w14:paraId="32C5D74A">
            <w:pPr>
              <w:pStyle w:val="31"/>
              <w:bidi w:val="0"/>
              <w:rPr>
                <w:color w:val="auto"/>
              </w:rPr>
            </w:pPr>
            <w:r>
              <w:rPr>
                <w:color w:val="auto"/>
              </w:rPr>
              <w:t>浓度限值</w:t>
            </w:r>
          </w:p>
        </w:tc>
        <w:tc>
          <w:tcPr>
            <w:tcW w:w="635" w:type="pct"/>
            <w:vMerge w:val="restart"/>
            <w:vAlign w:val="center"/>
          </w:tcPr>
          <w:p w14:paraId="7AE3BB01">
            <w:pPr>
              <w:pStyle w:val="31"/>
              <w:bidi w:val="0"/>
              <w:rPr>
                <w:color w:val="auto"/>
              </w:rPr>
            </w:pPr>
            <w:r>
              <w:rPr>
                <w:color w:val="auto"/>
              </w:rPr>
              <w:t>单位</w:t>
            </w:r>
          </w:p>
        </w:tc>
        <w:tc>
          <w:tcPr>
            <w:tcW w:w="1625" w:type="pct"/>
            <w:vMerge w:val="restart"/>
            <w:vAlign w:val="center"/>
          </w:tcPr>
          <w:p w14:paraId="4971A79A">
            <w:pPr>
              <w:pStyle w:val="31"/>
              <w:bidi w:val="0"/>
              <w:rPr>
                <w:color w:val="auto"/>
              </w:rPr>
            </w:pPr>
            <w:r>
              <w:rPr>
                <w:color w:val="auto"/>
              </w:rPr>
              <w:t>标准来源</w:t>
            </w:r>
          </w:p>
        </w:tc>
      </w:tr>
      <w:tr w14:paraId="7A06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5599D8AA">
            <w:pPr>
              <w:pStyle w:val="31"/>
              <w:bidi w:val="0"/>
              <w:rPr>
                <w:color w:val="auto"/>
              </w:rPr>
            </w:pPr>
          </w:p>
        </w:tc>
        <w:tc>
          <w:tcPr>
            <w:tcW w:w="1123" w:type="pct"/>
            <w:vMerge w:val="continue"/>
            <w:vAlign w:val="center"/>
          </w:tcPr>
          <w:p w14:paraId="3B7AEB96">
            <w:pPr>
              <w:pStyle w:val="31"/>
              <w:bidi w:val="0"/>
              <w:rPr>
                <w:color w:val="auto"/>
              </w:rPr>
            </w:pPr>
          </w:p>
        </w:tc>
        <w:tc>
          <w:tcPr>
            <w:tcW w:w="523" w:type="pct"/>
            <w:vAlign w:val="center"/>
          </w:tcPr>
          <w:p w14:paraId="5BB21430">
            <w:pPr>
              <w:pStyle w:val="31"/>
              <w:bidi w:val="0"/>
              <w:rPr>
                <w:rFonts w:hint="default" w:eastAsia="宋体"/>
                <w:color w:val="auto"/>
                <w:lang w:val="en-US" w:eastAsia="zh-CN"/>
              </w:rPr>
            </w:pPr>
            <w:r>
              <w:rPr>
                <w:rFonts w:hint="eastAsia"/>
                <w:color w:val="auto"/>
                <w:lang w:val="en-US" w:eastAsia="zh-CN"/>
              </w:rPr>
              <w:t>一类区</w:t>
            </w:r>
          </w:p>
        </w:tc>
        <w:tc>
          <w:tcPr>
            <w:tcW w:w="528" w:type="pct"/>
            <w:vAlign w:val="center"/>
          </w:tcPr>
          <w:p w14:paraId="2D21D557">
            <w:pPr>
              <w:pStyle w:val="31"/>
              <w:bidi w:val="0"/>
              <w:rPr>
                <w:rFonts w:hint="default" w:eastAsia="宋体"/>
                <w:color w:val="auto"/>
                <w:lang w:val="en-US" w:eastAsia="zh-CN"/>
              </w:rPr>
            </w:pPr>
            <w:r>
              <w:rPr>
                <w:rFonts w:hint="eastAsia"/>
                <w:color w:val="auto"/>
                <w:lang w:val="en-US" w:eastAsia="zh-CN"/>
              </w:rPr>
              <w:t>二类区</w:t>
            </w:r>
          </w:p>
        </w:tc>
        <w:tc>
          <w:tcPr>
            <w:tcW w:w="635" w:type="pct"/>
            <w:vMerge w:val="continue"/>
            <w:vAlign w:val="center"/>
          </w:tcPr>
          <w:p w14:paraId="749E82FC">
            <w:pPr>
              <w:pStyle w:val="31"/>
              <w:bidi w:val="0"/>
              <w:rPr>
                <w:color w:val="auto"/>
              </w:rPr>
            </w:pPr>
          </w:p>
        </w:tc>
        <w:tc>
          <w:tcPr>
            <w:tcW w:w="1625" w:type="pct"/>
            <w:vMerge w:val="continue"/>
            <w:vAlign w:val="center"/>
          </w:tcPr>
          <w:p w14:paraId="6921DCEB">
            <w:pPr>
              <w:pStyle w:val="31"/>
              <w:bidi w:val="0"/>
              <w:rPr>
                <w:color w:val="auto"/>
              </w:rPr>
            </w:pPr>
          </w:p>
        </w:tc>
      </w:tr>
      <w:tr w14:paraId="4F86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5C4D1491">
            <w:pPr>
              <w:pStyle w:val="31"/>
              <w:bidi w:val="0"/>
              <w:rPr>
                <w:color w:val="auto"/>
              </w:rPr>
            </w:pPr>
            <w:r>
              <w:rPr>
                <w:color w:val="auto"/>
              </w:rPr>
              <w:t>SO</w:t>
            </w:r>
            <w:r>
              <w:rPr>
                <w:color w:val="auto"/>
                <w:vertAlign w:val="subscript"/>
              </w:rPr>
              <w:t>2</w:t>
            </w:r>
          </w:p>
        </w:tc>
        <w:tc>
          <w:tcPr>
            <w:tcW w:w="1123" w:type="pct"/>
            <w:vAlign w:val="center"/>
          </w:tcPr>
          <w:p w14:paraId="702589E3">
            <w:pPr>
              <w:pStyle w:val="31"/>
              <w:bidi w:val="0"/>
              <w:rPr>
                <w:color w:val="auto"/>
              </w:rPr>
            </w:pPr>
            <w:r>
              <w:rPr>
                <w:color w:val="auto"/>
              </w:rPr>
              <w:t>年平均</w:t>
            </w:r>
          </w:p>
        </w:tc>
        <w:tc>
          <w:tcPr>
            <w:tcW w:w="523" w:type="pct"/>
            <w:vAlign w:val="center"/>
          </w:tcPr>
          <w:p w14:paraId="1972549D">
            <w:pPr>
              <w:pStyle w:val="31"/>
              <w:bidi w:val="0"/>
              <w:rPr>
                <w:rFonts w:hint="default" w:eastAsia="宋体"/>
                <w:color w:val="auto"/>
                <w:lang w:val="en-US" w:eastAsia="zh-CN"/>
              </w:rPr>
            </w:pPr>
            <w:r>
              <w:rPr>
                <w:rFonts w:hint="eastAsia"/>
                <w:color w:val="auto"/>
                <w:lang w:val="en-US" w:eastAsia="zh-CN"/>
              </w:rPr>
              <w:t>20</w:t>
            </w:r>
          </w:p>
        </w:tc>
        <w:tc>
          <w:tcPr>
            <w:tcW w:w="528" w:type="pct"/>
            <w:shd w:val="clear" w:color="auto" w:fill="auto"/>
            <w:vAlign w:val="center"/>
          </w:tcPr>
          <w:p w14:paraId="03BB2B28">
            <w:pPr>
              <w:pStyle w:val="31"/>
              <w:bidi w:val="0"/>
              <w:ind w:firstLine="0" w:firstLineChars="0"/>
              <w:rPr>
                <w:rFonts w:ascii="Times New Roman" w:hAnsi="Times New Roman" w:eastAsia="宋体" w:cs="Times New Roman"/>
                <w:bCs/>
                <w:color w:val="auto"/>
                <w:sz w:val="21"/>
                <w:szCs w:val="21"/>
              </w:rPr>
            </w:pPr>
            <w:r>
              <w:rPr>
                <w:color w:val="auto"/>
              </w:rPr>
              <w:t>60</w:t>
            </w:r>
          </w:p>
        </w:tc>
        <w:tc>
          <w:tcPr>
            <w:tcW w:w="635" w:type="pct"/>
            <w:vMerge w:val="restart"/>
            <w:vAlign w:val="center"/>
          </w:tcPr>
          <w:p w14:paraId="1E58D661">
            <w:pPr>
              <w:pStyle w:val="31"/>
              <w:bidi w:val="0"/>
              <w:rPr>
                <w:color w:val="auto"/>
              </w:rPr>
            </w:pPr>
            <w:r>
              <w:rPr>
                <w:color w:val="auto"/>
              </w:rPr>
              <w:t>μg/m</w:t>
            </w:r>
            <w:r>
              <w:rPr>
                <w:color w:val="auto"/>
                <w:vertAlign w:val="superscript"/>
              </w:rPr>
              <w:t>3</w:t>
            </w:r>
          </w:p>
        </w:tc>
        <w:tc>
          <w:tcPr>
            <w:tcW w:w="1625" w:type="pct"/>
            <w:vMerge w:val="restart"/>
            <w:vAlign w:val="center"/>
          </w:tcPr>
          <w:p w14:paraId="228EB455">
            <w:pPr>
              <w:pStyle w:val="31"/>
              <w:bidi w:val="0"/>
              <w:rPr>
                <w:color w:val="auto"/>
              </w:rPr>
            </w:pPr>
            <w:r>
              <w:rPr>
                <w:color w:val="auto"/>
              </w:rPr>
              <w:t>《环境空气质量标准》（GB3095-2012）二级标准</w:t>
            </w:r>
          </w:p>
        </w:tc>
      </w:tr>
      <w:tr w14:paraId="440AB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6A6F4AB3">
            <w:pPr>
              <w:pStyle w:val="31"/>
              <w:bidi w:val="0"/>
              <w:rPr>
                <w:color w:val="auto"/>
              </w:rPr>
            </w:pPr>
          </w:p>
        </w:tc>
        <w:tc>
          <w:tcPr>
            <w:tcW w:w="1123" w:type="pct"/>
            <w:vAlign w:val="center"/>
          </w:tcPr>
          <w:p w14:paraId="7C39D13D">
            <w:pPr>
              <w:pStyle w:val="31"/>
              <w:bidi w:val="0"/>
              <w:rPr>
                <w:color w:val="auto"/>
              </w:rPr>
            </w:pPr>
            <w:r>
              <w:rPr>
                <w:color w:val="auto"/>
              </w:rPr>
              <w:t>24小时平均</w:t>
            </w:r>
          </w:p>
        </w:tc>
        <w:tc>
          <w:tcPr>
            <w:tcW w:w="523" w:type="pct"/>
            <w:vAlign w:val="center"/>
          </w:tcPr>
          <w:p w14:paraId="1DFE3285">
            <w:pPr>
              <w:pStyle w:val="31"/>
              <w:bidi w:val="0"/>
              <w:rPr>
                <w:rFonts w:hint="default" w:eastAsia="宋体"/>
                <w:color w:val="auto"/>
                <w:lang w:val="en-US" w:eastAsia="zh-CN"/>
              </w:rPr>
            </w:pPr>
            <w:r>
              <w:rPr>
                <w:rFonts w:hint="eastAsia"/>
                <w:color w:val="auto"/>
                <w:lang w:val="en-US" w:eastAsia="zh-CN"/>
              </w:rPr>
              <w:t>50</w:t>
            </w:r>
          </w:p>
        </w:tc>
        <w:tc>
          <w:tcPr>
            <w:tcW w:w="528" w:type="pct"/>
            <w:shd w:val="clear" w:color="auto" w:fill="auto"/>
            <w:vAlign w:val="center"/>
          </w:tcPr>
          <w:p w14:paraId="6F80F74C">
            <w:pPr>
              <w:pStyle w:val="31"/>
              <w:bidi w:val="0"/>
              <w:ind w:firstLine="0" w:firstLineChars="0"/>
              <w:rPr>
                <w:rFonts w:ascii="Times New Roman" w:hAnsi="Times New Roman" w:eastAsia="宋体" w:cs="Times New Roman"/>
                <w:bCs/>
                <w:color w:val="auto"/>
                <w:sz w:val="21"/>
                <w:szCs w:val="21"/>
              </w:rPr>
            </w:pPr>
            <w:r>
              <w:rPr>
                <w:color w:val="auto"/>
              </w:rPr>
              <w:t>150</w:t>
            </w:r>
          </w:p>
        </w:tc>
        <w:tc>
          <w:tcPr>
            <w:tcW w:w="635" w:type="pct"/>
            <w:vMerge w:val="continue"/>
            <w:vAlign w:val="center"/>
          </w:tcPr>
          <w:p w14:paraId="45A591D6">
            <w:pPr>
              <w:pStyle w:val="31"/>
              <w:bidi w:val="0"/>
              <w:rPr>
                <w:color w:val="auto"/>
              </w:rPr>
            </w:pPr>
          </w:p>
        </w:tc>
        <w:tc>
          <w:tcPr>
            <w:tcW w:w="1625" w:type="pct"/>
            <w:vMerge w:val="continue"/>
            <w:vAlign w:val="center"/>
          </w:tcPr>
          <w:p w14:paraId="041F38E8">
            <w:pPr>
              <w:pStyle w:val="31"/>
              <w:bidi w:val="0"/>
              <w:rPr>
                <w:color w:val="auto"/>
              </w:rPr>
            </w:pPr>
          </w:p>
        </w:tc>
      </w:tr>
      <w:tr w14:paraId="5CE2E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6315DD40">
            <w:pPr>
              <w:pStyle w:val="31"/>
              <w:bidi w:val="0"/>
              <w:rPr>
                <w:color w:val="auto"/>
              </w:rPr>
            </w:pPr>
          </w:p>
        </w:tc>
        <w:tc>
          <w:tcPr>
            <w:tcW w:w="1123" w:type="pct"/>
            <w:vAlign w:val="center"/>
          </w:tcPr>
          <w:p w14:paraId="463B5C44">
            <w:pPr>
              <w:pStyle w:val="31"/>
              <w:bidi w:val="0"/>
              <w:rPr>
                <w:color w:val="auto"/>
              </w:rPr>
            </w:pPr>
            <w:r>
              <w:rPr>
                <w:color w:val="auto"/>
              </w:rPr>
              <w:t>1小时平均</w:t>
            </w:r>
          </w:p>
        </w:tc>
        <w:tc>
          <w:tcPr>
            <w:tcW w:w="523" w:type="pct"/>
            <w:vAlign w:val="center"/>
          </w:tcPr>
          <w:p w14:paraId="12B780EE">
            <w:pPr>
              <w:pStyle w:val="31"/>
              <w:bidi w:val="0"/>
              <w:rPr>
                <w:rFonts w:hint="default" w:eastAsia="宋体"/>
                <w:color w:val="auto"/>
                <w:lang w:val="en-US" w:eastAsia="zh-CN"/>
              </w:rPr>
            </w:pPr>
            <w:r>
              <w:rPr>
                <w:rFonts w:hint="eastAsia"/>
                <w:color w:val="auto"/>
                <w:lang w:val="en-US" w:eastAsia="zh-CN"/>
              </w:rPr>
              <w:t>150</w:t>
            </w:r>
          </w:p>
        </w:tc>
        <w:tc>
          <w:tcPr>
            <w:tcW w:w="528" w:type="pct"/>
            <w:shd w:val="clear" w:color="auto" w:fill="auto"/>
            <w:vAlign w:val="center"/>
          </w:tcPr>
          <w:p w14:paraId="150BBC5C">
            <w:pPr>
              <w:pStyle w:val="31"/>
              <w:bidi w:val="0"/>
              <w:ind w:firstLine="0" w:firstLineChars="0"/>
              <w:rPr>
                <w:rFonts w:ascii="Times New Roman" w:hAnsi="Times New Roman" w:eastAsia="宋体" w:cs="Times New Roman"/>
                <w:bCs/>
                <w:color w:val="auto"/>
                <w:sz w:val="21"/>
                <w:szCs w:val="21"/>
              </w:rPr>
            </w:pPr>
            <w:r>
              <w:rPr>
                <w:color w:val="auto"/>
              </w:rPr>
              <w:t>500</w:t>
            </w:r>
          </w:p>
        </w:tc>
        <w:tc>
          <w:tcPr>
            <w:tcW w:w="635" w:type="pct"/>
            <w:vMerge w:val="continue"/>
            <w:vAlign w:val="center"/>
          </w:tcPr>
          <w:p w14:paraId="0624E0DB">
            <w:pPr>
              <w:pStyle w:val="31"/>
              <w:bidi w:val="0"/>
              <w:rPr>
                <w:color w:val="auto"/>
              </w:rPr>
            </w:pPr>
          </w:p>
        </w:tc>
        <w:tc>
          <w:tcPr>
            <w:tcW w:w="1625" w:type="pct"/>
            <w:vMerge w:val="continue"/>
            <w:vAlign w:val="center"/>
          </w:tcPr>
          <w:p w14:paraId="1F0A3E27">
            <w:pPr>
              <w:pStyle w:val="31"/>
              <w:bidi w:val="0"/>
              <w:rPr>
                <w:color w:val="auto"/>
              </w:rPr>
            </w:pPr>
          </w:p>
        </w:tc>
      </w:tr>
      <w:tr w14:paraId="45C0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516133A5">
            <w:pPr>
              <w:pStyle w:val="31"/>
              <w:bidi w:val="0"/>
              <w:rPr>
                <w:color w:val="auto"/>
              </w:rPr>
            </w:pPr>
            <w:r>
              <w:rPr>
                <w:color w:val="auto"/>
              </w:rPr>
              <w:t>NO</w:t>
            </w:r>
            <w:r>
              <w:rPr>
                <w:color w:val="auto"/>
                <w:vertAlign w:val="subscript"/>
              </w:rPr>
              <w:t>2</w:t>
            </w:r>
          </w:p>
        </w:tc>
        <w:tc>
          <w:tcPr>
            <w:tcW w:w="1123" w:type="pct"/>
            <w:vAlign w:val="center"/>
          </w:tcPr>
          <w:p w14:paraId="7B37F9CC">
            <w:pPr>
              <w:pStyle w:val="31"/>
              <w:bidi w:val="0"/>
              <w:rPr>
                <w:color w:val="auto"/>
              </w:rPr>
            </w:pPr>
            <w:r>
              <w:rPr>
                <w:color w:val="auto"/>
              </w:rPr>
              <w:t>年平均</w:t>
            </w:r>
          </w:p>
        </w:tc>
        <w:tc>
          <w:tcPr>
            <w:tcW w:w="523" w:type="pct"/>
            <w:vAlign w:val="center"/>
          </w:tcPr>
          <w:p w14:paraId="4A36E44F">
            <w:pPr>
              <w:pStyle w:val="31"/>
              <w:bidi w:val="0"/>
              <w:rPr>
                <w:rFonts w:hint="default" w:eastAsia="宋体"/>
                <w:color w:val="auto"/>
                <w:lang w:val="en-US" w:eastAsia="zh-CN"/>
              </w:rPr>
            </w:pPr>
            <w:r>
              <w:rPr>
                <w:rFonts w:hint="eastAsia"/>
                <w:color w:val="auto"/>
                <w:lang w:val="en-US" w:eastAsia="zh-CN"/>
              </w:rPr>
              <w:t>40</w:t>
            </w:r>
          </w:p>
        </w:tc>
        <w:tc>
          <w:tcPr>
            <w:tcW w:w="528" w:type="pct"/>
            <w:shd w:val="clear" w:color="auto" w:fill="auto"/>
            <w:vAlign w:val="center"/>
          </w:tcPr>
          <w:p w14:paraId="4E2D695F">
            <w:pPr>
              <w:pStyle w:val="31"/>
              <w:bidi w:val="0"/>
              <w:ind w:firstLine="0" w:firstLineChars="0"/>
              <w:rPr>
                <w:rFonts w:ascii="Times New Roman" w:hAnsi="Times New Roman" w:eastAsia="宋体" w:cs="Times New Roman"/>
                <w:bCs/>
                <w:color w:val="auto"/>
                <w:sz w:val="21"/>
                <w:szCs w:val="21"/>
              </w:rPr>
            </w:pPr>
            <w:r>
              <w:rPr>
                <w:color w:val="auto"/>
              </w:rPr>
              <w:t>40</w:t>
            </w:r>
          </w:p>
        </w:tc>
        <w:tc>
          <w:tcPr>
            <w:tcW w:w="635" w:type="pct"/>
            <w:vMerge w:val="continue"/>
            <w:vAlign w:val="center"/>
          </w:tcPr>
          <w:p w14:paraId="02D65B06">
            <w:pPr>
              <w:pStyle w:val="31"/>
              <w:bidi w:val="0"/>
              <w:rPr>
                <w:color w:val="auto"/>
              </w:rPr>
            </w:pPr>
          </w:p>
        </w:tc>
        <w:tc>
          <w:tcPr>
            <w:tcW w:w="1625" w:type="pct"/>
            <w:vMerge w:val="continue"/>
            <w:vAlign w:val="center"/>
          </w:tcPr>
          <w:p w14:paraId="73FEB39B">
            <w:pPr>
              <w:pStyle w:val="31"/>
              <w:bidi w:val="0"/>
              <w:rPr>
                <w:color w:val="auto"/>
              </w:rPr>
            </w:pPr>
          </w:p>
        </w:tc>
      </w:tr>
      <w:tr w14:paraId="3CF5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2EF21EC3">
            <w:pPr>
              <w:pStyle w:val="31"/>
              <w:bidi w:val="0"/>
              <w:rPr>
                <w:color w:val="auto"/>
              </w:rPr>
            </w:pPr>
          </w:p>
        </w:tc>
        <w:tc>
          <w:tcPr>
            <w:tcW w:w="1123" w:type="pct"/>
            <w:vAlign w:val="center"/>
          </w:tcPr>
          <w:p w14:paraId="629BDF9B">
            <w:pPr>
              <w:pStyle w:val="31"/>
              <w:bidi w:val="0"/>
              <w:rPr>
                <w:color w:val="auto"/>
              </w:rPr>
            </w:pPr>
            <w:r>
              <w:rPr>
                <w:color w:val="auto"/>
              </w:rPr>
              <w:t>24小时平均</w:t>
            </w:r>
          </w:p>
        </w:tc>
        <w:tc>
          <w:tcPr>
            <w:tcW w:w="523" w:type="pct"/>
            <w:vAlign w:val="center"/>
          </w:tcPr>
          <w:p w14:paraId="58DAEC1E">
            <w:pPr>
              <w:pStyle w:val="31"/>
              <w:bidi w:val="0"/>
              <w:ind w:firstLine="0" w:firstLineChars="0"/>
              <w:rPr>
                <w:color w:val="auto"/>
              </w:rPr>
            </w:pPr>
            <w:r>
              <w:rPr>
                <w:color w:val="auto"/>
              </w:rPr>
              <w:t>80</w:t>
            </w:r>
          </w:p>
        </w:tc>
        <w:tc>
          <w:tcPr>
            <w:tcW w:w="528" w:type="pct"/>
            <w:shd w:val="clear" w:color="auto" w:fill="auto"/>
            <w:vAlign w:val="center"/>
          </w:tcPr>
          <w:p w14:paraId="13B44AF7">
            <w:pPr>
              <w:pStyle w:val="31"/>
              <w:bidi w:val="0"/>
              <w:ind w:firstLine="0" w:firstLineChars="0"/>
              <w:rPr>
                <w:rFonts w:ascii="Times New Roman" w:hAnsi="Times New Roman" w:eastAsia="宋体" w:cs="Times New Roman"/>
                <w:bCs/>
                <w:color w:val="auto"/>
                <w:sz w:val="21"/>
                <w:szCs w:val="21"/>
              </w:rPr>
            </w:pPr>
            <w:r>
              <w:rPr>
                <w:color w:val="auto"/>
              </w:rPr>
              <w:t>80</w:t>
            </w:r>
          </w:p>
        </w:tc>
        <w:tc>
          <w:tcPr>
            <w:tcW w:w="635" w:type="pct"/>
            <w:vMerge w:val="continue"/>
            <w:vAlign w:val="center"/>
          </w:tcPr>
          <w:p w14:paraId="3867BC30">
            <w:pPr>
              <w:pStyle w:val="31"/>
              <w:bidi w:val="0"/>
              <w:rPr>
                <w:color w:val="auto"/>
              </w:rPr>
            </w:pPr>
          </w:p>
        </w:tc>
        <w:tc>
          <w:tcPr>
            <w:tcW w:w="1625" w:type="pct"/>
            <w:vMerge w:val="continue"/>
            <w:vAlign w:val="center"/>
          </w:tcPr>
          <w:p w14:paraId="57F0E60B">
            <w:pPr>
              <w:pStyle w:val="31"/>
              <w:bidi w:val="0"/>
              <w:rPr>
                <w:color w:val="auto"/>
              </w:rPr>
            </w:pPr>
          </w:p>
        </w:tc>
      </w:tr>
      <w:tr w14:paraId="4D9A6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34A7BA79">
            <w:pPr>
              <w:pStyle w:val="31"/>
              <w:bidi w:val="0"/>
              <w:rPr>
                <w:color w:val="auto"/>
              </w:rPr>
            </w:pPr>
          </w:p>
        </w:tc>
        <w:tc>
          <w:tcPr>
            <w:tcW w:w="1123" w:type="pct"/>
            <w:vAlign w:val="center"/>
          </w:tcPr>
          <w:p w14:paraId="27C7EDDC">
            <w:pPr>
              <w:pStyle w:val="31"/>
              <w:bidi w:val="0"/>
              <w:rPr>
                <w:color w:val="auto"/>
              </w:rPr>
            </w:pPr>
            <w:r>
              <w:rPr>
                <w:color w:val="auto"/>
              </w:rPr>
              <w:t>1小时平均</w:t>
            </w:r>
          </w:p>
        </w:tc>
        <w:tc>
          <w:tcPr>
            <w:tcW w:w="523" w:type="pct"/>
            <w:vAlign w:val="center"/>
          </w:tcPr>
          <w:p w14:paraId="13B98A15">
            <w:pPr>
              <w:pStyle w:val="31"/>
              <w:bidi w:val="0"/>
              <w:ind w:firstLine="0" w:firstLineChars="0"/>
              <w:rPr>
                <w:color w:val="auto"/>
              </w:rPr>
            </w:pPr>
            <w:r>
              <w:rPr>
                <w:color w:val="auto"/>
              </w:rPr>
              <w:t>200</w:t>
            </w:r>
          </w:p>
        </w:tc>
        <w:tc>
          <w:tcPr>
            <w:tcW w:w="528" w:type="pct"/>
            <w:shd w:val="clear" w:color="auto" w:fill="auto"/>
            <w:vAlign w:val="center"/>
          </w:tcPr>
          <w:p w14:paraId="3F84242F">
            <w:pPr>
              <w:pStyle w:val="31"/>
              <w:bidi w:val="0"/>
              <w:ind w:firstLine="0" w:firstLineChars="0"/>
              <w:rPr>
                <w:rFonts w:ascii="Times New Roman" w:hAnsi="Times New Roman" w:eastAsia="宋体" w:cs="Times New Roman"/>
                <w:bCs/>
                <w:color w:val="auto"/>
                <w:sz w:val="21"/>
                <w:szCs w:val="21"/>
              </w:rPr>
            </w:pPr>
            <w:r>
              <w:rPr>
                <w:color w:val="auto"/>
              </w:rPr>
              <w:t>200</w:t>
            </w:r>
          </w:p>
        </w:tc>
        <w:tc>
          <w:tcPr>
            <w:tcW w:w="635" w:type="pct"/>
            <w:vMerge w:val="continue"/>
            <w:vAlign w:val="center"/>
          </w:tcPr>
          <w:p w14:paraId="6711FC80">
            <w:pPr>
              <w:pStyle w:val="31"/>
              <w:bidi w:val="0"/>
              <w:rPr>
                <w:color w:val="auto"/>
              </w:rPr>
            </w:pPr>
          </w:p>
        </w:tc>
        <w:tc>
          <w:tcPr>
            <w:tcW w:w="1625" w:type="pct"/>
            <w:vMerge w:val="continue"/>
            <w:vAlign w:val="center"/>
          </w:tcPr>
          <w:p w14:paraId="398FBFA0">
            <w:pPr>
              <w:pStyle w:val="31"/>
              <w:bidi w:val="0"/>
              <w:rPr>
                <w:color w:val="auto"/>
              </w:rPr>
            </w:pPr>
          </w:p>
        </w:tc>
      </w:tr>
      <w:tr w14:paraId="4464F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02189703">
            <w:pPr>
              <w:pStyle w:val="31"/>
              <w:bidi w:val="0"/>
              <w:rPr>
                <w:color w:val="auto"/>
              </w:rPr>
            </w:pPr>
            <w:r>
              <w:rPr>
                <w:color w:val="auto"/>
              </w:rPr>
              <w:t>PM</w:t>
            </w:r>
            <w:r>
              <w:rPr>
                <w:color w:val="auto"/>
                <w:vertAlign w:val="subscript"/>
              </w:rPr>
              <w:t>10</w:t>
            </w:r>
          </w:p>
        </w:tc>
        <w:tc>
          <w:tcPr>
            <w:tcW w:w="1123" w:type="pct"/>
            <w:vAlign w:val="center"/>
          </w:tcPr>
          <w:p w14:paraId="53E7CBF3">
            <w:pPr>
              <w:pStyle w:val="31"/>
              <w:bidi w:val="0"/>
              <w:rPr>
                <w:color w:val="auto"/>
              </w:rPr>
            </w:pPr>
            <w:r>
              <w:rPr>
                <w:color w:val="auto"/>
              </w:rPr>
              <w:t>年平均</w:t>
            </w:r>
          </w:p>
        </w:tc>
        <w:tc>
          <w:tcPr>
            <w:tcW w:w="523" w:type="pct"/>
            <w:vAlign w:val="center"/>
          </w:tcPr>
          <w:p w14:paraId="4BAFF173">
            <w:pPr>
              <w:pStyle w:val="31"/>
              <w:bidi w:val="0"/>
              <w:rPr>
                <w:rFonts w:hint="default" w:eastAsia="宋体"/>
                <w:color w:val="auto"/>
                <w:lang w:val="en-US" w:eastAsia="zh-CN"/>
              </w:rPr>
            </w:pPr>
            <w:r>
              <w:rPr>
                <w:rFonts w:hint="eastAsia"/>
                <w:color w:val="auto"/>
                <w:lang w:val="en-US" w:eastAsia="zh-CN"/>
              </w:rPr>
              <w:t>40</w:t>
            </w:r>
          </w:p>
        </w:tc>
        <w:tc>
          <w:tcPr>
            <w:tcW w:w="528" w:type="pct"/>
            <w:shd w:val="clear" w:color="auto" w:fill="auto"/>
            <w:vAlign w:val="center"/>
          </w:tcPr>
          <w:p w14:paraId="4313B804">
            <w:pPr>
              <w:pStyle w:val="31"/>
              <w:bidi w:val="0"/>
              <w:ind w:firstLine="0" w:firstLineChars="0"/>
              <w:rPr>
                <w:rFonts w:ascii="Times New Roman" w:hAnsi="Times New Roman" w:eastAsia="宋体" w:cs="Times New Roman"/>
                <w:bCs/>
                <w:color w:val="auto"/>
                <w:sz w:val="21"/>
                <w:szCs w:val="21"/>
              </w:rPr>
            </w:pPr>
            <w:r>
              <w:rPr>
                <w:color w:val="auto"/>
              </w:rPr>
              <w:t>70</w:t>
            </w:r>
          </w:p>
        </w:tc>
        <w:tc>
          <w:tcPr>
            <w:tcW w:w="635" w:type="pct"/>
            <w:vMerge w:val="continue"/>
            <w:vAlign w:val="center"/>
          </w:tcPr>
          <w:p w14:paraId="3CF6365C">
            <w:pPr>
              <w:pStyle w:val="31"/>
              <w:bidi w:val="0"/>
              <w:rPr>
                <w:color w:val="auto"/>
              </w:rPr>
            </w:pPr>
          </w:p>
        </w:tc>
        <w:tc>
          <w:tcPr>
            <w:tcW w:w="1625" w:type="pct"/>
            <w:vMerge w:val="continue"/>
            <w:vAlign w:val="center"/>
          </w:tcPr>
          <w:p w14:paraId="0B188796">
            <w:pPr>
              <w:pStyle w:val="31"/>
              <w:bidi w:val="0"/>
              <w:rPr>
                <w:color w:val="auto"/>
              </w:rPr>
            </w:pPr>
          </w:p>
        </w:tc>
      </w:tr>
      <w:tr w14:paraId="1A477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1C5260C8">
            <w:pPr>
              <w:pStyle w:val="31"/>
              <w:bidi w:val="0"/>
              <w:rPr>
                <w:color w:val="auto"/>
              </w:rPr>
            </w:pPr>
          </w:p>
        </w:tc>
        <w:tc>
          <w:tcPr>
            <w:tcW w:w="1123" w:type="pct"/>
            <w:vAlign w:val="center"/>
          </w:tcPr>
          <w:p w14:paraId="1DC7B441">
            <w:pPr>
              <w:pStyle w:val="31"/>
              <w:bidi w:val="0"/>
              <w:rPr>
                <w:color w:val="auto"/>
              </w:rPr>
            </w:pPr>
            <w:r>
              <w:rPr>
                <w:color w:val="auto"/>
              </w:rPr>
              <w:t>24小时平均</w:t>
            </w:r>
          </w:p>
        </w:tc>
        <w:tc>
          <w:tcPr>
            <w:tcW w:w="523" w:type="pct"/>
            <w:vAlign w:val="center"/>
          </w:tcPr>
          <w:p w14:paraId="16FC8E37">
            <w:pPr>
              <w:pStyle w:val="31"/>
              <w:bidi w:val="0"/>
              <w:rPr>
                <w:rFonts w:hint="default" w:eastAsia="宋体"/>
                <w:color w:val="auto"/>
                <w:lang w:val="en-US" w:eastAsia="zh-CN"/>
              </w:rPr>
            </w:pPr>
            <w:r>
              <w:rPr>
                <w:rFonts w:hint="eastAsia"/>
                <w:color w:val="auto"/>
                <w:lang w:val="en-US" w:eastAsia="zh-CN"/>
              </w:rPr>
              <w:t>50</w:t>
            </w:r>
          </w:p>
        </w:tc>
        <w:tc>
          <w:tcPr>
            <w:tcW w:w="528" w:type="pct"/>
            <w:shd w:val="clear" w:color="auto" w:fill="auto"/>
            <w:vAlign w:val="center"/>
          </w:tcPr>
          <w:p w14:paraId="0E7C9CE9">
            <w:pPr>
              <w:pStyle w:val="31"/>
              <w:bidi w:val="0"/>
              <w:ind w:firstLine="0" w:firstLineChars="0"/>
              <w:rPr>
                <w:rFonts w:ascii="Times New Roman" w:hAnsi="Times New Roman" w:eastAsia="宋体" w:cs="Times New Roman"/>
                <w:bCs/>
                <w:color w:val="auto"/>
                <w:sz w:val="21"/>
                <w:szCs w:val="21"/>
              </w:rPr>
            </w:pPr>
            <w:r>
              <w:rPr>
                <w:color w:val="auto"/>
              </w:rPr>
              <w:t>150</w:t>
            </w:r>
          </w:p>
        </w:tc>
        <w:tc>
          <w:tcPr>
            <w:tcW w:w="635" w:type="pct"/>
            <w:vMerge w:val="continue"/>
            <w:vAlign w:val="center"/>
          </w:tcPr>
          <w:p w14:paraId="1B716030">
            <w:pPr>
              <w:pStyle w:val="31"/>
              <w:bidi w:val="0"/>
              <w:rPr>
                <w:color w:val="auto"/>
              </w:rPr>
            </w:pPr>
          </w:p>
        </w:tc>
        <w:tc>
          <w:tcPr>
            <w:tcW w:w="1625" w:type="pct"/>
            <w:vMerge w:val="continue"/>
            <w:vAlign w:val="center"/>
          </w:tcPr>
          <w:p w14:paraId="1655B215">
            <w:pPr>
              <w:pStyle w:val="31"/>
              <w:bidi w:val="0"/>
              <w:rPr>
                <w:color w:val="auto"/>
              </w:rPr>
            </w:pPr>
          </w:p>
        </w:tc>
      </w:tr>
      <w:tr w14:paraId="073F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1788101C">
            <w:pPr>
              <w:pStyle w:val="31"/>
              <w:bidi w:val="0"/>
              <w:rPr>
                <w:color w:val="auto"/>
              </w:rPr>
            </w:pPr>
            <w:r>
              <w:rPr>
                <w:color w:val="auto"/>
              </w:rPr>
              <w:t>CO</w:t>
            </w:r>
          </w:p>
        </w:tc>
        <w:tc>
          <w:tcPr>
            <w:tcW w:w="1123" w:type="pct"/>
            <w:vAlign w:val="center"/>
          </w:tcPr>
          <w:p w14:paraId="6D5E8D23">
            <w:pPr>
              <w:pStyle w:val="31"/>
              <w:bidi w:val="0"/>
              <w:rPr>
                <w:color w:val="auto"/>
              </w:rPr>
            </w:pPr>
            <w:r>
              <w:rPr>
                <w:color w:val="auto"/>
              </w:rPr>
              <w:t>24小时平均</w:t>
            </w:r>
          </w:p>
        </w:tc>
        <w:tc>
          <w:tcPr>
            <w:tcW w:w="523" w:type="pct"/>
            <w:vAlign w:val="center"/>
          </w:tcPr>
          <w:p w14:paraId="70E5DA68">
            <w:pPr>
              <w:pStyle w:val="31"/>
              <w:bidi w:val="0"/>
              <w:ind w:firstLine="0" w:firstLineChars="0"/>
              <w:rPr>
                <w:color w:val="auto"/>
              </w:rPr>
            </w:pPr>
            <w:r>
              <w:rPr>
                <w:color w:val="auto"/>
              </w:rPr>
              <w:t>4</w:t>
            </w:r>
          </w:p>
        </w:tc>
        <w:tc>
          <w:tcPr>
            <w:tcW w:w="528" w:type="pct"/>
            <w:shd w:val="clear" w:color="auto" w:fill="auto"/>
            <w:vAlign w:val="center"/>
          </w:tcPr>
          <w:p w14:paraId="78C4353E">
            <w:pPr>
              <w:pStyle w:val="31"/>
              <w:bidi w:val="0"/>
              <w:ind w:firstLine="0" w:firstLineChars="0"/>
              <w:rPr>
                <w:rFonts w:ascii="Times New Roman" w:hAnsi="Times New Roman" w:eastAsia="宋体" w:cs="Times New Roman"/>
                <w:bCs/>
                <w:color w:val="auto"/>
                <w:sz w:val="21"/>
                <w:szCs w:val="21"/>
              </w:rPr>
            </w:pPr>
            <w:r>
              <w:rPr>
                <w:color w:val="auto"/>
              </w:rPr>
              <w:t>4</w:t>
            </w:r>
          </w:p>
        </w:tc>
        <w:tc>
          <w:tcPr>
            <w:tcW w:w="635" w:type="pct"/>
            <w:vMerge w:val="restart"/>
            <w:vAlign w:val="center"/>
          </w:tcPr>
          <w:p w14:paraId="3A54161B">
            <w:pPr>
              <w:pStyle w:val="31"/>
              <w:bidi w:val="0"/>
              <w:rPr>
                <w:color w:val="auto"/>
              </w:rPr>
            </w:pPr>
            <w:r>
              <w:rPr>
                <w:color w:val="auto"/>
              </w:rPr>
              <w:t>mg/m</w:t>
            </w:r>
            <w:r>
              <w:rPr>
                <w:color w:val="auto"/>
                <w:vertAlign w:val="superscript"/>
              </w:rPr>
              <w:t>3</w:t>
            </w:r>
          </w:p>
        </w:tc>
        <w:tc>
          <w:tcPr>
            <w:tcW w:w="1625" w:type="pct"/>
            <w:vMerge w:val="continue"/>
            <w:vAlign w:val="center"/>
          </w:tcPr>
          <w:p w14:paraId="5759FA20">
            <w:pPr>
              <w:pStyle w:val="31"/>
              <w:bidi w:val="0"/>
              <w:rPr>
                <w:color w:val="auto"/>
              </w:rPr>
            </w:pPr>
          </w:p>
        </w:tc>
      </w:tr>
      <w:tr w14:paraId="44AE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2B214449">
            <w:pPr>
              <w:pStyle w:val="31"/>
              <w:bidi w:val="0"/>
              <w:rPr>
                <w:color w:val="auto"/>
              </w:rPr>
            </w:pPr>
          </w:p>
        </w:tc>
        <w:tc>
          <w:tcPr>
            <w:tcW w:w="1123" w:type="pct"/>
            <w:vAlign w:val="center"/>
          </w:tcPr>
          <w:p w14:paraId="322D082E">
            <w:pPr>
              <w:pStyle w:val="31"/>
              <w:bidi w:val="0"/>
              <w:rPr>
                <w:color w:val="auto"/>
              </w:rPr>
            </w:pPr>
            <w:r>
              <w:rPr>
                <w:color w:val="auto"/>
              </w:rPr>
              <w:t>1小时平均</w:t>
            </w:r>
          </w:p>
        </w:tc>
        <w:tc>
          <w:tcPr>
            <w:tcW w:w="523" w:type="pct"/>
            <w:vAlign w:val="center"/>
          </w:tcPr>
          <w:p w14:paraId="182929C0">
            <w:pPr>
              <w:pStyle w:val="31"/>
              <w:bidi w:val="0"/>
              <w:ind w:firstLine="0" w:firstLineChars="0"/>
              <w:rPr>
                <w:color w:val="auto"/>
              </w:rPr>
            </w:pPr>
            <w:r>
              <w:rPr>
                <w:color w:val="auto"/>
              </w:rPr>
              <w:t>10</w:t>
            </w:r>
          </w:p>
        </w:tc>
        <w:tc>
          <w:tcPr>
            <w:tcW w:w="528" w:type="pct"/>
            <w:shd w:val="clear" w:color="auto" w:fill="auto"/>
            <w:vAlign w:val="center"/>
          </w:tcPr>
          <w:p w14:paraId="4AABA0FA">
            <w:pPr>
              <w:pStyle w:val="31"/>
              <w:bidi w:val="0"/>
              <w:ind w:firstLine="0" w:firstLineChars="0"/>
              <w:rPr>
                <w:rFonts w:ascii="Times New Roman" w:hAnsi="Times New Roman" w:eastAsia="宋体" w:cs="Times New Roman"/>
                <w:bCs/>
                <w:color w:val="auto"/>
                <w:sz w:val="21"/>
                <w:szCs w:val="21"/>
              </w:rPr>
            </w:pPr>
            <w:r>
              <w:rPr>
                <w:color w:val="auto"/>
              </w:rPr>
              <w:t>10</w:t>
            </w:r>
          </w:p>
        </w:tc>
        <w:tc>
          <w:tcPr>
            <w:tcW w:w="635" w:type="pct"/>
            <w:vMerge w:val="continue"/>
            <w:vAlign w:val="center"/>
          </w:tcPr>
          <w:p w14:paraId="5B8A0C20">
            <w:pPr>
              <w:pStyle w:val="31"/>
              <w:bidi w:val="0"/>
              <w:rPr>
                <w:color w:val="auto"/>
              </w:rPr>
            </w:pPr>
          </w:p>
        </w:tc>
        <w:tc>
          <w:tcPr>
            <w:tcW w:w="1625" w:type="pct"/>
            <w:vMerge w:val="continue"/>
            <w:vAlign w:val="center"/>
          </w:tcPr>
          <w:p w14:paraId="73E29C02">
            <w:pPr>
              <w:pStyle w:val="31"/>
              <w:bidi w:val="0"/>
              <w:rPr>
                <w:color w:val="auto"/>
              </w:rPr>
            </w:pPr>
          </w:p>
        </w:tc>
      </w:tr>
      <w:tr w14:paraId="6731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1783F036">
            <w:pPr>
              <w:pStyle w:val="31"/>
              <w:bidi w:val="0"/>
              <w:rPr>
                <w:color w:val="auto"/>
              </w:rPr>
            </w:pPr>
            <w:r>
              <w:rPr>
                <w:color w:val="auto"/>
              </w:rPr>
              <w:t>O</w:t>
            </w:r>
            <w:r>
              <w:rPr>
                <w:color w:val="auto"/>
                <w:vertAlign w:val="subscript"/>
              </w:rPr>
              <w:t>3</w:t>
            </w:r>
          </w:p>
        </w:tc>
        <w:tc>
          <w:tcPr>
            <w:tcW w:w="1123" w:type="pct"/>
            <w:vAlign w:val="center"/>
          </w:tcPr>
          <w:p w14:paraId="1FC25F85">
            <w:pPr>
              <w:pStyle w:val="31"/>
              <w:bidi w:val="0"/>
              <w:rPr>
                <w:color w:val="auto"/>
              </w:rPr>
            </w:pPr>
            <w:r>
              <w:rPr>
                <w:color w:val="auto"/>
              </w:rPr>
              <w:t>日最大8小时平均</w:t>
            </w:r>
          </w:p>
        </w:tc>
        <w:tc>
          <w:tcPr>
            <w:tcW w:w="523" w:type="pct"/>
            <w:vAlign w:val="center"/>
          </w:tcPr>
          <w:p w14:paraId="4406E9CE">
            <w:pPr>
              <w:pStyle w:val="31"/>
              <w:bidi w:val="0"/>
              <w:rPr>
                <w:rFonts w:hint="default" w:eastAsia="宋体"/>
                <w:color w:val="auto"/>
                <w:lang w:val="en-US" w:eastAsia="zh-CN"/>
              </w:rPr>
            </w:pPr>
            <w:r>
              <w:rPr>
                <w:rFonts w:hint="eastAsia"/>
                <w:color w:val="auto"/>
                <w:lang w:val="en-US" w:eastAsia="zh-CN"/>
              </w:rPr>
              <w:t>100</w:t>
            </w:r>
          </w:p>
        </w:tc>
        <w:tc>
          <w:tcPr>
            <w:tcW w:w="528" w:type="pct"/>
            <w:shd w:val="clear" w:color="auto" w:fill="auto"/>
            <w:vAlign w:val="center"/>
          </w:tcPr>
          <w:p w14:paraId="60D559A3">
            <w:pPr>
              <w:pStyle w:val="31"/>
              <w:bidi w:val="0"/>
              <w:ind w:firstLine="0" w:firstLineChars="0"/>
              <w:rPr>
                <w:rFonts w:hint="default" w:ascii="Times New Roman" w:hAnsi="Times New Roman" w:eastAsia="宋体" w:cs="Times New Roman"/>
                <w:bCs/>
                <w:color w:val="auto"/>
                <w:sz w:val="21"/>
                <w:szCs w:val="21"/>
                <w:lang w:val="en-US" w:eastAsia="zh-CN"/>
              </w:rPr>
            </w:pPr>
            <w:r>
              <w:rPr>
                <w:rFonts w:hint="eastAsia"/>
                <w:color w:val="auto"/>
                <w:lang w:val="en-US" w:eastAsia="zh-CN"/>
              </w:rPr>
              <w:t>160</w:t>
            </w:r>
          </w:p>
        </w:tc>
        <w:tc>
          <w:tcPr>
            <w:tcW w:w="635" w:type="pct"/>
            <w:vMerge w:val="restart"/>
            <w:vAlign w:val="center"/>
          </w:tcPr>
          <w:p w14:paraId="3A20B886">
            <w:pPr>
              <w:pStyle w:val="31"/>
              <w:bidi w:val="0"/>
              <w:rPr>
                <w:color w:val="auto"/>
              </w:rPr>
            </w:pPr>
            <w:r>
              <w:rPr>
                <w:color w:val="auto"/>
              </w:rPr>
              <w:t>μg/m</w:t>
            </w:r>
            <w:r>
              <w:rPr>
                <w:color w:val="auto"/>
                <w:vertAlign w:val="superscript"/>
              </w:rPr>
              <w:t>3</w:t>
            </w:r>
          </w:p>
        </w:tc>
        <w:tc>
          <w:tcPr>
            <w:tcW w:w="1625" w:type="pct"/>
            <w:vMerge w:val="continue"/>
            <w:vAlign w:val="center"/>
          </w:tcPr>
          <w:p w14:paraId="5EF2115F">
            <w:pPr>
              <w:pStyle w:val="31"/>
              <w:bidi w:val="0"/>
              <w:rPr>
                <w:color w:val="auto"/>
              </w:rPr>
            </w:pPr>
          </w:p>
        </w:tc>
      </w:tr>
      <w:tr w14:paraId="13E6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3DB7F23D">
            <w:pPr>
              <w:pStyle w:val="31"/>
              <w:bidi w:val="0"/>
              <w:rPr>
                <w:color w:val="auto"/>
              </w:rPr>
            </w:pPr>
          </w:p>
        </w:tc>
        <w:tc>
          <w:tcPr>
            <w:tcW w:w="1123" w:type="pct"/>
            <w:vAlign w:val="center"/>
          </w:tcPr>
          <w:p w14:paraId="0CFDAC51">
            <w:pPr>
              <w:pStyle w:val="31"/>
              <w:bidi w:val="0"/>
              <w:rPr>
                <w:color w:val="auto"/>
              </w:rPr>
            </w:pPr>
            <w:r>
              <w:rPr>
                <w:color w:val="auto"/>
              </w:rPr>
              <w:t>1小时平均</w:t>
            </w:r>
          </w:p>
        </w:tc>
        <w:tc>
          <w:tcPr>
            <w:tcW w:w="523" w:type="pct"/>
            <w:vAlign w:val="center"/>
          </w:tcPr>
          <w:p w14:paraId="4575B41A">
            <w:pPr>
              <w:pStyle w:val="31"/>
              <w:bidi w:val="0"/>
              <w:rPr>
                <w:rFonts w:hint="default" w:eastAsia="宋体"/>
                <w:color w:val="auto"/>
                <w:lang w:val="en-US" w:eastAsia="zh-CN"/>
              </w:rPr>
            </w:pPr>
            <w:r>
              <w:rPr>
                <w:rFonts w:hint="eastAsia"/>
                <w:color w:val="auto"/>
                <w:lang w:val="en-US" w:eastAsia="zh-CN"/>
              </w:rPr>
              <w:t>160</w:t>
            </w:r>
          </w:p>
        </w:tc>
        <w:tc>
          <w:tcPr>
            <w:tcW w:w="528" w:type="pct"/>
            <w:shd w:val="clear" w:color="auto" w:fill="auto"/>
            <w:vAlign w:val="center"/>
          </w:tcPr>
          <w:p w14:paraId="002E8CFB">
            <w:pPr>
              <w:pStyle w:val="31"/>
              <w:bidi w:val="0"/>
              <w:ind w:firstLine="0" w:firstLineChars="0"/>
              <w:rPr>
                <w:rFonts w:hint="default" w:ascii="Times New Roman" w:hAnsi="Times New Roman" w:eastAsia="宋体" w:cs="Times New Roman"/>
                <w:bCs/>
                <w:color w:val="auto"/>
                <w:sz w:val="21"/>
                <w:szCs w:val="21"/>
                <w:lang w:val="en-US" w:eastAsia="zh-CN"/>
              </w:rPr>
            </w:pPr>
            <w:r>
              <w:rPr>
                <w:rFonts w:hint="eastAsia"/>
                <w:color w:val="auto"/>
                <w:lang w:val="en-US" w:eastAsia="zh-CN"/>
              </w:rPr>
              <w:t>200</w:t>
            </w:r>
          </w:p>
        </w:tc>
        <w:tc>
          <w:tcPr>
            <w:tcW w:w="635" w:type="pct"/>
            <w:vMerge w:val="continue"/>
            <w:vAlign w:val="center"/>
          </w:tcPr>
          <w:p w14:paraId="00804125">
            <w:pPr>
              <w:pStyle w:val="31"/>
              <w:bidi w:val="0"/>
              <w:rPr>
                <w:color w:val="auto"/>
              </w:rPr>
            </w:pPr>
          </w:p>
        </w:tc>
        <w:tc>
          <w:tcPr>
            <w:tcW w:w="1625" w:type="pct"/>
            <w:vMerge w:val="continue"/>
            <w:vAlign w:val="center"/>
          </w:tcPr>
          <w:p w14:paraId="515D3DF7">
            <w:pPr>
              <w:pStyle w:val="31"/>
              <w:bidi w:val="0"/>
              <w:rPr>
                <w:color w:val="auto"/>
              </w:rPr>
            </w:pPr>
          </w:p>
        </w:tc>
      </w:tr>
      <w:tr w14:paraId="0EDF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3262C245">
            <w:pPr>
              <w:pStyle w:val="31"/>
              <w:bidi w:val="0"/>
              <w:rPr>
                <w:color w:val="auto"/>
              </w:rPr>
            </w:pPr>
            <w:r>
              <w:rPr>
                <w:color w:val="auto"/>
              </w:rPr>
              <w:t>PM</w:t>
            </w:r>
            <w:r>
              <w:rPr>
                <w:color w:val="auto"/>
                <w:vertAlign w:val="subscript"/>
              </w:rPr>
              <w:t>2.5</w:t>
            </w:r>
          </w:p>
        </w:tc>
        <w:tc>
          <w:tcPr>
            <w:tcW w:w="1123" w:type="pct"/>
            <w:vAlign w:val="center"/>
          </w:tcPr>
          <w:p w14:paraId="3EC42F5F">
            <w:pPr>
              <w:pStyle w:val="31"/>
              <w:bidi w:val="0"/>
              <w:rPr>
                <w:color w:val="auto"/>
              </w:rPr>
            </w:pPr>
            <w:r>
              <w:rPr>
                <w:color w:val="auto"/>
              </w:rPr>
              <w:t>日平均</w:t>
            </w:r>
          </w:p>
        </w:tc>
        <w:tc>
          <w:tcPr>
            <w:tcW w:w="523" w:type="pct"/>
            <w:vAlign w:val="center"/>
          </w:tcPr>
          <w:p w14:paraId="13CA1166">
            <w:pPr>
              <w:pStyle w:val="31"/>
              <w:bidi w:val="0"/>
              <w:rPr>
                <w:rFonts w:hint="default" w:eastAsia="宋体"/>
                <w:color w:val="auto"/>
                <w:lang w:val="en-US" w:eastAsia="zh-CN"/>
              </w:rPr>
            </w:pPr>
            <w:r>
              <w:rPr>
                <w:rFonts w:hint="eastAsia"/>
                <w:color w:val="auto"/>
                <w:lang w:val="en-US" w:eastAsia="zh-CN"/>
              </w:rPr>
              <w:t>15</w:t>
            </w:r>
          </w:p>
        </w:tc>
        <w:tc>
          <w:tcPr>
            <w:tcW w:w="528" w:type="pct"/>
            <w:shd w:val="clear" w:color="auto" w:fill="auto"/>
            <w:vAlign w:val="center"/>
          </w:tcPr>
          <w:p w14:paraId="37C4380E">
            <w:pPr>
              <w:pStyle w:val="31"/>
              <w:bidi w:val="0"/>
              <w:ind w:firstLine="0" w:firstLineChars="0"/>
              <w:rPr>
                <w:rFonts w:ascii="Times New Roman" w:hAnsi="Times New Roman" w:eastAsia="宋体" w:cs="Times New Roman"/>
                <w:bCs/>
                <w:color w:val="auto"/>
                <w:sz w:val="21"/>
                <w:szCs w:val="21"/>
              </w:rPr>
            </w:pPr>
            <w:r>
              <w:rPr>
                <w:color w:val="auto"/>
              </w:rPr>
              <w:t>75</w:t>
            </w:r>
          </w:p>
        </w:tc>
        <w:tc>
          <w:tcPr>
            <w:tcW w:w="635" w:type="pct"/>
            <w:vMerge w:val="continue"/>
            <w:vAlign w:val="center"/>
          </w:tcPr>
          <w:p w14:paraId="4712D0AB">
            <w:pPr>
              <w:pStyle w:val="31"/>
              <w:bidi w:val="0"/>
              <w:rPr>
                <w:color w:val="auto"/>
              </w:rPr>
            </w:pPr>
          </w:p>
        </w:tc>
        <w:tc>
          <w:tcPr>
            <w:tcW w:w="1625" w:type="pct"/>
            <w:vMerge w:val="continue"/>
            <w:vAlign w:val="center"/>
          </w:tcPr>
          <w:p w14:paraId="7F620ED3">
            <w:pPr>
              <w:pStyle w:val="31"/>
              <w:bidi w:val="0"/>
              <w:rPr>
                <w:color w:val="auto"/>
              </w:rPr>
            </w:pPr>
          </w:p>
        </w:tc>
      </w:tr>
      <w:tr w14:paraId="7222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444AFE6E">
            <w:pPr>
              <w:pStyle w:val="31"/>
              <w:bidi w:val="0"/>
              <w:rPr>
                <w:color w:val="auto"/>
              </w:rPr>
            </w:pPr>
          </w:p>
        </w:tc>
        <w:tc>
          <w:tcPr>
            <w:tcW w:w="1123" w:type="pct"/>
            <w:vAlign w:val="center"/>
          </w:tcPr>
          <w:p w14:paraId="2BBBE39E">
            <w:pPr>
              <w:pStyle w:val="31"/>
              <w:bidi w:val="0"/>
              <w:rPr>
                <w:color w:val="auto"/>
              </w:rPr>
            </w:pPr>
            <w:r>
              <w:rPr>
                <w:color w:val="auto"/>
              </w:rPr>
              <w:t>年平均</w:t>
            </w:r>
          </w:p>
        </w:tc>
        <w:tc>
          <w:tcPr>
            <w:tcW w:w="523" w:type="pct"/>
            <w:vAlign w:val="center"/>
          </w:tcPr>
          <w:p w14:paraId="1CC56DB9">
            <w:pPr>
              <w:pStyle w:val="31"/>
              <w:bidi w:val="0"/>
              <w:rPr>
                <w:rFonts w:hint="default" w:eastAsia="宋体"/>
                <w:color w:val="auto"/>
                <w:lang w:val="en-US" w:eastAsia="zh-CN"/>
              </w:rPr>
            </w:pPr>
            <w:r>
              <w:rPr>
                <w:rFonts w:hint="eastAsia"/>
                <w:color w:val="auto"/>
                <w:lang w:val="en-US" w:eastAsia="zh-CN"/>
              </w:rPr>
              <w:t>35</w:t>
            </w:r>
          </w:p>
        </w:tc>
        <w:tc>
          <w:tcPr>
            <w:tcW w:w="528" w:type="pct"/>
            <w:shd w:val="clear" w:color="auto" w:fill="auto"/>
            <w:vAlign w:val="center"/>
          </w:tcPr>
          <w:p w14:paraId="4300B100">
            <w:pPr>
              <w:pStyle w:val="31"/>
              <w:bidi w:val="0"/>
              <w:ind w:firstLine="0" w:firstLineChars="0"/>
              <w:rPr>
                <w:rFonts w:ascii="Times New Roman" w:hAnsi="Times New Roman" w:eastAsia="宋体" w:cs="Times New Roman"/>
                <w:bCs/>
                <w:color w:val="auto"/>
                <w:sz w:val="21"/>
                <w:szCs w:val="21"/>
              </w:rPr>
            </w:pPr>
            <w:r>
              <w:rPr>
                <w:color w:val="auto"/>
              </w:rPr>
              <w:t>35</w:t>
            </w:r>
          </w:p>
        </w:tc>
        <w:tc>
          <w:tcPr>
            <w:tcW w:w="635" w:type="pct"/>
            <w:vMerge w:val="continue"/>
            <w:vAlign w:val="center"/>
          </w:tcPr>
          <w:p w14:paraId="6A87148E">
            <w:pPr>
              <w:pStyle w:val="31"/>
              <w:bidi w:val="0"/>
              <w:rPr>
                <w:color w:val="auto"/>
              </w:rPr>
            </w:pPr>
          </w:p>
        </w:tc>
        <w:tc>
          <w:tcPr>
            <w:tcW w:w="1625" w:type="pct"/>
            <w:vMerge w:val="continue"/>
            <w:vAlign w:val="center"/>
          </w:tcPr>
          <w:p w14:paraId="603FB0A1">
            <w:pPr>
              <w:pStyle w:val="31"/>
              <w:bidi w:val="0"/>
              <w:rPr>
                <w:color w:val="auto"/>
              </w:rPr>
            </w:pPr>
          </w:p>
        </w:tc>
      </w:tr>
      <w:tr w14:paraId="23F0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restart"/>
            <w:vAlign w:val="center"/>
          </w:tcPr>
          <w:p w14:paraId="5D044B85">
            <w:pPr>
              <w:pStyle w:val="31"/>
              <w:bidi w:val="0"/>
              <w:rPr>
                <w:color w:val="auto"/>
              </w:rPr>
            </w:pPr>
            <w:r>
              <w:rPr>
                <w:color w:val="auto"/>
              </w:rPr>
              <w:t>TSP</w:t>
            </w:r>
          </w:p>
        </w:tc>
        <w:tc>
          <w:tcPr>
            <w:tcW w:w="1123" w:type="pct"/>
            <w:vAlign w:val="center"/>
          </w:tcPr>
          <w:p w14:paraId="081A86F7">
            <w:pPr>
              <w:pStyle w:val="31"/>
              <w:bidi w:val="0"/>
              <w:rPr>
                <w:color w:val="auto"/>
              </w:rPr>
            </w:pPr>
            <w:r>
              <w:rPr>
                <w:color w:val="auto"/>
              </w:rPr>
              <w:t>24小时平均</w:t>
            </w:r>
          </w:p>
        </w:tc>
        <w:tc>
          <w:tcPr>
            <w:tcW w:w="523" w:type="pct"/>
            <w:vAlign w:val="center"/>
          </w:tcPr>
          <w:p w14:paraId="2D7BC4A9">
            <w:pPr>
              <w:pStyle w:val="31"/>
              <w:bidi w:val="0"/>
              <w:rPr>
                <w:rFonts w:hint="default" w:eastAsia="宋体"/>
                <w:color w:val="auto"/>
                <w:lang w:val="en-US" w:eastAsia="zh-CN"/>
              </w:rPr>
            </w:pPr>
            <w:r>
              <w:rPr>
                <w:rFonts w:hint="eastAsia"/>
                <w:color w:val="auto"/>
                <w:lang w:val="en-US" w:eastAsia="zh-CN"/>
              </w:rPr>
              <w:t>120</w:t>
            </w:r>
          </w:p>
        </w:tc>
        <w:tc>
          <w:tcPr>
            <w:tcW w:w="528" w:type="pct"/>
            <w:shd w:val="clear" w:color="auto" w:fill="auto"/>
            <w:vAlign w:val="center"/>
          </w:tcPr>
          <w:p w14:paraId="0F12023B">
            <w:pPr>
              <w:pStyle w:val="31"/>
              <w:bidi w:val="0"/>
              <w:ind w:firstLine="0" w:firstLineChars="0"/>
              <w:rPr>
                <w:rFonts w:ascii="Times New Roman" w:hAnsi="Times New Roman" w:eastAsia="宋体" w:cs="Times New Roman"/>
                <w:bCs/>
                <w:color w:val="auto"/>
                <w:sz w:val="21"/>
                <w:szCs w:val="21"/>
              </w:rPr>
            </w:pPr>
            <w:r>
              <w:rPr>
                <w:color w:val="auto"/>
              </w:rPr>
              <w:t>300</w:t>
            </w:r>
          </w:p>
        </w:tc>
        <w:tc>
          <w:tcPr>
            <w:tcW w:w="635" w:type="pct"/>
            <w:vMerge w:val="continue"/>
            <w:vAlign w:val="center"/>
          </w:tcPr>
          <w:p w14:paraId="1A22473A">
            <w:pPr>
              <w:pStyle w:val="31"/>
              <w:bidi w:val="0"/>
              <w:rPr>
                <w:color w:val="auto"/>
              </w:rPr>
            </w:pPr>
          </w:p>
        </w:tc>
        <w:tc>
          <w:tcPr>
            <w:tcW w:w="1625" w:type="pct"/>
            <w:vMerge w:val="continue"/>
            <w:vAlign w:val="center"/>
          </w:tcPr>
          <w:p w14:paraId="7E7BABD7">
            <w:pPr>
              <w:pStyle w:val="31"/>
              <w:bidi w:val="0"/>
              <w:rPr>
                <w:color w:val="auto"/>
              </w:rPr>
            </w:pPr>
          </w:p>
        </w:tc>
      </w:tr>
      <w:tr w14:paraId="4BEF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Merge w:val="continue"/>
            <w:vAlign w:val="center"/>
          </w:tcPr>
          <w:p w14:paraId="01DA3F5F">
            <w:pPr>
              <w:pStyle w:val="31"/>
              <w:bidi w:val="0"/>
              <w:rPr>
                <w:color w:val="auto"/>
              </w:rPr>
            </w:pPr>
          </w:p>
        </w:tc>
        <w:tc>
          <w:tcPr>
            <w:tcW w:w="1123" w:type="pct"/>
            <w:vAlign w:val="center"/>
          </w:tcPr>
          <w:p w14:paraId="6564679C">
            <w:pPr>
              <w:pStyle w:val="31"/>
              <w:bidi w:val="0"/>
              <w:rPr>
                <w:color w:val="auto"/>
              </w:rPr>
            </w:pPr>
            <w:r>
              <w:rPr>
                <w:color w:val="auto"/>
              </w:rPr>
              <w:t>年平均</w:t>
            </w:r>
          </w:p>
        </w:tc>
        <w:tc>
          <w:tcPr>
            <w:tcW w:w="523" w:type="pct"/>
            <w:vAlign w:val="center"/>
          </w:tcPr>
          <w:p w14:paraId="13A5D05B">
            <w:pPr>
              <w:pStyle w:val="31"/>
              <w:bidi w:val="0"/>
              <w:rPr>
                <w:rFonts w:hint="default" w:eastAsia="宋体"/>
                <w:color w:val="auto"/>
                <w:lang w:val="en-US" w:eastAsia="zh-CN"/>
              </w:rPr>
            </w:pPr>
            <w:r>
              <w:rPr>
                <w:rFonts w:hint="eastAsia"/>
                <w:color w:val="auto"/>
                <w:lang w:val="en-US" w:eastAsia="zh-CN"/>
              </w:rPr>
              <w:t>80</w:t>
            </w:r>
          </w:p>
        </w:tc>
        <w:tc>
          <w:tcPr>
            <w:tcW w:w="528" w:type="pct"/>
            <w:shd w:val="clear" w:color="auto" w:fill="auto"/>
            <w:vAlign w:val="center"/>
          </w:tcPr>
          <w:p w14:paraId="372F4866">
            <w:pPr>
              <w:pStyle w:val="31"/>
              <w:bidi w:val="0"/>
              <w:ind w:firstLine="0" w:firstLineChars="0"/>
              <w:rPr>
                <w:rFonts w:ascii="Times New Roman" w:hAnsi="Times New Roman" w:eastAsia="宋体" w:cs="Times New Roman"/>
                <w:bCs/>
                <w:color w:val="auto"/>
                <w:sz w:val="21"/>
                <w:szCs w:val="21"/>
              </w:rPr>
            </w:pPr>
            <w:r>
              <w:rPr>
                <w:color w:val="auto"/>
              </w:rPr>
              <w:t>200</w:t>
            </w:r>
          </w:p>
        </w:tc>
        <w:tc>
          <w:tcPr>
            <w:tcW w:w="635" w:type="pct"/>
            <w:vMerge w:val="continue"/>
            <w:vAlign w:val="center"/>
          </w:tcPr>
          <w:p w14:paraId="2923BB85">
            <w:pPr>
              <w:pStyle w:val="31"/>
              <w:bidi w:val="0"/>
              <w:rPr>
                <w:color w:val="auto"/>
              </w:rPr>
            </w:pPr>
          </w:p>
        </w:tc>
        <w:tc>
          <w:tcPr>
            <w:tcW w:w="1625" w:type="pct"/>
            <w:vMerge w:val="continue"/>
            <w:vAlign w:val="center"/>
          </w:tcPr>
          <w:p w14:paraId="3A6CC5D5">
            <w:pPr>
              <w:pStyle w:val="31"/>
              <w:bidi w:val="0"/>
              <w:rPr>
                <w:color w:val="auto"/>
              </w:rPr>
            </w:pPr>
          </w:p>
        </w:tc>
      </w:tr>
      <w:tr w14:paraId="538E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Align w:val="center"/>
          </w:tcPr>
          <w:p w14:paraId="78EC217B">
            <w:pPr>
              <w:pStyle w:val="31"/>
              <w:bidi w:val="0"/>
              <w:rPr>
                <w:color w:val="auto"/>
              </w:rPr>
            </w:pPr>
            <w:r>
              <w:rPr>
                <w:color w:val="auto"/>
              </w:rPr>
              <w:t>NH</w:t>
            </w:r>
            <w:r>
              <w:rPr>
                <w:color w:val="auto"/>
                <w:vertAlign w:val="subscript"/>
              </w:rPr>
              <w:t>3</w:t>
            </w:r>
          </w:p>
        </w:tc>
        <w:tc>
          <w:tcPr>
            <w:tcW w:w="1123" w:type="pct"/>
            <w:vAlign w:val="center"/>
          </w:tcPr>
          <w:p w14:paraId="5DF4E12F">
            <w:pPr>
              <w:pStyle w:val="31"/>
              <w:bidi w:val="0"/>
              <w:rPr>
                <w:color w:val="auto"/>
              </w:rPr>
            </w:pPr>
            <w:r>
              <w:rPr>
                <w:color w:val="auto"/>
              </w:rPr>
              <w:t>1小时平均</w:t>
            </w:r>
          </w:p>
        </w:tc>
        <w:tc>
          <w:tcPr>
            <w:tcW w:w="1051" w:type="pct"/>
            <w:gridSpan w:val="2"/>
            <w:vAlign w:val="center"/>
          </w:tcPr>
          <w:p w14:paraId="4177B044">
            <w:pPr>
              <w:pStyle w:val="31"/>
              <w:bidi w:val="0"/>
              <w:rPr>
                <w:color w:val="auto"/>
              </w:rPr>
            </w:pPr>
            <w:r>
              <w:rPr>
                <w:color w:val="auto"/>
              </w:rPr>
              <w:t>200</w:t>
            </w:r>
          </w:p>
        </w:tc>
        <w:tc>
          <w:tcPr>
            <w:tcW w:w="635" w:type="pct"/>
            <w:vMerge w:val="restart"/>
            <w:vAlign w:val="center"/>
          </w:tcPr>
          <w:p w14:paraId="2EAE7661">
            <w:pPr>
              <w:pStyle w:val="31"/>
              <w:bidi w:val="0"/>
              <w:rPr>
                <w:color w:val="auto"/>
              </w:rPr>
            </w:pPr>
            <w:r>
              <w:rPr>
                <w:color w:val="auto"/>
              </w:rPr>
              <w:t>μg/m</w:t>
            </w:r>
            <w:r>
              <w:rPr>
                <w:color w:val="auto"/>
                <w:vertAlign w:val="superscript"/>
              </w:rPr>
              <w:t>3</w:t>
            </w:r>
          </w:p>
        </w:tc>
        <w:tc>
          <w:tcPr>
            <w:tcW w:w="1625" w:type="pct"/>
            <w:vMerge w:val="restart"/>
            <w:vAlign w:val="center"/>
          </w:tcPr>
          <w:p w14:paraId="7F877A1A">
            <w:pPr>
              <w:pStyle w:val="31"/>
              <w:bidi w:val="0"/>
              <w:rPr>
                <w:color w:val="auto"/>
              </w:rPr>
            </w:pPr>
            <w:r>
              <w:rPr>
                <w:color w:val="auto"/>
              </w:rPr>
              <w:t>《环境影响评价技术导则大气环境》（HJ2.2-2018）表D.1</w:t>
            </w:r>
          </w:p>
        </w:tc>
      </w:tr>
      <w:tr w14:paraId="42BE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pct"/>
            <w:vAlign w:val="center"/>
          </w:tcPr>
          <w:p w14:paraId="55330564">
            <w:pPr>
              <w:pStyle w:val="31"/>
              <w:bidi w:val="0"/>
              <w:rPr>
                <w:color w:val="auto"/>
              </w:rPr>
            </w:pPr>
            <w:r>
              <w:rPr>
                <w:color w:val="auto"/>
              </w:rPr>
              <w:t>H</w:t>
            </w:r>
            <w:r>
              <w:rPr>
                <w:color w:val="auto"/>
                <w:vertAlign w:val="subscript"/>
              </w:rPr>
              <w:t>2</w:t>
            </w:r>
            <w:r>
              <w:rPr>
                <w:color w:val="auto"/>
              </w:rPr>
              <w:t>S</w:t>
            </w:r>
          </w:p>
        </w:tc>
        <w:tc>
          <w:tcPr>
            <w:tcW w:w="1123" w:type="pct"/>
            <w:vAlign w:val="center"/>
          </w:tcPr>
          <w:p w14:paraId="781A2363">
            <w:pPr>
              <w:pStyle w:val="31"/>
              <w:bidi w:val="0"/>
              <w:rPr>
                <w:color w:val="auto"/>
              </w:rPr>
            </w:pPr>
            <w:r>
              <w:rPr>
                <w:color w:val="auto"/>
              </w:rPr>
              <w:t>1小时平均</w:t>
            </w:r>
          </w:p>
        </w:tc>
        <w:tc>
          <w:tcPr>
            <w:tcW w:w="1051" w:type="pct"/>
            <w:gridSpan w:val="2"/>
            <w:vAlign w:val="center"/>
          </w:tcPr>
          <w:p w14:paraId="4359D353">
            <w:pPr>
              <w:pStyle w:val="31"/>
              <w:bidi w:val="0"/>
              <w:rPr>
                <w:color w:val="auto"/>
              </w:rPr>
            </w:pPr>
            <w:r>
              <w:rPr>
                <w:color w:val="auto"/>
              </w:rPr>
              <w:t>10</w:t>
            </w:r>
          </w:p>
        </w:tc>
        <w:tc>
          <w:tcPr>
            <w:tcW w:w="635" w:type="pct"/>
            <w:vMerge w:val="continue"/>
            <w:vAlign w:val="center"/>
          </w:tcPr>
          <w:p w14:paraId="0EFBCE88">
            <w:pPr>
              <w:pStyle w:val="31"/>
              <w:bidi w:val="0"/>
              <w:rPr>
                <w:color w:val="auto"/>
              </w:rPr>
            </w:pPr>
          </w:p>
        </w:tc>
        <w:tc>
          <w:tcPr>
            <w:tcW w:w="1625" w:type="pct"/>
            <w:vMerge w:val="continue"/>
            <w:vAlign w:val="center"/>
          </w:tcPr>
          <w:p w14:paraId="07405350">
            <w:pPr>
              <w:pStyle w:val="31"/>
              <w:bidi w:val="0"/>
              <w:rPr>
                <w:color w:val="auto"/>
              </w:rPr>
            </w:pPr>
          </w:p>
        </w:tc>
      </w:tr>
    </w:tbl>
    <w:p w14:paraId="065B2B0D">
      <w:pPr>
        <w:spacing w:before="120" w:beforeLines="50" w:line="360" w:lineRule="auto"/>
        <w:ind w:firstLine="480" w:firstLineChars="200"/>
        <w:rPr>
          <w:rFonts w:ascii="Times New Roman" w:hAnsi="Times New Roman"/>
          <w:color w:val="auto"/>
          <w:sz w:val="24"/>
        </w:rPr>
      </w:pPr>
      <w:r>
        <w:rPr>
          <w:rFonts w:ascii="Times New Roman" w:hAnsi="Times New Roman"/>
          <w:color w:val="auto"/>
          <w:sz w:val="24"/>
        </w:rPr>
        <w:t>（2）声环境</w:t>
      </w:r>
    </w:p>
    <w:p w14:paraId="246DEF87">
      <w:pPr>
        <w:spacing w:line="360" w:lineRule="auto"/>
        <w:ind w:firstLine="480" w:firstLineChars="200"/>
        <w:rPr>
          <w:rFonts w:ascii="Times New Roman" w:hAnsi="Times New Roman"/>
          <w:color w:val="auto"/>
          <w:sz w:val="24"/>
        </w:rPr>
      </w:pPr>
      <w:r>
        <w:rPr>
          <w:rFonts w:ascii="Times New Roman" w:hAnsi="Times New Roman"/>
          <w:color w:val="auto"/>
          <w:sz w:val="24"/>
        </w:rPr>
        <w:t>项目区声环境质量评价执行《声环境质量标准》（GB3096-2008）中</w:t>
      </w:r>
      <w:r>
        <w:rPr>
          <w:rFonts w:hint="eastAsia"/>
          <w:color w:val="auto"/>
          <w:sz w:val="24"/>
          <w:lang w:val="en-US" w:eastAsia="zh-CN"/>
        </w:rPr>
        <w:t>2</w:t>
      </w:r>
      <w:r>
        <w:rPr>
          <w:rFonts w:ascii="Times New Roman" w:hAnsi="Times New Roman"/>
          <w:color w:val="auto"/>
          <w:sz w:val="24"/>
        </w:rPr>
        <w:t>类标准</w:t>
      </w:r>
      <w:r>
        <w:rPr>
          <w:rFonts w:hint="eastAsia" w:ascii="Times New Roman" w:hAnsi="Times New Roman"/>
          <w:color w:val="auto"/>
          <w:sz w:val="24"/>
          <w:lang w:eastAsia="zh-CN"/>
        </w:rPr>
        <w:t>。</w:t>
      </w:r>
      <w:r>
        <w:rPr>
          <w:rFonts w:ascii="Times New Roman" w:hAnsi="Times New Roman"/>
          <w:color w:val="auto"/>
          <w:sz w:val="24"/>
        </w:rPr>
        <w:t>标准值见</w:t>
      </w:r>
      <w:r>
        <w:rPr>
          <w:rFonts w:hint="eastAsia"/>
          <w:color w:val="auto"/>
          <w:sz w:val="24"/>
          <w:lang w:val="en-US" w:eastAsia="zh-CN"/>
        </w:rPr>
        <w:t>下表</w:t>
      </w:r>
      <w:r>
        <w:rPr>
          <w:rFonts w:ascii="Times New Roman" w:hAnsi="Times New Roman"/>
          <w:color w:val="auto"/>
          <w:sz w:val="24"/>
        </w:rPr>
        <w:t>。</w:t>
      </w:r>
    </w:p>
    <w:p w14:paraId="655DA2E4">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5</w:t>
      </w:r>
      <w:r>
        <w:rPr>
          <w:color w:val="auto"/>
        </w:rPr>
        <w:fldChar w:fldCharType="end"/>
      </w:r>
      <w:r>
        <w:rPr>
          <w:color w:val="auto"/>
        </w:rPr>
        <w:t>项目所在区执行的声环境质量标准单位：dB（A）</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3"/>
        <w:gridCol w:w="1131"/>
        <w:gridCol w:w="2510"/>
        <w:gridCol w:w="2922"/>
      </w:tblGrid>
      <w:tr w14:paraId="2B30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6" w:type="pct"/>
            <w:vAlign w:val="center"/>
          </w:tcPr>
          <w:p w14:paraId="35C6955B">
            <w:pPr>
              <w:pStyle w:val="31"/>
              <w:bidi w:val="0"/>
              <w:rPr>
                <w:color w:val="auto"/>
              </w:rPr>
            </w:pPr>
            <w:r>
              <w:rPr>
                <w:color w:val="auto"/>
              </w:rPr>
              <w:t>类别</w:t>
            </w:r>
          </w:p>
        </w:tc>
        <w:tc>
          <w:tcPr>
            <w:tcW w:w="664" w:type="pct"/>
            <w:vAlign w:val="center"/>
          </w:tcPr>
          <w:p w14:paraId="0838D4F3">
            <w:pPr>
              <w:pStyle w:val="31"/>
              <w:bidi w:val="0"/>
              <w:rPr>
                <w:color w:val="auto"/>
              </w:rPr>
            </w:pPr>
            <w:r>
              <w:rPr>
                <w:color w:val="auto"/>
              </w:rPr>
              <w:t>昼间</w:t>
            </w:r>
          </w:p>
        </w:tc>
        <w:tc>
          <w:tcPr>
            <w:tcW w:w="1473" w:type="pct"/>
            <w:vAlign w:val="center"/>
          </w:tcPr>
          <w:p w14:paraId="2F01CCA8">
            <w:pPr>
              <w:pStyle w:val="31"/>
              <w:bidi w:val="0"/>
              <w:rPr>
                <w:color w:val="auto"/>
              </w:rPr>
            </w:pPr>
            <w:r>
              <w:rPr>
                <w:color w:val="auto"/>
              </w:rPr>
              <w:t>夜间</w:t>
            </w:r>
          </w:p>
        </w:tc>
        <w:tc>
          <w:tcPr>
            <w:tcW w:w="1715" w:type="pct"/>
            <w:vAlign w:val="center"/>
          </w:tcPr>
          <w:p w14:paraId="3E1E347A">
            <w:pPr>
              <w:pStyle w:val="31"/>
              <w:bidi w:val="0"/>
              <w:rPr>
                <w:color w:val="auto"/>
              </w:rPr>
            </w:pPr>
            <w:r>
              <w:rPr>
                <w:color w:val="auto"/>
              </w:rPr>
              <w:t>标准来源</w:t>
            </w:r>
          </w:p>
        </w:tc>
      </w:tr>
      <w:tr w14:paraId="2B24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6" w:type="pct"/>
            <w:vAlign w:val="center"/>
          </w:tcPr>
          <w:p w14:paraId="07B5E078">
            <w:pPr>
              <w:pStyle w:val="31"/>
              <w:bidi w:val="0"/>
              <w:rPr>
                <w:color w:val="auto"/>
              </w:rPr>
            </w:pPr>
            <w:r>
              <w:rPr>
                <w:rFonts w:hint="eastAsia"/>
                <w:color w:val="auto"/>
                <w:lang w:val="en-US" w:eastAsia="zh-CN"/>
              </w:rPr>
              <w:t>2</w:t>
            </w:r>
            <w:r>
              <w:rPr>
                <w:color w:val="auto"/>
              </w:rPr>
              <w:t>类标准</w:t>
            </w:r>
          </w:p>
        </w:tc>
        <w:tc>
          <w:tcPr>
            <w:tcW w:w="664" w:type="pct"/>
            <w:vAlign w:val="center"/>
          </w:tcPr>
          <w:p w14:paraId="7ACDAD2C">
            <w:pPr>
              <w:pStyle w:val="31"/>
              <w:bidi w:val="0"/>
              <w:rPr>
                <w:rFonts w:hint="default" w:eastAsia="宋体"/>
                <w:color w:val="auto"/>
                <w:lang w:val="en-US" w:eastAsia="zh-CN"/>
              </w:rPr>
            </w:pPr>
            <w:r>
              <w:rPr>
                <w:rFonts w:hint="eastAsia"/>
                <w:color w:val="auto"/>
                <w:lang w:val="en-US" w:eastAsia="zh-CN"/>
              </w:rPr>
              <w:t>60</w:t>
            </w:r>
          </w:p>
        </w:tc>
        <w:tc>
          <w:tcPr>
            <w:tcW w:w="1473" w:type="pct"/>
            <w:vAlign w:val="center"/>
          </w:tcPr>
          <w:p w14:paraId="574AA1CF">
            <w:pPr>
              <w:pStyle w:val="31"/>
              <w:bidi w:val="0"/>
              <w:rPr>
                <w:rFonts w:hint="default" w:eastAsia="宋体"/>
                <w:color w:val="auto"/>
                <w:lang w:val="en-US" w:eastAsia="zh-CN"/>
              </w:rPr>
            </w:pPr>
            <w:r>
              <w:rPr>
                <w:rFonts w:hint="eastAsia"/>
                <w:color w:val="auto"/>
                <w:lang w:val="en-US" w:eastAsia="zh-CN"/>
              </w:rPr>
              <w:t>50</w:t>
            </w:r>
          </w:p>
        </w:tc>
        <w:tc>
          <w:tcPr>
            <w:tcW w:w="1715" w:type="pct"/>
            <w:vAlign w:val="center"/>
          </w:tcPr>
          <w:p w14:paraId="28D68E14">
            <w:pPr>
              <w:pStyle w:val="31"/>
              <w:bidi w:val="0"/>
              <w:rPr>
                <w:color w:val="auto"/>
              </w:rPr>
            </w:pPr>
            <w:r>
              <w:rPr>
                <w:color w:val="auto"/>
              </w:rPr>
              <w:t>《声环境质量标准》（GB3096-2008）</w:t>
            </w:r>
          </w:p>
        </w:tc>
      </w:tr>
    </w:tbl>
    <w:p w14:paraId="06D6B5C2">
      <w:pPr>
        <w:bidi w:val="0"/>
        <w:rPr>
          <w:color w:val="auto"/>
        </w:rPr>
      </w:pPr>
      <w:r>
        <w:rPr>
          <w:color w:val="auto"/>
        </w:rPr>
        <w:t>（3）地表水环境</w:t>
      </w:r>
    </w:p>
    <w:p w14:paraId="7DA3FE3A">
      <w:pPr>
        <w:bidi w:val="0"/>
        <w:rPr>
          <w:rFonts w:hint="default"/>
          <w:color w:val="auto"/>
          <w:lang w:val="en-US" w:eastAsia="zh-CN"/>
        </w:rPr>
      </w:pPr>
      <w:r>
        <w:rPr>
          <w:rFonts w:hint="eastAsia"/>
          <w:color w:val="auto"/>
          <w:lang w:val="en-US" w:eastAsia="zh-CN"/>
        </w:rPr>
        <w:t>本项目涉及河流为秋浦河，</w:t>
      </w:r>
      <w:r>
        <w:rPr>
          <w:color w:val="auto"/>
        </w:rPr>
        <w:t>地表水环境执行《地表水环境质量标准》</w:t>
      </w:r>
      <w:r>
        <w:rPr>
          <w:rFonts w:hint="eastAsia"/>
          <w:color w:val="auto"/>
          <w:lang w:eastAsia="zh-CN"/>
        </w:rPr>
        <w:t>（</w:t>
      </w:r>
      <w:r>
        <w:rPr>
          <w:color w:val="auto"/>
        </w:rPr>
        <w:t>GB3838-2002</w:t>
      </w:r>
      <w:r>
        <w:rPr>
          <w:rFonts w:hint="eastAsia"/>
          <w:color w:val="auto"/>
          <w:lang w:eastAsia="zh-CN"/>
        </w:rPr>
        <w:t>）</w:t>
      </w:r>
      <w:r>
        <w:rPr>
          <w:color w:val="auto"/>
        </w:rPr>
        <w:t>中</w:t>
      </w:r>
      <w:r>
        <w:rPr>
          <w:rFonts w:hint="eastAsia"/>
          <w:color w:val="auto"/>
          <w:lang w:val="en-US" w:eastAsia="zh-CN"/>
        </w:rPr>
        <w:t>Ⅱ</w:t>
      </w:r>
      <w:r>
        <w:rPr>
          <w:color w:val="auto"/>
        </w:rPr>
        <w:t>类标准。具体标准值见下表。</w:t>
      </w:r>
    </w:p>
    <w:p w14:paraId="44065756">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6</w:t>
      </w:r>
      <w:r>
        <w:rPr>
          <w:color w:val="auto"/>
        </w:rPr>
        <w:fldChar w:fldCharType="end"/>
      </w:r>
      <w:r>
        <w:rPr>
          <w:color w:val="auto"/>
        </w:rPr>
        <w:t>地表水环境质量标准（单位：mg/L，pH除外）</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1"/>
        <w:gridCol w:w="2868"/>
        <w:gridCol w:w="2874"/>
      </w:tblGrid>
      <w:tr w14:paraId="7CE7E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0E24B803">
            <w:pPr>
              <w:pStyle w:val="31"/>
              <w:bidi w:val="0"/>
              <w:rPr>
                <w:color w:val="auto"/>
              </w:rPr>
            </w:pPr>
            <w:r>
              <w:rPr>
                <w:color w:val="auto"/>
              </w:rPr>
              <w:t>污染因子</w:t>
            </w:r>
          </w:p>
        </w:tc>
        <w:tc>
          <w:tcPr>
            <w:tcW w:w="1684" w:type="pct"/>
            <w:vAlign w:val="center"/>
          </w:tcPr>
          <w:p w14:paraId="2DBADC9E">
            <w:pPr>
              <w:pStyle w:val="31"/>
              <w:bidi w:val="0"/>
              <w:rPr>
                <w:color w:val="auto"/>
              </w:rPr>
            </w:pPr>
            <w:r>
              <w:rPr>
                <w:color w:val="auto"/>
              </w:rPr>
              <w:t>标准限值</w:t>
            </w:r>
          </w:p>
        </w:tc>
        <w:tc>
          <w:tcPr>
            <w:tcW w:w="1687" w:type="pct"/>
            <w:vAlign w:val="center"/>
          </w:tcPr>
          <w:p w14:paraId="00CA5075">
            <w:pPr>
              <w:pStyle w:val="31"/>
              <w:bidi w:val="0"/>
              <w:rPr>
                <w:color w:val="auto"/>
              </w:rPr>
            </w:pPr>
            <w:r>
              <w:rPr>
                <w:color w:val="auto"/>
              </w:rPr>
              <w:t>标准来源</w:t>
            </w:r>
          </w:p>
        </w:tc>
      </w:tr>
      <w:tr w14:paraId="4B54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4B457E44">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pH</w:t>
            </w:r>
          </w:p>
        </w:tc>
        <w:tc>
          <w:tcPr>
            <w:tcW w:w="1684" w:type="pct"/>
            <w:vAlign w:val="center"/>
          </w:tcPr>
          <w:p w14:paraId="187AC599">
            <w:pPr>
              <w:pStyle w:val="31"/>
              <w:bidi w:val="0"/>
              <w:ind w:firstLine="0" w:firstLineChars="0"/>
              <w:rPr>
                <w:rFonts w:ascii="Times New Roman" w:hAnsi="Times New Roman" w:eastAsia="宋体" w:cs="Times New Roman"/>
                <w:bCs/>
                <w:color w:val="auto"/>
                <w:sz w:val="21"/>
                <w:szCs w:val="21"/>
              </w:rPr>
            </w:pPr>
            <w:r>
              <w:rPr>
                <w:color w:val="auto"/>
              </w:rPr>
              <w:t>6~9</w:t>
            </w:r>
          </w:p>
        </w:tc>
        <w:tc>
          <w:tcPr>
            <w:tcW w:w="1687" w:type="pct"/>
            <w:vMerge w:val="restart"/>
            <w:vAlign w:val="center"/>
          </w:tcPr>
          <w:p w14:paraId="0CB55C80">
            <w:pPr>
              <w:pStyle w:val="31"/>
              <w:bidi w:val="0"/>
              <w:rPr>
                <w:color w:val="auto"/>
              </w:rPr>
            </w:pPr>
            <w:r>
              <w:rPr>
                <w:color w:val="auto"/>
              </w:rPr>
              <w:t>《地表水环境质量标准》（GB3838-2002）</w:t>
            </w:r>
            <w:r>
              <w:rPr>
                <w:rFonts w:hint="eastAsia"/>
                <w:color w:val="auto"/>
                <w:lang w:val="en-US" w:eastAsia="zh-CN"/>
              </w:rPr>
              <w:t>Ⅱ</w:t>
            </w:r>
            <w:r>
              <w:rPr>
                <w:color w:val="auto"/>
              </w:rPr>
              <w:t>类标准</w:t>
            </w:r>
          </w:p>
        </w:tc>
      </w:tr>
      <w:tr w14:paraId="2A5D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55D6DEAC">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COD</w:t>
            </w:r>
          </w:p>
        </w:tc>
        <w:tc>
          <w:tcPr>
            <w:tcW w:w="1684" w:type="pct"/>
            <w:vAlign w:val="center"/>
          </w:tcPr>
          <w:p w14:paraId="5FFDF6CA">
            <w:pPr>
              <w:pStyle w:val="31"/>
              <w:bidi w:val="0"/>
              <w:ind w:firstLine="0" w:firstLineChars="0"/>
              <w:rPr>
                <w:rFonts w:hint="default" w:ascii="Times New Roman" w:hAnsi="Times New Roman" w:eastAsia="宋体" w:cs="Times New Roman"/>
                <w:bCs/>
                <w:color w:val="auto"/>
                <w:sz w:val="21"/>
                <w:szCs w:val="21"/>
                <w:lang w:val="en-US" w:eastAsia="zh-CN"/>
              </w:rPr>
            </w:pPr>
            <w:r>
              <w:rPr>
                <w:color w:val="auto"/>
              </w:rPr>
              <w:t>≤</w:t>
            </w:r>
            <w:r>
              <w:rPr>
                <w:rFonts w:hint="eastAsia"/>
                <w:color w:val="auto"/>
                <w:lang w:val="en-US" w:eastAsia="zh-CN"/>
              </w:rPr>
              <w:t>15</w:t>
            </w:r>
          </w:p>
        </w:tc>
        <w:tc>
          <w:tcPr>
            <w:tcW w:w="1687" w:type="pct"/>
            <w:vMerge w:val="continue"/>
          </w:tcPr>
          <w:p w14:paraId="29769718">
            <w:pPr>
              <w:pStyle w:val="31"/>
              <w:bidi w:val="0"/>
              <w:rPr>
                <w:color w:val="auto"/>
              </w:rPr>
            </w:pPr>
          </w:p>
        </w:tc>
      </w:tr>
      <w:tr w14:paraId="788C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4D8CB4C0">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BOD</w:t>
            </w:r>
            <w:r>
              <w:rPr>
                <w:color w:val="auto"/>
                <w:vertAlign w:val="subscript"/>
              </w:rPr>
              <w:t>5</w:t>
            </w:r>
          </w:p>
        </w:tc>
        <w:tc>
          <w:tcPr>
            <w:tcW w:w="1684" w:type="pct"/>
            <w:vAlign w:val="center"/>
          </w:tcPr>
          <w:p w14:paraId="72DAC687">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w:t>
            </w:r>
            <w:r>
              <w:rPr>
                <w:rFonts w:hint="eastAsia"/>
                <w:color w:val="auto"/>
                <w:lang w:val="en-US" w:eastAsia="zh-CN"/>
              </w:rPr>
              <w:t>3</w:t>
            </w:r>
          </w:p>
        </w:tc>
        <w:tc>
          <w:tcPr>
            <w:tcW w:w="1687" w:type="pct"/>
            <w:vMerge w:val="continue"/>
          </w:tcPr>
          <w:p w14:paraId="2222872F">
            <w:pPr>
              <w:pStyle w:val="31"/>
              <w:bidi w:val="0"/>
              <w:rPr>
                <w:color w:val="auto"/>
              </w:rPr>
            </w:pPr>
          </w:p>
        </w:tc>
      </w:tr>
      <w:tr w14:paraId="5EE4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2AE4CE0E">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NH</w:t>
            </w:r>
            <w:r>
              <w:rPr>
                <w:color w:val="auto"/>
                <w:vertAlign w:val="subscript"/>
              </w:rPr>
              <w:t>3</w:t>
            </w:r>
            <w:r>
              <w:rPr>
                <w:color w:val="auto"/>
              </w:rPr>
              <w:t>-N</w:t>
            </w:r>
          </w:p>
        </w:tc>
        <w:tc>
          <w:tcPr>
            <w:tcW w:w="1684" w:type="pct"/>
            <w:vAlign w:val="center"/>
          </w:tcPr>
          <w:p w14:paraId="72F936B3">
            <w:pPr>
              <w:pStyle w:val="31"/>
              <w:bidi w:val="0"/>
              <w:ind w:firstLine="0" w:firstLineChars="0"/>
              <w:rPr>
                <w:rFonts w:hint="default" w:ascii="Times New Roman" w:hAnsi="Times New Roman" w:eastAsia="宋体" w:cs="Times New Roman"/>
                <w:bCs/>
                <w:color w:val="auto"/>
                <w:sz w:val="21"/>
                <w:szCs w:val="21"/>
                <w:lang w:val="en-US" w:eastAsia="zh-CN"/>
              </w:rPr>
            </w:pPr>
            <w:r>
              <w:rPr>
                <w:color w:val="auto"/>
              </w:rPr>
              <w:t>≤</w:t>
            </w:r>
            <w:r>
              <w:rPr>
                <w:rFonts w:hint="eastAsia"/>
                <w:color w:val="auto"/>
                <w:lang w:val="en-US" w:eastAsia="zh-CN"/>
              </w:rPr>
              <w:t>0.5</w:t>
            </w:r>
          </w:p>
        </w:tc>
        <w:tc>
          <w:tcPr>
            <w:tcW w:w="1687" w:type="pct"/>
            <w:vMerge w:val="continue"/>
          </w:tcPr>
          <w:p w14:paraId="31C6962F">
            <w:pPr>
              <w:pStyle w:val="31"/>
              <w:bidi w:val="0"/>
              <w:rPr>
                <w:color w:val="auto"/>
              </w:rPr>
            </w:pPr>
          </w:p>
        </w:tc>
      </w:tr>
      <w:tr w14:paraId="1734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0032FAA9">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TP</w:t>
            </w:r>
          </w:p>
        </w:tc>
        <w:tc>
          <w:tcPr>
            <w:tcW w:w="1684" w:type="pct"/>
            <w:vAlign w:val="center"/>
          </w:tcPr>
          <w:p w14:paraId="24F2EEAE">
            <w:pPr>
              <w:pStyle w:val="31"/>
              <w:bidi w:val="0"/>
              <w:ind w:firstLine="0" w:firstLineChars="0"/>
              <w:rPr>
                <w:rFonts w:hint="eastAsia" w:ascii="Times New Roman" w:hAnsi="Times New Roman" w:eastAsia="宋体" w:cs="Times New Roman"/>
                <w:bCs/>
                <w:color w:val="auto"/>
                <w:sz w:val="21"/>
                <w:szCs w:val="21"/>
                <w:lang w:val="en-US" w:eastAsia="zh-CN"/>
              </w:rPr>
            </w:pPr>
            <w:r>
              <w:rPr>
                <w:color w:val="auto"/>
              </w:rPr>
              <w:t>≤0.</w:t>
            </w:r>
            <w:r>
              <w:rPr>
                <w:rFonts w:hint="eastAsia"/>
                <w:color w:val="auto"/>
                <w:lang w:val="en-US" w:eastAsia="zh-CN"/>
              </w:rPr>
              <w:t>1</w:t>
            </w:r>
          </w:p>
        </w:tc>
        <w:tc>
          <w:tcPr>
            <w:tcW w:w="1687" w:type="pct"/>
            <w:vMerge w:val="continue"/>
          </w:tcPr>
          <w:p w14:paraId="642451E9">
            <w:pPr>
              <w:pStyle w:val="31"/>
              <w:bidi w:val="0"/>
              <w:rPr>
                <w:color w:val="auto"/>
              </w:rPr>
            </w:pPr>
          </w:p>
        </w:tc>
      </w:tr>
      <w:tr w14:paraId="0C48F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62648683">
            <w:pPr>
              <w:pStyle w:val="31"/>
              <w:bidi w:val="0"/>
              <w:ind w:firstLine="0" w:firstLineChars="0"/>
              <w:rPr>
                <w:rFonts w:hint="eastAsia" w:ascii="Times New Roman" w:hAnsi="Times New Roman" w:eastAsia="宋体" w:cs="Times New Roman"/>
                <w:bCs/>
                <w:color w:val="auto"/>
                <w:sz w:val="21"/>
                <w:szCs w:val="21"/>
                <w:lang w:val="en-US" w:eastAsia="zh-CN"/>
              </w:rPr>
            </w:pPr>
            <w:r>
              <w:rPr>
                <w:rFonts w:hint="eastAsia"/>
                <w:color w:val="auto"/>
                <w:lang w:val="en-US" w:eastAsia="zh-CN"/>
              </w:rPr>
              <w:t>TN</w:t>
            </w:r>
          </w:p>
        </w:tc>
        <w:tc>
          <w:tcPr>
            <w:tcW w:w="1684" w:type="pct"/>
            <w:vAlign w:val="center"/>
          </w:tcPr>
          <w:p w14:paraId="01BA86A7">
            <w:pPr>
              <w:pStyle w:val="31"/>
              <w:bidi w:val="0"/>
              <w:ind w:firstLine="0" w:firstLineChars="0"/>
              <w:rPr>
                <w:rFonts w:hint="default" w:ascii="Times New Roman" w:hAnsi="Times New Roman" w:eastAsia="宋体" w:cs="Times New Roman"/>
                <w:bCs/>
                <w:color w:val="auto"/>
                <w:sz w:val="21"/>
                <w:szCs w:val="21"/>
                <w:lang w:val="en-US" w:eastAsia="zh-CN"/>
              </w:rPr>
            </w:pPr>
            <w:r>
              <w:rPr>
                <w:color w:val="auto"/>
              </w:rPr>
              <w:t>≤</w:t>
            </w:r>
            <w:r>
              <w:rPr>
                <w:rFonts w:hint="eastAsia"/>
                <w:color w:val="auto"/>
                <w:lang w:val="en-US" w:eastAsia="zh-CN"/>
              </w:rPr>
              <w:t>0.5</w:t>
            </w:r>
          </w:p>
        </w:tc>
        <w:tc>
          <w:tcPr>
            <w:tcW w:w="1687" w:type="pct"/>
            <w:vMerge w:val="continue"/>
          </w:tcPr>
          <w:p w14:paraId="11335835">
            <w:pPr>
              <w:pStyle w:val="31"/>
              <w:bidi w:val="0"/>
              <w:rPr>
                <w:color w:val="auto"/>
              </w:rPr>
            </w:pPr>
          </w:p>
        </w:tc>
      </w:tr>
      <w:tr w14:paraId="7569B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7" w:type="pct"/>
            <w:vAlign w:val="center"/>
          </w:tcPr>
          <w:p w14:paraId="409D4755">
            <w:pPr>
              <w:pStyle w:val="31"/>
              <w:bidi w:val="0"/>
              <w:ind w:firstLine="0" w:firstLineChars="0"/>
              <w:rPr>
                <w:rFonts w:hint="eastAsia" w:ascii="Times New Roman" w:hAnsi="Times New Roman" w:eastAsia="宋体" w:cs="Times New Roman"/>
                <w:bCs/>
                <w:color w:val="auto"/>
                <w:sz w:val="21"/>
                <w:szCs w:val="21"/>
                <w:lang w:val="en-US" w:eastAsia="zh-CN"/>
              </w:rPr>
            </w:pPr>
            <w:r>
              <w:rPr>
                <w:rFonts w:hint="eastAsia"/>
                <w:color w:val="auto"/>
                <w:lang w:val="en-US" w:eastAsia="zh-CN"/>
              </w:rPr>
              <w:t>石油类</w:t>
            </w:r>
          </w:p>
        </w:tc>
        <w:tc>
          <w:tcPr>
            <w:tcW w:w="1684" w:type="pct"/>
            <w:vAlign w:val="center"/>
          </w:tcPr>
          <w:p w14:paraId="31B685BC">
            <w:pPr>
              <w:pStyle w:val="31"/>
              <w:bidi w:val="0"/>
              <w:ind w:firstLine="0" w:firstLineChars="0"/>
              <w:rPr>
                <w:rFonts w:hint="default" w:ascii="Times New Roman" w:hAnsi="Times New Roman" w:eastAsia="宋体" w:cs="Times New Roman"/>
                <w:bCs/>
                <w:color w:val="auto"/>
                <w:sz w:val="21"/>
                <w:szCs w:val="21"/>
                <w:lang w:val="en-US" w:eastAsia="zh-CN"/>
              </w:rPr>
            </w:pPr>
            <w:r>
              <w:rPr>
                <w:color w:val="auto"/>
              </w:rPr>
              <w:t>≤</w:t>
            </w:r>
            <w:r>
              <w:rPr>
                <w:rFonts w:hint="eastAsia"/>
                <w:color w:val="auto"/>
                <w:lang w:val="en-US" w:eastAsia="zh-CN"/>
              </w:rPr>
              <w:t>0.05</w:t>
            </w:r>
          </w:p>
        </w:tc>
        <w:tc>
          <w:tcPr>
            <w:tcW w:w="1687" w:type="pct"/>
            <w:vMerge w:val="continue"/>
          </w:tcPr>
          <w:p w14:paraId="579A019B">
            <w:pPr>
              <w:pStyle w:val="31"/>
              <w:bidi w:val="0"/>
              <w:rPr>
                <w:color w:val="auto"/>
              </w:rPr>
            </w:pPr>
          </w:p>
        </w:tc>
      </w:tr>
    </w:tbl>
    <w:p w14:paraId="3219EF22">
      <w:pPr>
        <w:spacing w:before="120" w:beforeLines="50" w:line="360" w:lineRule="auto"/>
        <w:ind w:left="120" w:leftChars="50" w:firstLine="482"/>
        <w:rPr>
          <w:rFonts w:ascii="Times New Roman" w:hAnsi="Times New Roman"/>
          <w:color w:val="auto"/>
          <w:sz w:val="24"/>
        </w:rPr>
      </w:pPr>
      <w:r>
        <w:rPr>
          <w:rFonts w:ascii="Times New Roman" w:hAnsi="Times New Roman"/>
          <w:color w:val="auto"/>
          <w:sz w:val="24"/>
        </w:rPr>
        <w:t>（4）地下水环境质量标准</w:t>
      </w:r>
    </w:p>
    <w:p w14:paraId="26AC8940">
      <w:pPr>
        <w:spacing w:line="360" w:lineRule="auto"/>
        <w:ind w:firstLine="482"/>
        <w:rPr>
          <w:rFonts w:ascii="Times New Roman" w:hAnsi="Times New Roman"/>
          <w:color w:val="auto"/>
          <w:sz w:val="24"/>
        </w:rPr>
      </w:pPr>
      <w:r>
        <w:rPr>
          <w:rFonts w:ascii="Times New Roman" w:hAnsi="Times New Roman"/>
          <w:color w:val="auto"/>
          <w:sz w:val="24"/>
        </w:rPr>
        <w:t>地下水水质评价执行《地下水质量标准》</w:t>
      </w:r>
      <w:r>
        <w:rPr>
          <w:rFonts w:hint="eastAsia"/>
          <w:color w:val="auto"/>
          <w:sz w:val="24"/>
          <w:lang w:eastAsia="zh-CN"/>
        </w:rPr>
        <w:t>（</w:t>
      </w:r>
      <w:r>
        <w:rPr>
          <w:rFonts w:ascii="Times New Roman" w:hAnsi="Times New Roman"/>
          <w:color w:val="auto"/>
          <w:sz w:val="24"/>
        </w:rPr>
        <w:t>GB14848-2017</w:t>
      </w:r>
      <w:r>
        <w:rPr>
          <w:rFonts w:hint="eastAsia"/>
          <w:color w:val="auto"/>
          <w:sz w:val="24"/>
          <w:lang w:eastAsia="zh-CN"/>
        </w:rPr>
        <w:t>）</w:t>
      </w:r>
      <w:r>
        <w:rPr>
          <w:rFonts w:ascii="Times New Roman" w:hAnsi="Times New Roman"/>
          <w:color w:val="auto"/>
          <w:sz w:val="24"/>
        </w:rPr>
        <w:t>中</w:t>
      </w:r>
      <w:r>
        <w:rPr>
          <w:rFonts w:hint="eastAsia" w:hAnsi="宋体" w:cs="宋体"/>
          <w:color w:val="auto"/>
          <w:sz w:val="24"/>
        </w:rPr>
        <w:t>Ⅲ</w:t>
      </w:r>
      <w:r>
        <w:rPr>
          <w:rFonts w:ascii="Times New Roman" w:hAnsi="Times New Roman"/>
          <w:color w:val="auto"/>
          <w:sz w:val="24"/>
        </w:rPr>
        <w:t>类标准。</w:t>
      </w:r>
    </w:p>
    <w:p w14:paraId="2A5F48C5">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7</w:t>
      </w:r>
      <w:r>
        <w:rPr>
          <w:color w:val="auto"/>
        </w:rPr>
        <w:fldChar w:fldCharType="end"/>
      </w:r>
      <w:r>
        <w:rPr>
          <w:color w:val="auto"/>
        </w:rPr>
        <w:t>地下水质量标准（单位：mg/L，pH无量纲）</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
        <w:gridCol w:w="2755"/>
        <w:gridCol w:w="925"/>
        <w:gridCol w:w="554"/>
        <w:gridCol w:w="2796"/>
        <w:gridCol w:w="934"/>
      </w:tblGrid>
      <w:tr w14:paraId="5C6D2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17562F4B">
            <w:pPr>
              <w:pStyle w:val="31"/>
              <w:bidi w:val="0"/>
              <w:rPr>
                <w:color w:val="auto"/>
              </w:rPr>
            </w:pPr>
            <w:r>
              <w:rPr>
                <w:rFonts w:hint="eastAsia"/>
                <w:color w:val="auto"/>
              </w:rPr>
              <w:t>序号</w:t>
            </w:r>
          </w:p>
        </w:tc>
        <w:tc>
          <w:tcPr>
            <w:tcW w:w="1617" w:type="pct"/>
            <w:noWrap w:val="0"/>
            <w:vAlign w:val="center"/>
          </w:tcPr>
          <w:p w14:paraId="504949F5">
            <w:pPr>
              <w:pStyle w:val="31"/>
              <w:bidi w:val="0"/>
              <w:rPr>
                <w:color w:val="auto"/>
              </w:rPr>
            </w:pPr>
            <w:r>
              <w:rPr>
                <w:rFonts w:hint="eastAsia"/>
                <w:color w:val="auto"/>
              </w:rPr>
              <w:t>项目</w:t>
            </w:r>
          </w:p>
        </w:tc>
        <w:tc>
          <w:tcPr>
            <w:tcW w:w="543" w:type="pct"/>
            <w:noWrap w:val="0"/>
            <w:vAlign w:val="center"/>
          </w:tcPr>
          <w:p w14:paraId="6BFEDF49">
            <w:pPr>
              <w:pStyle w:val="31"/>
              <w:bidi w:val="0"/>
              <w:rPr>
                <w:color w:val="auto"/>
              </w:rPr>
            </w:pPr>
            <w:r>
              <w:rPr>
                <w:rFonts w:hint="eastAsia"/>
                <w:color w:val="auto"/>
              </w:rPr>
              <w:t>Ⅲ</w:t>
            </w:r>
            <w:r>
              <w:rPr>
                <w:color w:val="auto"/>
              </w:rPr>
              <w:t>类标准</w:t>
            </w:r>
          </w:p>
        </w:tc>
        <w:tc>
          <w:tcPr>
            <w:tcW w:w="325" w:type="pct"/>
            <w:noWrap w:val="0"/>
            <w:vAlign w:val="center"/>
          </w:tcPr>
          <w:p w14:paraId="54DE1529">
            <w:pPr>
              <w:pStyle w:val="31"/>
              <w:bidi w:val="0"/>
              <w:rPr>
                <w:color w:val="auto"/>
              </w:rPr>
            </w:pPr>
            <w:r>
              <w:rPr>
                <w:rFonts w:hint="eastAsia"/>
                <w:color w:val="auto"/>
              </w:rPr>
              <w:t>序号</w:t>
            </w:r>
          </w:p>
        </w:tc>
        <w:tc>
          <w:tcPr>
            <w:tcW w:w="1641" w:type="pct"/>
            <w:noWrap w:val="0"/>
            <w:vAlign w:val="center"/>
          </w:tcPr>
          <w:p w14:paraId="2F69BDA6">
            <w:pPr>
              <w:pStyle w:val="31"/>
              <w:bidi w:val="0"/>
              <w:rPr>
                <w:color w:val="auto"/>
              </w:rPr>
            </w:pPr>
            <w:r>
              <w:rPr>
                <w:rFonts w:hint="eastAsia"/>
                <w:color w:val="auto"/>
              </w:rPr>
              <w:t>项目</w:t>
            </w:r>
          </w:p>
        </w:tc>
        <w:tc>
          <w:tcPr>
            <w:tcW w:w="548" w:type="pct"/>
            <w:noWrap w:val="0"/>
            <w:vAlign w:val="center"/>
          </w:tcPr>
          <w:p w14:paraId="2A7B87D5">
            <w:pPr>
              <w:pStyle w:val="31"/>
              <w:bidi w:val="0"/>
              <w:rPr>
                <w:color w:val="auto"/>
              </w:rPr>
            </w:pPr>
            <w:r>
              <w:rPr>
                <w:rFonts w:hint="eastAsia"/>
                <w:color w:val="auto"/>
              </w:rPr>
              <w:t>Ⅲ</w:t>
            </w:r>
            <w:r>
              <w:rPr>
                <w:color w:val="auto"/>
              </w:rPr>
              <w:t>类标准</w:t>
            </w:r>
          </w:p>
        </w:tc>
      </w:tr>
      <w:tr w14:paraId="640A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3DBA8447">
            <w:pPr>
              <w:pStyle w:val="31"/>
              <w:bidi w:val="0"/>
              <w:rPr>
                <w:color w:val="auto"/>
              </w:rPr>
            </w:pPr>
            <w:r>
              <w:rPr>
                <w:rFonts w:hint="eastAsia"/>
                <w:color w:val="auto"/>
              </w:rPr>
              <w:t>1</w:t>
            </w:r>
          </w:p>
        </w:tc>
        <w:tc>
          <w:tcPr>
            <w:tcW w:w="1617" w:type="pct"/>
            <w:noWrap w:val="0"/>
            <w:vAlign w:val="center"/>
          </w:tcPr>
          <w:p w14:paraId="39F3F8EB">
            <w:pPr>
              <w:pStyle w:val="31"/>
              <w:bidi w:val="0"/>
              <w:rPr>
                <w:color w:val="auto"/>
              </w:rPr>
            </w:pPr>
            <w:r>
              <w:rPr>
                <w:color w:val="auto"/>
              </w:rPr>
              <w:t>pH</w:t>
            </w:r>
            <w:r>
              <w:rPr>
                <w:rFonts w:hint="eastAsia"/>
                <w:color w:val="auto"/>
              </w:rPr>
              <w:t>（</w:t>
            </w:r>
            <w:r>
              <w:rPr>
                <w:color w:val="auto"/>
              </w:rPr>
              <w:t>无量纲</w:t>
            </w:r>
            <w:r>
              <w:rPr>
                <w:rFonts w:hint="eastAsia"/>
                <w:color w:val="auto"/>
              </w:rPr>
              <w:t>）</w:t>
            </w:r>
          </w:p>
        </w:tc>
        <w:tc>
          <w:tcPr>
            <w:tcW w:w="543" w:type="pct"/>
            <w:noWrap w:val="0"/>
            <w:vAlign w:val="center"/>
          </w:tcPr>
          <w:p w14:paraId="773A94AC">
            <w:pPr>
              <w:pStyle w:val="31"/>
              <w:bidi w:val="0"/>
              <w:rPr>
                <w:color w:val="auto"/>
              </w:rPr>
            </w:pPr>
            <w:r>
              <w:rPr>
                <w:color w:val="auto"/>
              </w:rPr>
              <w:t>6.5～8.5</w:t>
            </w:r>
          </w:p>
        </w:tc>
        <w:tc>
          <w:tcPr>
            <w:tcW w:w="325" w:type="pct"/>
            <w:noWrap w:val="0"/>
            <w:vAlign w:val="center"/>
          </w:tcPr>
          <w:p w14:paraId="77370968">
            <w:pPr>
              <w:pStyle w:val="31"/>
              <w:bidi w:val="0"/>
              <w:rPr>
                <w:color w:val="auto"/>
              </w:rPr>
            </w:pPr>
            <w:r>
              <w:rPr>
                <w:rFonts w:hint="eastAsia"/>
                <w:color w:val="auto"/>
              </w:rPr>
              <w:t>18</w:t>
            </w:r>
          </w:p>
        </w:tc>
        <w:tc>
          <w:tcPr>
            <w:tcW w:w="1641" w:type="pct"/>
            <w:noWrap w:val="0"/>
            <w:vAlign w:val="center"/>
          </w:tcPr>
          <w:p w14:paraId="0AAF5282">
            <w:pPr>
              <w:pStyle w:val="31"/>
              <w:bidi w:val="0"/>
              <w:rPr>
                <w:color w:val="auto"/>
              </w:rPr>
            </w:pPr>
            <w:r>
              <w:rPr>
                <w:rFonts w:hint="eastAsia"/>
                <w:color w:val="auto"/>
              </w:rPr>
              <w:t>铝（</w:t>
            </w:r>
            <w:r>
              <w:rPr>
                <w:color w:val="auto"/>
              </w:rPr>
              <w:t>mg/L</w:t>
            </w:r>
            <w:r>
              <w:rPr>
                <w:rFonts w:hint="eastAsia"/>
                <w:color w:val="auto"/>
              </w:rPr>
              <w:t>）</w:t>
            </w:r>
          </w:p>
        </w:tc>
        <w:tc>
          <w:tcPr>
            <w:tcW w:w="548" w:type="pct"/>
            <w:noWrap w:val="0"/>
            <w:vAlign w:val="center"/>
          </w:tcPr>
          <w:p w14:paraId="7741269E">
            <w:pPr>
              <w:pStyle w:val="31"/>
              <w:bidi w:val="0"/>
              <w:rPr>
                <w:color w:val="auto"/>
              </w:rPr>
            </w:pPr>
            <w:r>
              <w:rPr>
                <w:color w:val="auto"/>
              </w:rPr>
              <w:t>≤1.0</w:t>
            </w:r>
          </w:p>
        </w:tc>
      </w:tr>
      <w:tr w14:paraId="4FC7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34C70B7B">
            <w:pPr>
              <w:pStyle w:val="31"/>
              <w:bidi w:val="0"/>
              <w:rPr>
                <w:color w:val="auto"/>
              </w:rPr>
            </w:pPr>
            <w:r>
              <w:rPr>
                <w:rFonts w:hint="eastAsia"/>
                <w:color w:val="auto"/>
              </w:rPr>
              <w:t>2</w:t>
            </w:r>
          </w:p>
        </w:tc>
        <w:tc>
          <w:tcPr>
            <w:tcW w:w="1617" w:type="pct"/>
            <w:noWrap w:val="0"/>
            <w:vAlign w:val="center"/>
          </w:tcPr>
          <w:p w14:paraId="139E0E93">
            <w:pPr>
              <w:pStyle w:val="31"/>
              <w:bidi w:val="0"/>
              <w:rPr>
                <w:color w:val="auto"/>
              </w:rPr>
            </w:pPr>
            <w:r>
              <w:rPr>
                <w:rFonts w:hint="eastAsia"/>
                <w:color w:val="auto"/>
              </w:rPr>
              <w:t>色度（铂钴色度单位）</w:t>
            </w:r>
          </w:p>
        </w:tc>
        <w:tc>
          <w:tcPr>
            <w:tcW w:w="543" w:type="pct"/>
            <w:noWrap w:val="0"/>
            <w:vAlign w:val="center"/>
          </w:tcPr>
          <w:p w14:paraId="7B11A76A">
            <w:pPr>
              <w:pStyle w:val="31"/>
              <w:bidi w:val="0"/>
              <w:rPr>
                <w:color w:val="auto"/>
              </w:rPr>
            </w:pPr>
            <w:r>
              <w:rPr>
                <w:color w:val="auto"/>
              </w:rPr>
              <w:t>≤</w:t>
            </w:r>
            <w:r>
              <w:rPr>
                <w:rFonts w:hint="eastAsia"/>
                <w:color w:val="auto"/>
              </w:rPr>
              <w:t>15</w:t>
            </w:r>
          </w:p>
        </w:tc>
        <w:tc>
          <w:tcPr>
            <w:tcW w:w="325" w:type="pct"/>
            <w:noWrap w:val="0"/>
            <w:vAlign w:val="center"/>
          </w:tcPr>
          <w:p w14:paraId="138845CF">
            <w:pPr>
              <w:pStyle w:val="31"/>
              <w:bidi w:val="0"/>
              <w:rPr>
                <w:color w:val="auto"/>
              </w:rPr>
            </w:pPr>
            <w:r>
              <w:rPr>
                <w:rFonts w:hint="eastAsia"/>
                <w:color w:val="auto"/>
              </w:rPr>
              <w:t>19</w:t>
            </w:r>
          </w:p>
        </w:tc>
        <w:tc>
          <w:tcPr>
            <w:tcW w:w="1641" w:type="pct"/>
            <w:noWrap w:val="0"/>
            <w:vAlign w:val="center"/>
          </w:tcPr>
          <w:p w14:paraId="191B8181">
            <w:pPr>
              <w:pStyle w:val="31"/>
              <w:bidi w:val="0"/>
              <w:rPr>
                <w:color w:val="auto"/>
              </w:rPr>
            </w:pPr>
            <w:r>
              <w:rPr>
                <w:color w:val="auto"/>
              </w:rPr>
              <w:t>挥发</w:t>
            </w:r>
            <w:r>
              <w:rPr>
                <w:rFonts w:hint="eastAsia"/>
                <w:color w:val="auto"/>
              </w:rPr>
              <w:t>性</w:t>
            </w:r>
            <w:r>
              <w:rPr>
                <w:color w:val="auto"/>
              </w:rPr>
              <w:t>酚</w:t>
            </w:r>
            <w:r>
              <w:rPr>
                <w:rFonts w:hint="eastAsia"/>
                <w:color w:val="auto"/>
              </w:rPr>
              <w:t>类（以苯酚计）（</w:t>
            </w:r>
            <w:r>
              <w:rPr>
                <w:color w:val="auto"/>
              </w:rPr>
              <w:t>mg/L</w:t>
            </w:r>
            <w:r>
              <w:rPr>
                <w:rFonts w:hint="eastAsia"/>
                <w:color w:val="auto"/>
              </w:rPr>
              <w:t>）</w:t>
            </w:r>
          </w:p>
        </w:tc>
        <w:tc>
          <w:tcPr>
            <w:tcW w:w="548" w:type="pct"/>
            <w:noWrap w:val="0"/>
            <w:vAlign w:val="center"/>
          </w:tcPr>
          <w:p w14:paraId="782673FB">
            <w:pPr>
              <w:pStyle w:val="31"/>
              <w:bidi w:val="0"/>
              <w:rPr>
                <w:color w:val="auto"/>
              </w:rPr>
            </w:pPr>
            <w:r>
              <w:rPr>
                <w:color w:val="auto"/>
              </w:rPr>
              <w:t>≤0.002</w:t>
            </w:r>
          </w:p>
        </w:tc>
      </w:tr>
      <w:tr w14:paraId="28AE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7EB94F4D">
            <w:pPr>
              <w:pStyle w:val="31"/>
              <w:bidi w:val="0"/>
              <w:rPr>
                <w:color w:val="auto"/>
              </w:rPr>
            </w:pPr>
            <w:r>
              <w:rPr>
                <w:rFonts w:hint="eastAsia"/>
                <w:color w:val="auto"/>
              </w:rPr>
              <w:t>3</w:t>
            </w:r>
          </w:p>
        </w:tc>
        <w:tc>
          <w:tcPr>
            <w:tcW w:w="1617" w:type="pct"/>
            <w:noWrap w:val="0"/>
            <w:vAlign w:val="center"/>
          </w:tcPr>
          <w:p w14:paraId="7CDE0337">
            <w:pPr>
              <w:pStyle w:val="31"/>
              <w:bidi w:val="0"/>
              <w:rPr>
                <w:color w:val="auto"/>
              </w:rPr>
            </w:pPr>
            <w:r>
              <w:rPr>
                <w:color w:val="auto"/>
              </w:rPr>
              <w:t>嗅和味</w:t>
            </w:r>
          </w:p>
        </w:tc>
        <w:tc>
          <w:tcPr>
            <w:tcW w:w="543" w:type="pct"/>
            <w:noWrap w:val="0"/>
            <w:vAlign w:val="center"/>
          </w:tcPr>
          <w:p w14:paraId="324BE5FA">
            <w:pPr>
              <w:pStyle w:val="31"/>
              <w:bidi w:val="0"/>
              <w:rPr>
                <w:color w:val="auto"/>
              </w:rPr>
            </w:pPr>
            <w:r>
              <w:rPr>
                <w:rFonts w:hint="eastAsia"/>
                <w:color w:val="auto"/>
              </w:rPr>
              <w:t>无</w:t>
            </w:r>
          </w:p>
        </w:tc>
        <w:tc>
          <w:tcPr>
            <w:tcW w:w="325" w:type="pct"/>
            <w:noWrap w:val="0"/>
            <w:vAlign w:val="center"/>
          </w:tcPr>
          <w:p w14:paraId="434DD84B">
            <w:pPr>
              <w:pStyle w:val="31"/>
              <w:bidi w:val="0"/>
              <w:rPr>
                <w:color w:val="auto"/>
              </w:rPr>
            </w:pPr>
            <w:r>
              <w:rPr>
                <w:rFonts w:hint="eastAsia"/>
                <w:color w:val="auto"/>
              </w:rPr>
              <w:t>20</w:t>
            </w:r>
          </w:p>
        </w:tc>
        <w:tc>
          <w:tcPr>
            <w:tcW w:w="1641" w:type="pct"/>
            <w:noWrap w:val="0"/>
            <w:vAlign w:val="center"/>
          </w:tcPr>
          <w:p w14:paraId="4D1B0425">
            <w:pPr>
              <w:pStyle w:val="31"/>
              <w:bidi w:val="0"/>
              <w:rPr>
                <w:color w:val="auto"/>
              </w:rPr>
            </w:pPr>
            <w:r>
              <w:rPr>
                <w:color w:val="auto"/>
              </w:rPr>
              <w:t>阴离子表面活性剂</w:t>
            </w:r>
            <w:r>
              <w:rPr>
                <w:rFonts w:hint="eastAsia"/>
                <w:color w:val="auto"/>
              </w:rPr>
              <w:t>（</w:t>
            </w:r>
            <w:r>
              <w:rPr>
                <w:color w:val="auto"/>
              </w:rPr>
              <w:t>mg/L</w:t>
            </w:r>
            <w:r>
              <w:rPr>
                <w:rFonts w:hint="eastAsia"/>
                <w:color w:val="auto"/>
              </w:rPr>
              <w:t>）</w:t>
            </w:r>
          </w:p>
        </w:tc>
        <w:tc>
          <w:tcPr>
            <w:tcW w:w="548" w:type="pct"/>
            <w:noWrap w:val="0"/>
            <w:vAlign w:val="center"/>
          </w:tcPr>
          <w:p w14:paraId="2713DF69">
            <w:pPr>
              <w:pStyle w:val="31"/>
              <w:bidi w:val="0"/>
              <w:rPr>
                <w:color w:val="auto"/>
              </w:rPr>
            </w:pPr>
            <w:r>
              <w:rPr>
                <w:color w:val="auto"/>
              </w:rPr>
              <w:t>≤0.</w:t>
            </w:r>
            <w:r>
              <w:rPr>
                <w:rFonts w:hint="eastAsia"/>
                <w:color w:val="auto"/>
              </w:rPr>
              <w:t>3</w:t>
            </w:r>
          </w:p>
        </w:tc>
      </w:tr>
      <w:tr w14:paraId="4DE5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0AE5253F">
            <w:pPr>
              <w:pStyle w:val="31"/>
              <w:bidi w:val="0"/>
              <w:rPr>
                <w:color w:val="auto"/>
              </w:rPr>
            </w:pPr>
            <w:r>
              <w:rPr>
                <w:rFonts w:hint="eastAsia"/>
                <w:color w:val="auto"/>
              </w:rPr>
              <w:t>4</w:t>
            </w:r>
          </w:p>
        </w:tc>
        <w:tc>
          <w:tcPr>
            <w:tcW w:w="1617" w:type="pct"/>
            <w:noWrap w:val="0"/>
            <w:vAlign w:val="center"/>
          </w:tcPr>
          <w:p w14:paraId="549CE972">
            <w:pPr>
              <w:pStyle w:val="31"/>
              <w:bidi w:val="0"/>
              <w:rPr>
                <w:color w:val="auto"/>
              </w:rPr>
            </w:pPr>
            <w:r>
              <w:rPr>
                <w:color w:val="auto"/>
              </w:rPr>
              <w:t>浑浊度</w:t>
            </w:r>
            <w:r>
              <w:rPr>
                <w:rFonts w:hint="eastAsia"/>
                <w:color w:val="auto"/>
              </w:rPr>
              <w:t>（NTU）</w:t>
            </w:r>
          </w:p>
        </w:tc>
        <w:tc>
          <w:tcPr>
            <w:tcW w:w="543" w:type="pct"/>
            <w:noWrap w:val="0"/>
            <w:vAlign w:val="center"/>
          </w:tcPr>
          <w:p w14:paraId="64297229">
            <w:pPr>
              <w:pStyle w:val="31"/>
              <w:bidi w:val="0"/>
              <w:rPr>
                <w:color w:val="auto"/>
              </w:rPr>
            </w:pPr>
            <w:r>
              <w:rPr>
                <w:color w:val="auto"/>
              </w:rPr>
              <w:t>≤</w:t>
            </w:r>
            <w:r>
              <w:rPr>
                <w:rFonts w:hint="eastAsia"/>
                <w:color w:val="auto"/>
              </w:rPr>
              <w:t>3</w:t>
            </w:r>
          </w:p>
        </w:tc>
        <w:tc>
          <w:tcPr>
            <w:tcW w:w="325" w:type="pct"/>
            <w:noWrap w:val="0"/>
            <w:vAlign w:val="center"/>
          </w:tcPr>
          <w:p w14:paraId="213D8B08">
            <w:pPr>
              <w:pStyle w:val="31"/>
              <w:bidi w:val="0"/>
              <w:rPr>
                <w:color w:val="auto"/>
              </w:rPr>
            </w:pPr>
            <w:r>
              <w:rPr>
                <w:rFonts w:hint="eastAsia"/>
                <w:color w:val="auto"/>
              </w:rPr>
              <w:t>21</w:t>
            </w:r>
          </w:p>
        </w:tc>
        <w:tc>
          <w:tcPr>
            <w:tcW w:w="1641" w:type="pct"/>
            <w:noWrap w:val="0"/>
            <w:vAlign w:val="center"/>
          </w:tcPr>
          <w:p w14:paraId="407D71BE">
            <w:pPr>
              <w:pStyle w:val="31"/>
              <w:bidi w:val="0"/>
              <w:rPr>
                <w:color w:val="auto"/>
              </w:rPr>
            </w:pPr>
            <w:r>
              <w:rPr>
                <w:rFonts w:hint="eastAsia"/>
                <w:color w:val="auto"/>
              </w:rPr>
              <w:t>耗氧量（CODMn法，以O2计）（</w:t>
            </w:r>
            <w:r>
              <w:rPr>
                <w:color w:val="auto"/>
              </w:rPr>
              <w:t>mg/L</w:t>
            </w:r>
            <w:r>
              <w:rPr>
                <w:rFonts w:hint="eastAsia"/>
                <w:color w:val="auto"/>
              </w:rPr>
              <w:t>）</w:t>
            </w:r>
          </w:p>
        </w:tc>
        <w:tc>
          <w:tcPr>
            <w:tcW w:w="548" w:type="pct"/>
            <w:noWrap w:val="0"/>
            <w:vAlign w:val="center"/>
          </w:tcPr>
          <w:p w14:paraId="15494C2A">
            <w:pPr>
              <w:pStyle w:val="31"/>
              <w:bidi w:val="0"/>
              <w:rPr>
                <w:color w:val="auto"/>
              </w:rPr>
            </w:pPr>
            <w:r>
              <w:rPr>
                <w:color w:val="auto"/>
              </w:rPr>
              <w:t>≤</w:t>
            </w:r>
            <w:r>
              <w:rPr>
                <w:rFonts w:hint="eastAsia"/>
                <w:color w:val="auto"/>
              </w:rPr>
              <w:t>3.0</w:t>
            </w:r>
          </w:p>
        </w:tc>
      </w:tr>
      <w:tr w14:paraId="467B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6326E0B2">
            <w:pPr>
              <w:pStyle w:val="31"/>
              <w:bidi w:val="0"/>
              <w:rPr>
                <w:color w:val="auto"/>
              </w:rPr>
            </w:pPr>
            <w:r>
              <w:rPr>
                <w:rFonts w:hint="eastAsia"/>
                <w:color w:val="auto"/>
              </w:rPr>
              <w:t>5</w:t>
            </w:r>
          </w:p>
        </w:tc>
        <w:tc>
          <w:tcPr>
            <w:tcW w:w="1617" w:type="pct"/>
            <w:noWrap w:val="0"/>
            <w:vAlign w:val="center"/>
          </w:tcPr>
          <w:p w14:paraId="455CA0AA">
            <w:pPr>
              <w:pStyle w:val="31"/>
              <w:bidi w:val="0"/>
              <w:rPr>
                <w:color w:val="auto"/>
              </w:rPr>
            </w:pPr>
            <w:r>
              <w:rPr>
                <w:color w:val="auto"/>
              </w:rPr>
              <w:t>肉眼可见物</w:t>
            </w:r>
          </w:p>
        </w:tc>
        <w:tc>
          <w:tcPr>
            <w:tcW w:w="543" w:type="pct"/>
            <w:noWrap w:val="0"/>
            <w:vAlign w:val="center"/>
          </w:tcPr>
          <w:p w14:paraId="331A9493">
            <w:pPr>
              <w:pStyle w:val="31"/>
              <w:bidi w:val="0"/>
              <w:rPr>
                <w:color w:val="auto"/>
              </w:rPr>
            </w:pPr>
            <w:r>
              <w:rPr>
                <w:rFonts w:hint="eastAsia"/>
                <w:color w:val="auto"/>
              </w:rPr>
              <w:t>无</w:t>
            </w:r>
          </w:p>
        </w:tc>
        <w:tc>
          <w:tcPr>
            <w:tcW w:w="325" w:type="pct"/>
            <w:noWrap w:val="0"/>
            <w:vAlign w:val="center"/>
          </w:tcPr>
          <w:p w14:paraId="60CD50CB">
            <w:pPr>
              <w:pStyle w:val="31"/>
              <w:bidi w:val="0"/>
              <w:rPr>
                <w:color w:val="auto"/>
              </w:rPr>
            </w:pPr>
            <w:r>
              <w:rPr>
                <w:rFonts w:hint="eastAsia"/>
                <w:color w:val="auto"/>
              </w:rPr>
              <w:t>22</w:t>
            </w:r>
          </w:p>
        </w:tc>
        <w:tc>
          <w:tcPr>
            <w:tcW w:w="1641" w:type="pct"/>
            <w:noWrap w:val="0"/>
            <w:vAlign w:val="center"/>
          </w:tcPr>
          <w:p w14:paraId="64393825">
            <w:pPr>
              <w:pStyle w:val="31"/>
              <w:bidi w:val="0"/>
              <w:rPr>
                <w:color w:val="auto"/>
              </w:rPr>
            </w:pPr>
            <w:r>
              <w:rPr>
                <w:color w:val="auto"/>
              </w:rPr>
              <w:t>氨氮</w:t>
            </w:r>
            <w:r>
              <w:rPr>
                <w:rFonts w:hint="eastAsia"/>
                <w:color w:val="auto"/>
              </w:rPr>
              <w:t>（以N计）（</w:t>
            </w:r>
            <w:r>
              <w:rPr>
                <w:color w:val="auto"/>
              </w:rPr>
              <w:t>mg/L</w:t>
            </w:r>
            <w:r>
              <w:rPr>
                <w:rFonts w:hint="eastAsia"/>
                <w:color w:val="auto"/>
              </w:rPr>
              <w:t>）</w:t>
            </w:r>
          </w:p>
        </w:tc>
        <w:tc>
          <w:tcPr>
            <w:tcW w:w="548" w:type="pct"/>
            <w:noWrap w:val="0"/>
            <w:vAlign w:val="center"/>
          </w:tcPr>
          <w:p w14:paraId="28FB48BD">
            <w:pPr>
              <w:pStyle w:val="31"/>
              <w:bidi w:val="0"/>
              <w:rPr>
                <w:color w:val="auto"/>
              </w:rPr>
            </w:pPr>
            <w:r>
              <w:rPr>
                <w:color w:val="auto"/>
              </w:rPr>
              <w:t>≤0.5</w:t>
            </w:r>
            <w:r>
              <w:rPr>
                <w:rFonts w:hint="eastAsia"/>
                <w:color w:val="auto"/>
              </w:rPr>
              <w:t>0</w:t>
            </w:r>
          </w:p>
        </w:tc>
      </w:tr>
      <w:tr w14:paraId="453B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251B2B74">
            <w:pPr>
              <w:pStyle w:val="31"/>
              <w:bidi w:val="0"/>
              <w:rPr>
                <w:color w:val="auto"/>
              </w:rPr>
            </w:pPr>
            <w:r>
              <w:rPr>
                <w:rFonts w:hint="eastAsia"/>
                <w:color w:val="auto"/>
              </w:rPr>
              <w:t>6</w:t>
            </w:r>
          </w:p>
        </w:tc>
        <w:tc>
          <w:tcPr>
            <w:tcW w:w="1617" w:type="pct"/>
            <w:noWrap w:val="0"/>
            <w:vAlign w:val="center"/>
          </w:tcPr>
          <w:p w14:paraId="3A4EDF73">
            <w:pPr>
              <w:pStyle w:val="31"/>
              <w:bidi w:val="0"/>
              <w:rPr>
                <w:color w:val="auto"/>
              </w:rPr>
            </w:pPr>
            <w:r>
              <w:rPr>
                <w:color w:val="auto"/>
              </w:rPr>
              <w:t>钠</w:t>
            </w:r>
            <w:r>
              <w:rPr>
                <w:rFonts w:hint="eastAsia"/>
                <w:color w:val="auto"/>
              </w:rPr>
              <w:t>（</w:t>
            </w:r>
            <w:r>
              <w:rPr>
                <w:color w:val="auto"/>
              </w:rPr>
              <w:t>mg/L</w:t>
            </w:r>
            <w:r>
              <w:rPr>
                <w:rFonts w:hint="eastAsia"/>
                <w:color w:val="auto"/>
              </w:rPr>
              <w:t>）</w:t>
            </w:r>
          </w:p>
        </w:tc>
        <w:tc>
          <w:tcPr>
            <w:tcW w:w="543" w:type="pct"/>
            <w:noWrap w:val="0"/>
            <w:vAlign w:val="center"/>
          </w:tcPr>
          <w:p w14:paraId="7B32B959">
            <w:pPr>
              <w:pStyle w:val="31"/>
              <w:bidi w:val="0"/>
              <w:rPr>
                <w:color w:val="auto"/>
              </w:rPr>
            </w:pPr>
            <w:r>
              <w:rPr>
                <w:color w:val="auto"/>
              </w:rPr>
              <w:t>≤200</w:t>
            </w:r>
          </w:p>
        </w:tc>
        <w:tc>
          <w:tcPr>
            <w:tcW w:w="325" w:type="pct"/>
            <w:noWrap w:val="0"/>
            <w:vAlign w:val="center"/>
          </w:tcPr>
          <w:p w14:paraId="60952261">
            <w:pPr>
              <w:pStyle w:val="31"/>
              <w:bidi w:val="0"/>
              <w:rPr>
                <w:color w:val="auto"/>
              </w:rPr>
            </w:pPr>
            <w:r>
              <w:rPr>
                <w:rFonts w:hint="eastAsia"/>
                <w:color w:val="auto"/>
              </w:rPr>
              <w:t>23</w:t>
            </w:r>
          </w:p>
        </w:tc>
        <w:tc>
          <w:tcPr>
            <w:tcW w:w="1641" w:type="pct"/>
            <w:noWrap w:val="0"/>
            <w:vAlign w:val="center"/>
          </w:tcPr>
          <w:p w14:paraId="61022E88">
            <w:pPr>
              <w:pStyle w:val="31"/>
              <w:bidi w:val="0"/>
              <w:rPr>
                <w:color w:val="auto"/>
              </w:rPr>
            </w:pPr>
            <w:r>
              <w:rPr>
                <w:rFonts w:hint="eastAsia"/>
                <w:color w:val="auto"/>
              </w:rPr>
              <w:t>硫化物（</w:t>
            </w:r>
            <w:r>
              <w:rPr>
                <w:color w:val="auto"/>
              </w:rPr>
              <w:t>mg/L</w:t>
            </w:r>
            <w:r>
              <w:rPr>
                <w:rFonts w:hint="eastAsia"/>
                <w:color w:val="auto"/>
              </w:rPr>
              <w:t>）</w:t>
            </w:r>
          </w:p>
        </w:tc>
        <w:tc>
          <w:tcPr>
            <w:tcW w:w="548" w:type="pct"/>
            <w:noWrap w:val="0"/>
            <w:vAlign w:val="center"/>
          </w:tcPr>
          <w:p w14:paraId="68BC3633">
            <w:pPr>
              <w:pStyle w:val="31"/>
              <w:bidi w:val="0"/>
              <w:rPr>
                <w:color w:val="auto"/>
              </w:rPr>
            </w:pPr>
            <w:r>
              <w:rPr>
                <w:color w:val="auto"/>
              </w:rPr>
              <w:t>≤0.</w:t>
            </w:r>
            <w:r>
              <w:rPr>
                <w:rFonts w:hint="eastAsia"/>
                <w:color w:val="auto"/>
              </w:rPr>
              <w:t>02</w:t>
            </w:r>
          </w:p>
        </w:tc>
      </w:tr>
      <w:tr w14:paraId="75E5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71423A5F">
            <w:pPr>
              <w:pStyle w:val="31"/>
              <w:bidi w:val="0"/>
              <w:rPr>
                <w:color w:val="auto"/>
              </w:rPr>
            </w:pPr>
            <w:r>
              <w:rPr>
                <w:rFonts w:hint="eastAsia"/>
                <w:color w:val="auto"/>
              </w:rPr>
              <w:t>7</w:t>
            </w:r>
          </w:p>
        </w:tc>
        <w:tc>
          <w:tcPr>
            <w:tcW w:w="1617" w:type="pct"/>
            <w:noWrap w:val="0"/>
            <w:vAlign w:val="center"/>
          </w:tcPr>
          <w:p w14:paraId="7378E0DB">
            <w:pPr>
              <w:pStyle w:val="31"/>
              <w:bidi w:val="0"/>
              <w:rPr>
                <w:color w:val="auto"/>
              </w:rPr>
            </w:pPr>
            <w:r>
              <w:rPr>
                <w:color w:val="auto"/>
              </w:rPr>
              <w:t>氯化物</w:t>
            </w:r>
            <w:r>
              <w:rPr>
                <w:rFonts w:hint="eastAsia"/>
                <w:color w:val="auto"/>
              </w:rPr>
              <w:t>（</w:t>
            </w:r>
            <w:r>
              <w:rPr>
                <w:color w:val="auto"/>
              </w:rPr>
              <w:t>mg/L</w:t>
            </w:r>
            <w:r>
              <w:rPr>
                <w:rFonts w:hint="eastAsia"/>
                <w:color w:val="auto"/>
              </w:rPr>
              <w:t>）</w:t>
            </w:r>
          </w:p>
        </w:tc>
        <w:tc>
          <w:tcPr>
            <w:tcW w:w="543" w:type="pct"/>
            <w:noWrap w:val="0"/>
            <w:vAlign w:val="center"/>
          </w:tcPr>
          <w:p w14:paraId="306FBD2F">
            <w:pPr>
              <w:pStyle w:val="31"/>
              <w:bidi w:val="0"/>
              <w:rPr>
                <w:color w:val="auto"/>
              </w:rPr>
            </w:pPr>
            <w:r>
              <w:rPr>
                <w:color w:val="auto"/>
              </w:rPr>
              <w:t>≤250</w:t>
            </w:r>
          </w:p>
        </w:tc>
        <w:tc>
          <w:tcPr>
            <w:tcW w:w="325" w:type="pct"/>
            <w:noWrap w:val="0"/>
            <w:vAlign w:val="center"/>
          </w:tcPr>
          <w:p w14:paraId="6F94ECBA">
            <w:pPr>
              <w:pStyle w:val="31"/>
              <w:bidi w:val="0"/>
              <w:rPr>
                <w:color w:val="auto"/>
              </w:rPr>
            </w:pPr>
            <w:r>
              <w:rPr>
                <w:rFonts w:hint="eastAsia"/>
                <w:color w:val="auto"/>
              </w:rPr>
              <w:t>24</w:t>
            </w:r>
          </w:p>
        </w:tc>
        <w:tc>
          <w:tcPr>
            <w:tcW w:w="1641" w:type="pct"/>
            <w:noWrap w:val="0"/>
            <w:vAlign w:val="center"/>
          </w:tcPr>
          <w:p w14:paraId="7D60B82B">
            <w:pPr>
              <w:pStyle w:val="31"/>
              <w:bidi w:val="0"/>
              <w:rPr>
                <w:color w:val="auto"/>
              </w:rPr>
            </w:pPr>
            <w:r>
              <w:rPr>
                <w:color w:val="auto"/>
              </w:rPr>
              <w:t>亚硝酸盐</w:t>
            </w:r>
            <w:r>
              <w:rPr>
                <w:rFonts w:hint="eastAsia"/>
                <w:color w:val="auto"/>
              </w:rPr>
              <w:t>（以N计）（</w:t>
            </w:r>
            <w:r>
              <w:rPr>
                <w:color w:val="auto"/>
              </w:rPr>
              <w:t>mg/L</w:t>
            </w:r>
            <w:r>
              <w:rPr>
                <w:rFonts w:hint="eastAsia"/>
                <w:color w:val="auto"/>
              </w:rPr>
              <w:t>）</w:t>
            </w:r>
          </w:p>
        </w:tc>
        <w:tc>
          <w:tcPr>
            <w:tcW w:w="548" w:type="pct"/>
            <w:noWrap w:val="0"/>
            <w:vAlign w:val="center"/>
          </w:tcPr>
          <w:p w14:paraId="2F3F31E6">
            <w:pPr>
              <w:pStyle w:val="31"/>
              <w:bidi w:val="0"/>
              <w:rPr>
                <w:color w:val="auto"/>
              </w:rPr>
            </w:pPr>
            <w:r>
              <w:rPr>
                <w:color w:val="auto"/>
              </w:rPr>
              <w:t>≤1.00</w:t>
            </w:r>
          </w:p>
        </w:tc>
      </w:tr>
      <w:tr w14:paraId="1440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475724B1">
            <w:pPr>
              <w:pStyle w:val="31"/>
              <w:bidi w:val="0"/>
              <w:rPr>
                <w:color w:val="auto"/>
              </w:rPr>
            </w:pPr>
            <w:r>
              <w:rPr>
                <w:rFonts w:hint="eastAsia"/>
                <w:color w:val="auto"/>
              </w:rPr>
              <w:t>8</w:t>
            </w:r>
          </w:p>
        </w:tc>
        <w:tc>
          <w:tcPr>
            <w:tcW w:w="1617" w:type="pct"/>
            <w:noWrap w:val="0"/>
            <w:vAlign w:val="center"/>
          </w:tcPr>
          <w:p w14:paraId="21CCECA1">
            <w:pPr>
              <w:pStyle w:val="31"/>
              <w:bidi w:val="0"/>
              <w:rPr>
                <w:color w:val="auto"/>
              </w:rPr>
            </w:pPr>
            <w:r>
              <w:rPr>
                <w:color w:val="auto"/>
              </w:rPr>
              <w:t>硝酸盐</w:t>
            </w:r>
            <w:r>
              <w:rPr>
                <w:rFonts w:hint="eastAsia"/>
                <w:color w:val="auto"/>
              </w:rPr>
              <w:t>（以N计）（</w:t>
            </w:r>
            <w:r>
              <w:rPr>
                <w:color w:val="auto"/>
              </w:rPr>
              <w:t>mg/L</w:t>
            </w:r>
            <w:r>
              <w:rPr>
                <w:rFonts w:hint="eastAsia"/>
                <w:color w:val="auto"/>
              </w:rPr>
              <w:t>）</w:t>
            </w:r>
          </w:p>
        </w:tc>
        <w:tc>
          <w:tcPr>
            <w:tcW w:w="543" w:type="pct"/>
            <w:noWrap w:val="0"/>
            <w:vAlign w:val="center"/>
          </w:tcPr>
          <w:p w14:paraId="611A23B6">
            <w:pPr>
              <w:pStyle w:val="31"/>
              <w:bidi w:val="0"/>
              <w:rPr>
                <w:color w:val="auto"/>
              </w:rPr>
            </w:pPr>
            <w:r>
              <w:rPr>
                <w:color w:val="auto"/>
              </w:rPr>
              <w:t>≤20</w:t>
            </w:r>
          </w:p>
        </w:tc>
        <w:tc>
          <w:tcPr>
            <w:tcW w:w="325" w:type="pct"/>
            <w:noWrap w:val="0"/>
            <w:vAlign w:val="center"/>
          </w:tcPr>
          <w:p w14:paraId="44268CDA">
            <w:pPr>
              <w:pStyle w:val="31"/>
              <w:bidi w:val="0"/>
              <w:rPr>
                <w:color w:val="auto"/>
              </w:rPr>
            </w:pPr>
            <w:r>
              <w:rPr>
                <w:rFonts w:hint="eastAsia"/>
                <w:color w:val="auto"/>
              </w:rPr>
              <w:t>25</w:t>
            </w:r>
          </w:p>
        </w:tc>
        <w:tc>
          <w:tcPr>
            <w:tcW w:w="1641" w:type="pct"/>
            <w:noWrap w:val="0"/>
            <w:vAlign w:val="center"/>
          </w:tcPr>
          <w:p w14:paraId="01C4499F">
            <w:pPr>
              <w:pStyle w:val="31"/>
              <w:bidi w:val="0"/>
              <w:rPr>
                <w:color w:val="auto"/>
              </w:rPr>
            </w:pPr>
            <w:r>
              <w:rPr>
                <w:rFonts w:hint="eastAsia"/>
                <w:color w:val="auto"/>
              </w:rPr>
              <w:t>氟</w:t>
            </w:r>
            <w:r>
              <w:rPr>
                <w:color w:val="auto"/>
              </w:rPr>
              <w:t>化物</w:t>
            </w:r>
            <w:r>
              <w:rPr>
                <w:rFonts w:hint="eastAsia"/>
                <w:color w:val="auto"/>
              </w:rPr>
              <w:t>（</w:t>
            </w:r>
            <w:r>
              <w:rPr>
                <w:color w:val="auto"/>
              </w:rPr>
              <w:t>mg/L</w:t>
            </w:r>
            <w:r>
              <w:rPr>
                <w:rFonts w:hint="eastAsia"/>
                <w:color w:val="auto"/>
              </w:rPr>
              <w:t>）</w:t>
            </w:r>
          </w:p>
        </w:tc>
        <w:tc>
          <w:tcPr>
            <w:tcW w:w="548" w:type="pct"/>
            <w:noWrap w:val="0"/>
            <w:vAlign w:val="center"/>
          </w:tcPr>
          <w:p w14:paraId="15ED01CA">
            <w:pPr>
              <w:pStyle w:val="31"/>
              <w:bidi w:val="0"/>
              <w:rPr>
                <w:color w:val="auto"/>
              </w:rPr>
            </w:pPr>
            <w:r>
              <w:rPr>
                <w:color w:val="auto"/>
              </w:rPr>
              <w:t>≤</w:t>
            </w:r>
            <w:r>
              <w:rPr>
                <w:rFonts w:hint="eastAsia"/>
                <w:color w:val="auto"/>
              </w:rPr>
              <w:t>1.0</w:t>
            </w:r>
          </w:p>
        </w:tc>
      </w:tr>
      <w:tr w14:paraId="4031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4" w:type="pct"/>
            <w:noWrap w:val="0"/>
            <w:vAlign w:val="center"/>
          </w:tcPr>
          <w:p w14:paraId="5492A1E2">
            <w:pPr>
              <w:pStyle w:val="31"/>
              <w:bidi w:val="0"/>
              <w:rPr>
                <w:color w:val="auto"/>
              </w:rPr>
            </w:pPr>
            <w:r>
              <w:rPr>
                <w:rFonts w:hint="eastAsia"/>
                <w:color w:val="auto"/>
              </w:rPr>
              <w:t>9</w:t>
            </w:r>
          </w:p>
        </w:tc>
        <w:tc>
          <w:tcPr>
            <w:tcW w:w="1617" w:type="pct"/>
            <w:noWrap w:val="0"/>
            <w:vAlign w:val="center"/>
          </w:tcPr>
          <w:p w14:paraId="6E5AC076">
            <w:pPr>
              <w:pStyle w:val="31"/>
              <w:bidi w:val="0"/>
              <w:rPr>
                <w:color w:val="auto"/>
              </w:rPr>
            </w:pPr>
            <w:r>
              <w:rPr>
                <w:color w:val="auto"/>
              </w:rPr>
              <w:t>总硬度</w:t>
            </w:r>
            <w:r>
              <w:rPr>
                <w:rFonts w:hint="eastAsia"/>
                <w:color w:val="auto"/>
              </w:rPr>
              <w:t>（以CaCO3计）（</w:t>
            </w:r>
            <w:r>
              <w:rPr>
                <w:color w:val="auto"/>
              </w:rPr>
              <w:t>mg/L</w:t>
            </w:r>
            <w:r>
              <w:rPr>
                <w:rFonts w:hint="eastAsia"/>
                <w:color w:val="auto"/>
              </w:rPr>
              <w:t>）</w:t>
            </w:r>
          </w:p>
        </w:tc>
        <w:tc>
          <w:tcPr>
            <w:tcW w:w="543" w:type="pct"/>
            <w:noWrap w:val="0"/>
            <w:vAlign w:val="center"/>
          </w:tcPr>
          <w:p w14:paraId="5A68039A">
            <w:pPr>
              <w:pStyle w:val="31"/>
              <w:bidi w:val="0"/>
              <w:rPr>
                <w:color w:val="auto"/>
              </w:rPr>
            </w:pPr>
            <w:r>
              <w:rPr>
                <w:color w:val="auto"/>
              </w:rPr>
              <w:t>≤450</w:t>
            </w:r>
          </w:p>
        </w:tc>
        <w:tc>
          <w:tcPr>
            <w:tcW w:w="325" w:type="pct"/>
            <w:noWrap w:val="0"/>
            <w:vAlign w:val="center"/>
          </w:tcPr>
          <w:p w14:paraId="206C4A7C">
            <w:pPr>
              <w:pStyle w:val="31"/>
              <w:bidi w:val="0"/>
              <w:rPr>
                <w:color w:val="auto"/>
              </w:rPr>
            </w:pPr>
            <w:r>
              <w:rPr>
                <w:rFonts w:hint="eastAsia"/>
                <w:color w:val="auto"/>
              </w:rPr>
              <w:t>26</w:t>
            </w:r>
          </w:p>
        </w:tc>
        <w:tc>
          <w:tcPr>
            <w:tcW w:w="1641" w:type="pct"/>
            <w:noWrap w:val="0"/>
            <w:vAlign w:val="center"/>
          </w:tcPr>
          <w:p w14:paraId="126C1C39">
            <w:pPr>
              <w:pStyle w:val="31"/>
              <w:bidi w:val="0"/>
              <w:rPr>
                <w:color w:val="auto"/>
              </w:rPr>
            </w:pPr>
            <w:r>
              <w:rPr>
                <w:color w:val="auto"/>
              </w:rPr>
              <w:t>氰化物</w:t>
            </w:r>
            <w:r>
              <w:rPr>
                <w:rFonts w:hint="eastAsia"/>
                <w:color w:val="auto"/>
              </w:rPr>
              <w:t>（</w:t>
            </w:r>
            <w:r>
              <w:rPr>
                <w:color w:val="auto"/>
              </w:rPr>
              <w:t>mg/L</w:t>
            </w:r>
            <w:r>
              <w:rPr>
                <w:rFonts w:hint="eastAsia"/>
                <w:color w:val="auto"/>
              </w:rPr>
              <w:t>）</w:t>
            </w:r>
          </w:p>
        </w:tc>
        <w:tc>
          <w:tcPr>
            <w:tcW w:w="548" w:type="pct"/>
            <w:noWrap w:val="0"/>
            <w:vAlign w:val="center"/>
          </w:tcPr>
          <w:p w14:paraId="2D44C0BA">
            <w:pPr>
              <w:pStyle w:val="31"/>
              <w:bidi w:val="0"/>
              <w:rPr>
                <w:color w:val="auto"/>
              </w:rPr>
            </w:pPr>
            <w:r>
              <w:rPr>
                <w:color w:val="auto"/>
              </w:rPr>
              <w:t>≤0.05</w:t>
            </w:r>
          </w:p>
        </w:tc>
      </w:tr>
      <w:tr w14:paraId="2915A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527A8C7A">
            <w:pPr>
              <w:pStyle w:val="31"/>
              <w:bidi w:val="0"/>
              <w:rPr>
                <w:color w:val="auto"/>
              </w:rPr>
            </w:pPr>
            <w:r>
              <w:rPr>
                <w:rFonts w:hint="eastAsia"/>
                <w:color w:val="auto"/>
              </w:rPr>
              <w:t>10</w:t>
            </w:r>
          </w:p>
        </w:tc>
        <w:tc>
          <w:tcPr>
            <w:tcW w:w="1617" w:type="pct"/>
            <w:noWrap w:val="0"/>
            <w:vAlign w:val="center"/>
          </w:tcPr>
          <w:p w14:paraId="3790125F">
            <w:pPr>
              <w:pStyle w:val="31"/>
              <w:bidi w:val="0"/>
              <w:rPr>
                <w:color w:val="auto"/>
              </w:rPr>
            </w:pPr>
            <w:r>
              <w:rPr>
                <w:color w:val="auto"/>
              </w:rPr>
              <w:t>溶解性总固体</w:t>
            </w:r>
            <w:r>
              <w:rPr>
                <w:rFonts w:hint="eastAsia"/>
                <w:color w:val="auto"/>
              </w:rPr>
              <w:t>（</w:t>
            </w:r>
            <w:r>
              <w:rPr>
                <w:color w:val="auto"/>
              </w:rPr>
              <w:t>mg/L</w:t>
            </w:r>
            <w:r>
              <w:rPr>
                <w:rFonts w:hint="eastAsia"/>
                <w:color w:val="auto"/>
              </w:rPr>
              <w:t>）</w:t>
            </w:r>
          </w:p>
        </w:tc>
        <w:tc>
          <w:tcPr>
            <w:tcW w:w="543" w:type="pct"/>
            <w:noWrap w:val="0"/>
            <w:vAlign w:val="center"/>
          </w:tcPr>
          <w:p w14:paraId="38593965">
            <w:pPr>
              <w:pStyle w:val="31"/>
              <w:bidi w:val="0"/>
              <w:rPr>
                <w:color w:val="auto"/>
              </w:rPr>
            </w:pPr>
            <w:r>
              <w:rPr>
                <w:color w:val="auto"/>
              </w:rPr>
              <w:t>≤1000</w:t>
            </w:r>
          </w:p>
        </w:tc>
        <w:tc>
          <w:tcPr>
            <w:tcW w:w="325" w:type="pct"/>
            <w:noWrap w:val="0"/>
            <w:vAlign w:val="center"/>
          </w:tcPr>
          <w:p w14:paraId="5E5A74EB">
            <w:pPr>
              <w:pStyle w:val="31"/>
              <w:bidi w:val="0"/>
              <w:rPr>
                <w:color w:val="auto"/>
              </w:rPr>
            </w:pPr>
            <w:r>
              <w:rPr>
                <w:rFonts w:hint="eastAsia"/>
                <w:color w:val="auto"/>
              </w:rPr>
              <w:t>27</w:t>
            </w:r>
          </w:p>
        </w:tc>
        <w:tc>
          <w:tcPr>
            <w:tcW w:w="1641" w:type="pct"/>
            <w:noWrap w:val="0"/>
            <w:vAlign w:val="center"/>
          </w:tcPr>
          <w:p w14:paraId="6B57E041">
            <w:pPr>
              <w:pStyle w:val="31"/>
              <w:bidi w:val="0"/>
              <w:rPr>
                <w:color w:val="auto"/>
              </w:rPr>
            </w:pPr>
            <w:r>
              <w:rPr>
                <w:rFonts w:hint="eastAsia"/>
                <w:color w:val="auto"/>
              </w:rPr>
              <w:t>碘</w:t>
            </w:r>
            <w:r>
              <w:rPr>
                <w:color w:val="auto"/>
              </w:rPr>
              <w:t>化物</w:t>
            </w:r>
            <w:r>
              <w:rPr>
                <w:rFonts w:hint="eastAsia"/>
                <w:color w:val="auto"/>
              </w:rPr>
              <w:t>（</w:t>
            </w:r>
            <w:r>
              <w:rPr>
                <w:color w:val="auto"/>
              </w:rPr>
              <w:t>mg/L</w:t>
            </w:r>
            <w:r>
              <w:rPr>
                <w:rFonts w:hint="eastAsia"/>
                <w:color w:val="auto"/>
              </w:rPr>
              <w:t>）</w:t>
            </w:r>
          </w:p>
        </w:tc>
        <w:tc>
          <w:tcPr>
            <w:tcW w:w="548" w:type="pct"/>
            <w:noWrap w:val="0"/>
            <w:vAlign w:val="center"/>
          </w:tcPr>
          <w:p w14:paraId="58A24607">
            <w:pPr>
              <w:pStyle w:val="31"/>
              <w:bidi w:val="0"/>
              <w:rPr>
                <w:color w:val="auto"/>
              </w:rPr>
            </w:pPr>
            <w:r>
              <w:rPr>
                <w:color w:val="auto"/>
              </w:rPr>
              <w:t>≤</w:t>
            </w:r>
            <w:r>
              <w:rPr>
                <w:rFonts w:hint="eastAsia"/>
                <w:color w:val="auto"/>
              </w:rPr>
              <w:t>0.08</w:t>
            </w:r>
          </w:p>
        </w:tc>
      </w:tr>
      <w:tr w14:paraId="5A5E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2F381802">
            <w:pPr>
              <w:pStyle w:val="31"/>
              <w:bidi w:val="0"/>
              <w:rPr>
                <w:color w:val="auto"/>
              </w:rPr>
            </w:pPr>
            <w:r>
              <w:rPr>
                <w:rFonts w:hint="eastAsia"/>
                <w:color w:val="auto"/>
              </w:rPr>
              <w:t>11</w:t>
            </w:r>
          </w:p>
        </w:tc>
        <w:tc>
          <w:tcPr>
            <w:tcW w:w="1617" w:type="pct"/>
            <w:noWrap w:val="0"/>
            <w:vAlign w:val="center"/>
          </w:tcPr>
          <w:p w14:paraId="3E56201B">
            <w:pPr>
              <w:pStyle w:val="31"/>
              <w:bidi w:val="0"/>
              <w:rPr>
                <w:color w:val="auto"/>
              </w:rPr>
            </w:pPr>
            <w:r>
              <w:rPr>
                <w:color w:val="auto"/>
              </w:rPr>
              <w:t>硫酸盐</w:t>
            </w:r>
            <w:r>
              <w:rPr>
                <w:rFonts w:hint="eastAsia"/>
                <w:color w:val="auto"/>
              </w:rPr>
              <w:t>（</w:t>
            </w:r>
            <w:r>
              <w:rPr>
                <w:color w:val="auto"/>
              </w:rPr>
              <w:t>mg/L</w:t>
            </w:r>
            <w:r>
              <w:rPr>
                <w:rFonts w:hint="eastAsia"/>
                <w:color w:val="auto"/>
              </w:rPr>
              <w:t>）</w:t>
            </w:r>
          </w:p>
        </w:tc>
        <w:tc>
          <w:tcPr>
            <w:tcW w:w="543" w:type="pct"/>
            <w:noWrap w:val="0"/>
            <w:vAlign w:val="center"/>
          </w:tcPr>
          <w:p w14:paraId="0FC62AA5">
            <w:pPr>
              <w:pStyle w:val="31"/>
              <w:bidi w:val="0"/>
              <w:rPr>
                <w:color w:val="auto"/>
              </w:rPr>
            </w:pPr>
            <w:r>
              <w:rPr>
                <w:color w:val="auto"/>
              </w:rPr>
              <w:t>≤250</w:t>
            </w:r>
          </w:p>
        </w:tc>
        <w:tc>
          <w:tcPr>
            <w:tcW w:w="325" w:type="pct"/>
            <w:noWrap w:val="0"/>
            <w:vAlign w:val="center"/>
          </w:tcPr>
          <w:p w14:paraId="65209733">
            <w:pPr>
              <w:pStyle w:val="31"/>
              <w:bidi w:val="0"/>
              <w:rPr>
                <w:color w:val="auto"/>
              </w:rPr>
            </w:pPr>
            <w:r>
              <w:rPr>
                <w:rFonts w:hint="eastAsia"/>
                <w:color w:val="auto"/>
              </w:rPr>
              <w:t>28</w:t>
            </w:r>
          </w:p>
        </w:tc>
        <w:tc>
          <w:tcPr>
            <w:tcW w:w="1641" w:type="pct"/>
            <w:noWrap w:val="0"/>
            <w:vAlign w:val="center"/>
          </w:tcPr>
          <w:p w14:paraId="4F5676FD">
            <w:pPr>
              <w:pStyle w:val="31"/>
              <w:bidi w:val="0"/>
              <w:rPr>
                <w:color w:val="auto"/>
              </w:rPr>
            </w:pPr>
            <w:r>
              <w:rPr>
                <w:color w:val="auto"/>
              </w:rPr>
              <w:t>汞</w:t>
            </w:r>
            <w:r>
              <w:rPr>
                <w:rFonts w:hint="eastAsia"/>
                <w:color w:val="auto"/>
              </w:rPr>
              <w:t>（</w:t>
            </w:r>
            <w:r>
              <w:rPr>
                <w:color w:val="auto"/>
              </w:rPr>
              <w:t>mg/L</w:t>
            </w:r>
            <w:r>
              <w:rPr>
                <w:rFonts w:hint="eastAsia"/>
                <w:color w:val="auto"/>
              </w:rPr>
              <w:t>）</w:t>
            </w:r>
          </w:p>
        </w:tc>
        <w:tc>
          <w:tcPr>
            <w:tcW w:w="548" w:type="pct"/>
            <w:noWrap w:val="0"/>
            <w:vAlign w:val="center"/>
          </w:tcPr>
          <w:p w14:paraId="34F780DE">
            <w:pPr>
              <w:pStyle w:val="31"/>
              <w:bidi w:val="0"/>
              <w:rPr>
                <w:color w:val="auto"/>
              </w:rPr>
            </w:pPr>
            <w:r>
              <w:rPr>
                <w:color w:val="auto"/>
              </w:rPr>
              <w:t>≤0.001</w:t>
            </w:r>
          </w:p>
        </w:tc>
      </w:tr>
      <w:tr w14:paraId="62A0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734F7616">
            <w:pPr>
              <w:pStyle w:val="31"/>
              <w:bidi w:val="0"/>
              <w:rPr>
                <w:color w:val="auto"/>
              </w:rPr>
            </w:pPr>
            <w:r>
              <w:rPr>
                <w:rFonts w:hint="eastAsia"/>
                <w:color w:val="auto"/>
              </w:rPr>
              <w:t>12</w:t>
            </w:r>
          </w:p>
        </w:tc>
        <w:tc>
          <w:tcPr>
            <w:tcW w:w="1617" w:type="pct"/>
            <w:noWrap w:val="0"/>
            <w:vAlign w:val="center"/>
          </w:tcPr>
          <w:p w14:paraId="1878CAE2">
            <w:pPr>
              <w:pStyle w:val="31"/>
              <w:bidi w:val="0"/>
              <w:rPr>
                <w:color w:val="auto"/>
              </w:rPr>
            </w:pPr>
            <w:r>
              <w:rPr>
                <w:rFonts w:hint="eastAsia"/>
                <w:color w:val="auto"/>
              </w:rPr>
              <w:t>铁（</w:t>
            </w:r>
            <w:r>
              <w:rPr>
                <w:color w:val="auto"/>
              </w:rPr>
              <w:t>mg/L</w:t>
            </w:r>
            <w:r>
              <w:rPr>
                <w:rFonts w:hint="eastAsia"/>
                <w:color w:val="auto"/>
              </w:rPr>
              <w:t>）</w:t>
            </w:r>
          </w:p>
        </w:tc>
        <w:tc>
          <w:tcPr>
            <w:tcW w:w="543" w:type="pct"/>
            <w:noWrap w:val="0"/>
            <w:vAlign w:val="center"/>
          </w:tcPr>
          <w:p w14:paraId="60E3E2AA">
            <w:pPr>
              <w:pStyle w:val="31"/>
              <w:bidi w:val="0"/>
              <w:rPr>
                <w:color w:val="auto"/>
              </w:rPr>
            </w:pPr>
            <w:r>
              <w:rPr>
                <w:color w:val="auto"/>
              </w:rPr>
              <w:t>≤</w:t>
            </w:r>
            <w:r>
              <w:rPr>
                <w:rFonts w:hint="eastAsia"/>
                <w:color w:val="auto"/>
              </w:rPr>
              <w:t>0.3</w:t>
            </w:r>
          </w:p>
        </w:tc>
        <w:tc>
          <w:tcPr>
            <w:tcW w:w="325" w:type="pct"/>
            <w:noWrap w:val="0"/>
            <w:vAlign w:val="center"/>
          </w:tcPr>
          <w:p w14:paraId="23338B0E">
            <w:pPr>
              <w:pStyle w:val="31"/>
              <w:bidi w:val="0"/>
              <w:rPr>
                <w:color w:val="auto"/>
              </w:rPr>
            </w:pPr>
            <w:r>
              <w:rPr>
                <w:rFonts w:hint="eastAsia"/>
                <w:color w:val="auto"/>
              </w:rPr>
              <w:t>29</w:t>
            </w:r>
          </w:p>
        </w:tc>
        <w:tc>
          <w:tcPr>
            <w:tcW w:w="1641" w:type="pct"/>
            <w:noWrap w:val="0"/>
            <w:vAlign w:val="center"/>
          </w:tcPr>
          <w:p w14:paraId="0E8732FB">
            <w:pPr>
              <w:pStyle w:val="31"/>
              <w:bidi w:val="0"/>
              <w:rPr>
                <w:color w:val="auto"/>
              </w:rPr>
            </w:pPr>
            <w:r>
              <w:rPr>
                <w:color w:val="auto"/>
              </w:rPr>
              <w:t>砷</w:t>
            </w:r>
            <w:r>
              <w:rPr>
                <w:rFonts w:hint="eastAsia"/>
                <w:color w:val="auto"/>
              </w:rPr>
              <w:t>（</w:t>
            </w:r>
            <w:r>
              <w:rPr>
                <w:color w:val="auto"/>
              </w:rPr>
              <w:t>mg/L</w:t>
            </w:r>
            <w:r>
              <w:rPr>
                <w:rFonts w:hint="eastAsia"/>
                <w:color w:val="auto"/>
              </w:rPr>
              <w:t>）</w:t>
            </w:r>
          </w:p>
        </w:tc>
        <w:tc>
          <w:tcPr>
            <w:tcW w:w="548" w:type="pct"/>
            <w:noWrap w:val="0"/>
            <w:vAlign w:val="center"/>
          </w:tcPr>
          <w:p w14:paraId="6FBACB9D">
            <w:pPr>
              <w:pStyle w:val="31"/>
              <w:bidi w:val="0"/>
              <w:rPr>
                <w:color w:val="auto"/>
              </w:rPr>
            </w:pPr>
            <w:r>
              <w:rPr>
                <w:color w:val="auto"/>
              </w:rPr>
              <w:t>≤0.01</w:t>
            </w:r>
          </w:p>
        </w:tc>
      </w:tr>
      <w:tr w14:paraId="36A8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24" w:type="pct"/>
            <w:noWrap w:val="0"/>
            <w:vAlign w:val="center"/>
          </w:tcPr>
          <w:p w14:paraId="1E827D56">
            <w:pPr>
              <w:pStyle w:val="31"/>
              <w:bidi w:val="0"/>
              <w:rPr>
                <w:color w:val="auto"/>
              </w:rPr>
            </w:pPr>
            <w:r>
              <w:rPr>
                <w:rFonts w:hint="eastAsia"/>
                <w:color w:val="auto"/>
              </w:rPr>
              <w:t>13</w:t>
            </w:r>
          </w:p>
        </w:tc>
        <w:tc>
          <w:tcPr>
            <w:tcW w:w="1617" w:type="pct"/>
            <w:noWrap w:val="0"/>
            <w:vAlign w:val="center"/>
          </w:tcPr>
          <w:p w14:paraId="4FA6FA4D">
            <w:pPr>
              <w:pStyle w:val="31"/>
              <w:bidi w:val="0"/>
              <w:rPr>
                <w:color w:val="auto"/>
              </w:rPr>
            </w:pPr>
            <w:r>
              <w:rPr>
                <w:color w:val="auto"/>
              </w:rPr>
              <w:t>锰</w:t>
            </w:r>
            <w:r>
              <w:rPr>
                <w:rFonts w:hint="eastAsia"/>
                <w:color w:val="auto"/>
              </w:rPr>
              <w:t>（</w:t>
            </w:r>
            <w:r>
              <w:rPr>
                <w:color w:val="auto"/>
              </w:rPr>
              <w:t>mg/L</w:t>
            </w:r>
            <w:r>
              <w:rPr>
                <w:rFonts w:hint="eastAsia"/>
                <w:color w:val="auto"/>
              </w:rPr>
              <w:t>）</w:t>
            </w:r>
          </w:p>
        </w:tc>
        <w:tc>
          <w:tcPr>
            <w:tcW w:w="543" w:type="pct"/>
            <w:noWrap w:val="0"/>
            <w:vAlign w:val="center"/>
          </w:tcPr>
          <w:p w14:paraId="1493998F">
            <w:pPr>
              <w:pStyle w:val="31"/>
              <w:bidi w:val="0"/>
              <w:rPr>
                <w:color w:val="auto"/>
              </w:rPr>
            </w:pPr>
            <w:r>
              <w:rPr>
                <w:color w:val="auto"/>
              </w:rPr>
              <w:t>≤</w:t>
            </w:r>
            <w:r>
              <w:rPr>
                <w:rFonts w:hint="eastAsia"/>
                <w:color w:val="auto"/>
              </w:rPr>
              <w:t>0.10</w:t>
            </w:r>
          </w:p>
        </w:tc>
        <w:tc>
          <w:tcPr>
            <w:tcW w:w="325" w:type="pct"/>
            <w:noWrap w:val="0"/>
            <w:vAlign w:val="center"/>
          </w:tcPr>
          <w:p w14:paraId="0D15FF3E">
            <w:pPr>
              <w:pStyle w:val="31"/>
              <w:bidi w:val="0"/>
              <w:rPr>
                <w:color w:val="auto"/>
              </w:rPr>
            </w:pPr>
            <w:r>
              <w:rPr>
                <w:rFonts w:hint="eastAsia"/>
                <w:color w:val="auto"/>
              </w:rPr>
              <w:t>30</w:t>
            </w:r>
          </w:p>
        </w:tc>
        <w:tc>
          <w:tcPr>
            <w:tcW w:w="1641" w:type="pct"/>
            <w:noWrap w:val="0"/>
            <w:vAlign w:val="center"/>
          </w:tcPr>
          <w:p w14:paraId="2E113A70">
            <w:pPr>
              <w:pStyle w:val="31"/>
              <w:bidi w:val="0"/>
              <w:rPr>
                <w:color w:val="auto"/>
              </w:rPr>
            </w:pPr>
            <w:r>
              <w:rPr>
                <w:rFonts w:hint="eastAsia"/>
                <w:color w:val="auto"/>
              </w:rPr>
              <w:t>硒（</w:t>
            </w:r>
            <w:r>
              <w:rPr>
                <w:color w:val="auto"/>
              </w:rPr>
              <w:t>mg/L</w:t>
            </w:r>
            <w:r>
              <w:rPr>
                <w:rFonts w:hint="eastAsia"/>
                <w:color w:val="auto"/>
              </w:rPr>
              <w:t>）</w:t>
            </w:r>
          </w:p>
        </w:tc>
        <w:tc>
          <w:tcPr>
            <w:tcW w:w="548" w:type="pct"/>
            <w:noWrap w:val="0"/>
            <w:vAlign w:val="center"/>
          </w:tcPr>
          <w:p w14:paraId="608C1EB4">
            <w:pPr>
              <w:pStyle w:val="31"/>
              <w:bidi w:val="0"/>
              <w:rPr>
                <w:color w:val="auto"/>
              </w:rPr>
            </w:pPr>
            <w:r>
              <w:rPr>
                <w:color w:val="auto"/>
              </w:rPr>
              <w:t>≤0.01</w:t>
            </w:r>
          </w:p>
        </w:tc>
      </w:tr>
      <w:tr w14:paraId="063C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7D05FB87">
            <w:pPr>
              <w:pStyle w:val="31"/>
              <w:bidi w:val="0"/>
              <w:rPr>
                <w:color w:val="auto"/>
              </w:rPr>
            </w:pPr>
            <w:r>
              <w:rPr>
                <w:rFonts w:hint="eastAsia"/>
                <w:color w:val="auto"/>
              </w:rPr>
              <w:t>14</w:t>
            </w:r>
          </w:p>
        </w:tc>
        <w:tc>
          <w:tcPr>
            <w:tcW w:w="1617" w:type="pct"/>
            <w:noWrap w:val="0"/>
            <w:vAlign w:val="center"/>
          </w:tcPr>
          <w:p w14:paraId="69B47D82">
            <w:pPr>
              <w:pStyle w:val="31"/>
              <w:bidi w:val="0"/>
              <w:rPr>
                <w:color w:val="auto"/>
              </w:rPr>
            </w:pPr>
            <w:r>
              <w:rPr>
                <w:color w:val="auto"/>
              </w:rPr>
              <w:t>总大肠菌群</w:t>
            </w:r>
            <w:r>
              <w:rPr>
                <w:rFonts w:hint="eastAsia"/>
                <w:color w:val="auto"/>
              </w:rPr>
              <w:t>（</w:t>
            </w:r>
            <w:r>
              <w:rPr>
                <w:color w:val="auto"/>
              </w:rPr>
              <w:t>MPN/100ml</w:t>
            </w:r>
            <w:r>
              <w:rPr>
                <w:rFonts w:hint="eastAsia"/>
                <w:color w:val="auto"/>
              </w:rPr>
              <w:t>）</w:t>
            </w:r>
          </w:p>
        </w:tc>
        <w:tc>
          <w:tcPr>
            <w:tcW w:w="543" w:type="pct"/>
            <w:noWrap w:val="0"/>
            <w:vAlign w:val="center"/>
          </w:tcPr>
          <w:p w14:paraId="40287602">
            <w:pPr>
              <w:pStyle w:val="31"/>
              <w:bidi w:val="0"/>
              <w:rPr>
                <w:color w:val="auto"/>
              </w:rPr>
            </w:pPr>
            <w:r>
              <w:rPr>
                <w:color w:val="auto"/>
              </w:rPr>
              <w:t>≤3</w:t>
            </w:r>
          </w:p>
        </w:tc>
        <w:tc>
          <w:tcPr>
            <w:tcW w:w="325" w:type="pct"/>
            <w:noWrap w:val="0"/>
            <w:vAlign w:val="center"/>
          </w:tcPr>
          <w:p w14:paraId="2BF65BCF">
            <w:pPr>
              <w:pStyle w:val="31"/>
              <w:bidi w:val="0"/>
              <w:rPr>
                <w:color w:val="auto"/>
              </w:rPr>
            </w:pPr>
            <w:r>
              <w:rPr>
                <w:rFonts w:hint="eastAsia"/>
                <w:color w:val="auto"/>
              </w:rPr>
              <w:t>31</w:t>
            </w:r>
          </w:p>
        </w:tc>
        <w:tc>
          <w:tcPr>
            <w:tcW w:w="1641" w:type="pct"/>
            <w:noWrap w:val="0"/>
            <w:vAlign w:val="center"/>
          </w:tcPr>
          <w:p w14:paraId="24A57281">
            <w:pPr>
              <w:pStyle w:val="31"/>
              <w:bidi w:val="0"/>
              <w:rPr>
                <w:color w:val="auto"/>
              </w:rPr>
            </w:pPr>
            <w:r>
              <w:rPr>
                <w:color w:val="auto"/>
              </w:rPr>
              <w:t>镉</w:t>
            </w:r>
            <w:r>
              <w:rPr>
                <w:rFonts w:hint="eastAsia"/>
                <w:color w:val="auto"/>
              </w:rPr>
              <w:t>（</w:t>
            </w:r>
            <w:r>
              <w:rPr>
                <w:color w:val="auto"/>
              </w:rPr>
              <w:t>mg/L</w:t>
            </w:r>
            <w:r>
              <w:rPr>
                <w:rFonts w:hint="eastAsia"/>
                <w:color w:val="auto"/>
              </w:rPr>
              <w:t>）</w:t>
            </w:r>
          </w:p>
        </w:tc>
        <w:tc>
          <w:tcPr>
            <w:tcW w:w="548" w:type="pct"/>
            <w:noWrap w:val="0"/>
            <w:vAlign w:val="center"/>
          </w:tcPr>
          <w:p w14:paraId="0664B80A">
            <w:pPr>
              <w:pStyle w:val="31"/>
              <w:bidi w:val="0"/>
              <w:rPr>
                <w:color w:val="auto"/>
              </w:rPr>
            </w:pPr>
            <w:r>
              <w:rPr>
                <w:color w:val="auto"/>
              </w:rPr>
              <w:t>≤0.005</w:t>
            </w:r>
          </w:p>
        </w:tc>
      </w:tr>
      <w:tr w14:paraId="4905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6A90D8A9">
            <w:pPr>
              <w:pStyle w:val="31"/>
              <w:bidi w:val="0"/>
              <w:rPr>
                <w:color w:val="auto"/>
              </w:rPr>
            </w:pPr>
            <w:r>
              <w:rPr>
                <w:rFonts w:hint="eastAsia"/>
                <w:color w:val="auto"/>
              </w:rPr>
              <w:t>15</w:t>
            </w:r>
          </w:p>
        </w:tc>
        <w:tc>
          <w:tcPr>
            <w:tcW w:w="1617" w:type="pct"/>
            <w:noWrap w:val="0"/>
            <w:vAlign w:val="center"/>
          </w:tcPr>
          <w:p w14:paraId="13BA6046">
            <w:pPr>
              <w:pStyle w:val="31"/>
              <w:bidi w:val="0"/>
              <w:rPr>
                <w:color w:val="auto"/>
              </w:rPr>
            </w:pPr>
            <w:r>
              <w:rPr>
                <w:rFonts w:hint="eastAsia"/>
                <w:color w:val="auto"/>
              </w:rPr>
              <w:t>群落总数（CFU</w:t>
            </w:r>
            <w:r>
              <w:rPr>
                <w:color w:val="auto"/>
              </w:rPr>
              <w:t>/ml</w:t>
            </w:r>
            <w:r>
              <w:rPr>
                <w:rFonts w:hint="eastAsia"/>
                <w:color w:val="auto"/>
              </w:rPr>
              <w:t>）</w:t>
            </w:r>
          </w:p>
        </w:tc>
        <w:tc>
          <w:tcPr>
            <w:tcW w:w="543" w:type="pct"/>
            <w:noWrap w:val="0"/>
            <w:vAlign w:val="center"/>
          </w:tcPr>
          <w:p w14:paraId="5CA364D4">
            <w:pPr>
              <w:pStyle w:val="31"/>
              <w:bidi w:val="0"/>
              <w:rPr>
                <w:color w:val="auto"/>
              </w:rPr>
            </w:pPr>
            <w:r>
              <w:rPr>
                <w:color w:val="auto"/>
              </w:rPr>
              <w:t>≤</w:t>
            </w:r>
            <w:r>
              <w:rPr>
                <w:rFonts w:hint="eastAsia"/>
                <w:color w:val="auto"/>
              </w:rPr>
              <w:t>100</w:t>
            </w:r>
          </w:p>
        </w:tc>
        <w:tc>
          <w:tcPr>
            <w:tcW w:w="325" w:type="pct"/>
            <w:noWrap w:val="0"/>
            <w:vAlign w:val="center"/>
          </w:tcPr>
          <w:p w14:paraId="1C7CC266">
            <w:pPr>
              <w:pStyle w:val="31"/>
              <w:bidi w:val="0"/>
              <w:rPr>
                <w:color w:val="auto"/>
              </w:rPr>
            </w:pPr>
            <w:r>
              <w:rPr>
                <w:rFonts w:hint="eastAsia"/>
                <w:color w:val="auto"/>
              </w:rPr>
              <w:t>32</w:t>
            </w:r>
          </w:p>
        </w:tc>
        <w:tc>
          <w:tcPr>
            <w:tcW w:w="1641" w:type="pct"/>
            <w:noWrap w:val="0"/>
            <w:vAlign w:val="center"/>
          </w:tcPr>
          <w:p w14:paraId="7096E370">
            <w:pPr>
              <w:pStyle w:val="31"/>
              <w:bidi w:val="0"/>
              <w:rPr>
                <w:color w:val="auto"/>
              </w:rPr>
            </w:pPr>
            <w:r>
              <w:rPr>
                <w:color w:val="auto"/>
              </w:rPr>
              <w:t>铅</w:t>
            </w:r>
            <w:r>
              <w:rPr>
                <w:rFonts w:hint="eastAsia"/>
                <w:color w:val="auto"/>
              </w:rPr>
              <w:t>（</w:t>
            </w:r>
            <w:r>
              <w:rPr>
                <w:color w:val="auto"/>
              </w:rPr>
              <w:t>mg/L</w:t>
            </w:r>
            <w:r>
              <w:rPr>
                <w:rFonts w:hint="eastAsia"/>
                <w:color w:val="auto"/>
              </w:rPr>
              <w:t>）</w:t>
            </w:r>
          </w:p>
        </w:tc>
        <w:tc>
          <w:tcPr>
            <w:tcW w:w="548" w:type="pct"/>
            <w:noWrap w:val="0"/>
            <w:vAlign w:val="center"/>
          </w:tcPr>
          <w:p w14:paraId="5DCC41FB">
            <w:pPr>
              <w:pStyle w:val="31"/>
              <w:bidi w:val="0"/>
              <w:rPr>
                <w:color w:val="auto"/>
              </w:rPr>
            </w:pPr>
            <w:r>
              <w:rPr>
                <w:color w:val="auto"/>
              </w:rPr>
              <w:t>≤0.01</w:t>
            </w:r>
          </w:p>
        </w:tc>
      </w:tr>
      <w:tr w14:paraId="49FC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0C7208C5">
            <w:pPr>
              <w:pStyle w:val="31"/>
              <w:bidi w:val="0"/>
              <w:rPr>
                <w:color w:val="auto"/>
              </w:rPr>
            </w:pPr>
            <w:r>
              <w:rPr>
                <w:rFonts w:hint="eastAsia"/>
                <w:color w:val="auto"/>
              </w:rPr>
              <w:t>16</w:t>
            </w:r>
          </w:p>
        </w:tc>
        <w:tc>
          <w:tcPr>
            <w:tcW w:w="1617" w:type="pct"/>
            <w:noWrap w:val="0"/>
            <w:vAlign w:val="center"/>
          </w:tcPr>
          <w:p w14:paraId="3F381128">
            <w:pPr>
              <w:pStyle w:val="31"/>
              <w:bidi w:val="0"/>
              <w:rPr>
                <w:color w:val="auto"/>
              </w:rPr>
            </w:pPr>
            <w:r>
              <w:rPr>
                <w:rFonts w:hint="eastAsia"/>
                <w:color w:val="auto"/>
              </w:rPr>
              <w:t>铜（</w:t>
            </w:r>
            <w:r>
              <w:rPr>
                <w:color w:val="auto"/>
              </w:rPr>
              <w:t>mg/L</w:t>
            </w:r>
            <w:r>
              <w:rPr>
                <w:rFonts w:hint="eastAsia"/>
                <w:color w:val="auto"/>
              </w:rPr>
              <w:t>）</w:t>
            </w:r>
          </w:p>
        </w:tc>
        <w:tc>
          <w:tcPr>
            <w:tcW w:w="543" w:type="pct"/>
            <w:noWrap w:val="0"/>
            <w:vAlign w:val="center"/>
          </w:tcPr>
          <w:p w14:paraId="1A64DBE2">
            <w:pPr>
              <w:pStyle w:val="31"/>
              <w:bidi w:val="0"/>
              <w:rPr>
                <w:color w:val="auto"/>
              </w:rPr>
            </w:pPr>
            <w:r>
              <w:rPr>
                <w:color w:val="auto"/>
              </w:rPr>
              <w:t>≤1.0</w:t>
            </w:r>
          </w:p>
        </w:tc>
        <w:tc>
          <w:tcPr>
            <w:tcW w:w="325" w:type="pct"/>
            <w:noWrap w:val="0"/>
            <w:vAlign w:val="center"/>
          </w:tcPr>
          <w:p w14:paraId="7685AA92">
            <w:pPr>
              <w:pStyle w:val="31"/>
              <w:bidi w:val="0"/>
              <w:rPr>
                <w:color w:val="auto"/>
              </w:rPr>
            </w:pPr>
            <w:r>
              <w:rPr>
                <w:rFonts w:hint="eastAsia"/>
                <w:color w:val="auto"/>
              </w:rPr>
              <w:t>33</w:t>
            </w:r>
          </w:p>
        </w:tc>
        <w:tc>
          <w:tcPr>
            <w:tcW w:w="1641" w:type="pct"/>
            <w:noWrap w:val="0"/>
            <w:vAlign w:val="center"/>
          </w:tcPr>
          <w:p w14:paraId="078197A0">
            <w:pPr>
              <w:pStyle w:val="31"/>
              <w:bidi w:val="0"/>
              <w:rPr>
                <w:color w:val="auto"/>
              </w:rPr>
            </w:pPr>
            <w:r>
              <w:rPr>
                <w:color w:val="auto"/>
              </w:rPr>
              <w:t>铬</w:t>
            </w:r>
            <w:r>
              <w:rPr>
                <w:rFonts w:hint="eastAsia"/>
                <w:color w:val="auto"/>
              </w:rPr>
              <w:t>（</w:t>
            </w:r>
            <w:r>
              <w:rPr>
                <w:color w:val="auto"/>
              </w:rPr>
              <w:t>六价</w:t>
            </w:r>
            <w:r>
              <w:rPr>
                <w:rFonts w:hint="eastAsia"/>
                <w:color w:val="auto"/>
              </w:rPr>
              <w:t>）（</w:t>
            </w:r>
            <w:r>
              <w:rPr>
                <w:color w:val="auto"/>
              </w:rPr>
              <w:t>mg/L</w:t>
            </w:r>
            <w:r>
              <w:rPr>
                <w:rFonts w:hint="eastAsia"/>
                <w:color w:val="auto"/>
              </w:rPr>
              <w:t>）</w:t>
            </w:r>
          </w:p>
        </w:tc>
        <w:tc>
          <w:tcPr>
            <w:tcW w:w="548" w:type="pct"/>
            <w:noWrap w:val="0"/>
            <w:vAlign w:val="center"/>
          </w:tcPr>
          <w:p w14:paraId="425E1225">
            <w:pPr>
              <w:pStyle w:val="31"/>
              <w:bidi w:val="0"/>
              <w:rPr>
                <w:color w:val="auto"/>
              </w:rPr>
            </w:pPr>
            <w:r>
              <w:rPr>
                <w:color w:val="auto"/>
              </w:rPr>
              <w:t>≤0.05</w:t>
            </w:r>
          </w:p>
        </w:tc>
      </w:tr>
      <w:tr w14:paraId="26E3D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2683C072">
            <w:pPr>
              <w:pStyle w:val="31"/>
              <w:bidi w:val="0"/>
              <w:rPr>
                <w:color w:val="auto"/>
              </w:rPr>
            </w:pPr>
            <w:r>
              <w:rPr>
                <w:rFonts w:hint="eastAsia"/>
                <w:color w:val="auto"/>
              </w:rPr>
              <w:t>17</w:t>
            </w:r>
          </w:p>
        </w:tc>
        <w:tc>
          <w:tcPr>
            <w:tcW w:w="1617" w:type="pct"/>
            <w:noWrap w:val="0"/>
            <w:vAlign w:val="center"/>
          </w:tcPr>
          <w:p w14:paraId="02E484CB">
            <w:pPr>
              <w:pStyle w:val="31"/>
              <w:bidi w:val="0"/>
              <w:rPr>
                <w:color w:val="auto"/>
              </w:rPr>
            </w:pPr>
            <w:r>
              <w:rPr>
                <w:color w:val="auto"/>
              </w:rPr>
              <w:t>锌</w:t>
            </w:r>
            <w:r>
              <w:rPr>
                <w:rFonts w:hint="eastAsia"/>
                <w:color w:val="auto"/>
              </w:rPr>
              <w:t>（</w:t>
            </w:r>
            <w:r>
              <w:rPr>
                <w:color w:val="auto"/>
              </w:rPr>
              <w:t>mg/L</w:t>
            </w:r>
            <w:r>
              <w:rPr>
                <w:rFonts w:hint="eastAsia"/>
                <w:color w:val="auto"/>
              </w:rPr>
              <w:t>）</w:t>
            </w:r>
          </w:p>
        </w:tc>
        <w:tc>
          <w:tcPr>
            <w:tcW w:w="543" w:type="pct"/>
            <w:noWrap w:val="0"/>
            <w:vAlign w:val="center"/>
          </w:tcPr>
          <w:p w14:paraId="73998471">
            <w:pPr>
              <w:pStyle w:val="31"/>
              <w:bidi w:val="0"/>
              <w:rPr>
                <w:color w:val="auto"/>
              </w:rPr>
            </w:pPr>
            <w:r>
              <w:rPr>
                <w:color w:val="auto"/>
              </w:rPr>
              <w:t>≤1.0</w:t>
            </w:r>
          </w:p>
        </w:tc>
        <w:tc>
          <w:tcPr>
            <w:tcW w:w="325" w:type="pct"/>
            <w:noWrap w:val="0"/>
            <w:vAlign w:val="center"/>
          </w:tcPr>
          <w:p w14:paraId="5F2C845D">
            <w:pPr>
              <w:pStyle w:val="31"/>
              <w:bidi w:val="0"/>
              <w:rPr>
                <w:rFonts w:hint="default"/>
                <w:color w:val="auto"/>
                <w:lang w:val="en-US" w:eastAsia="zh-CN"/>
              </w:rPr>
            </w:pPr>
            <w:r>
              <w:rPr>
                <w:rFonts w:hint="eastAsia"/>
                <w:color w:val="auto"/>
                <w:lang w:val="en-US" w:eastAsia="zh-CN"/>
              </w:rPr>
              <w:t>33</w:t>
            </w:r>
          </w:p>
        </w:tc>
        <w:tc>
          <w:tcPr>
            <w:tcW w:w="1641" w:type="pct"/>
            <w:noWrap w:val="0"/>
            <w:vAlign w:val="center"/>
          </w:tcPr>
          <w:p w14:paraId="719A8412">
            <w:pPr>
              <w:pStyle w:val="31"/>
              <w:bidi w:val="0"/>
              <w:rPr>
                <w:rFonts w:hint="default"/>
                <w:color w:val="auto"/>
                <w:lang w:val="en-US" w:eastAsia="zh-CN"/>
              </w:rPr>
            </w:pPr>
            <w:r>
              <w:rPr>
                <w:rFonts w:hint="eastAsia"/>
                <w:color w:val="auto"/>
                <w:lang w:val="en-US" w:eastAsia="zh-CN"/>
              </w:rPr>
              <w:t>镍</w:t>
            </w:r>
            <w:r>
              <w:rPr>
                <w:rFonts w:hint="eastAsia"/>
                <w:color w:val="auto"/>
              </w:rPr>
              <w:t>（</w:t>
            </w:r>
            <w:r>
              <w:rPr>
                <w:color w:val="auto"/>
              </w:rPr>
              <w:t>mg/L</w:t>
            </w:r>
            <w:r>
              <w:rPr>
                <w:rFonts w:hint="eastAsia"/>
                <w:color w:val="auto"/>
              </w:rPr>
              <w:t>）</w:t>
            </w:r>
          </w:p>
        </w:tc>
        <w:tc>
          <w:tcPr>
            <w:tcW w:w="548" w:type="pct"/>
            <w:noWrap w:val="0"/>
            <w:vAlign w:val="center"/>
          </w:tcPr>
          <w:p w14:paraId="601867C7">
            <w:pPr>
              <w:pStyle w:val="31"/>
              <w:bidi w:val="0"/>
              <w:rPr>
                <w:rFonts w:hint="eastAsia"/>
                <w:color w:val="auto"/>
                <w:lang w:val="en-US" w:eastAsia="zh-CN"/>
              </w:rPr>
            </w:pPr>
            <w:r>
              <w:rPr>
                <w:color w:val="auto"/>
              </w:rPr>
              <w:t>≤0.0</w:t>
            </w:r>
            <w:r>
              <w:rPr>
                <w:rFonts w:hint="eastAsia"/>
                <w:color w:val="auto"/>
                <w:lang w:val="en-US" w:eastAsia="zh-CN"/>
              </w:rPr>
              <w:t>2</w:t>
            </w:r>
          </w:p>
        </w:tc>
      </w:tr>
    </w:tbl>
    <w:p w14:paraId="2B83CF18">
      <w:pPr>
        <w:pStyle w:val="5"/>
        <w:bidi w:val="0"/>
        <w:rPr>
          <w:color w:val="auto"/>
        </w:rPr>
      </w:pPr>
      <w:r>
        <w:rPr>
          <w:color w:val="auto"/>
        </w:rPr>
        <w:t>污染物排放标准</w:t>
      </w:r>
    </w:p>
    <w:p w14:paraId="1E66141A">
      <w:pPr>
        <w:adjustRightInd w:val="0"/>
        <w:spacing w:line="360" w:lineRule="auto"/>
        <w:ind w:firstLine="480" w:firstLineChars="200"/>
        <w:rPr>
          <w:rFonts w:ascii="Times New Roman" w:hAnsi="Times New Roman"/>
          <w:color w:val="auto"/>
          <w:sz w:val="24"/>
        </w:rPr>
      </w:pPr>
      <w:r>
        <w:rPr>
          <w:rFonts w:ascii="Times New Roman" w:hAnsi="Times New Roman"/>
          <w:color w:val="auto"/>
          <w:sz w:val="24"/>
        </w:rPr>
        <w:t>（1）废气</w:t>
      </w:r>
    </w:p>
    <w:p w14:paraId="10681AFA">
      <w:pPr>
        <w:bidi w:val="0"/>
        <w:rPr>
          <w:color w:val="auto"/>
        </w:rPr>
      </w:pPr>
      <w:r>
        <w:rPr>
          <w:rFonts w:hint="eastAsia"/>
          <w:color w:val="auto"/>
        </w:rPr>
        <w:t>施工期废气颗粒物执行《施工场地颗粒物排放标准》(DB34/4811-2024)表1监测点浓度限值，其它执行《大气污染物综合排放标准》(GB16297-1996)表2无组织排放监控浓度限值，恶臭污染物执行《恶臭污染物排放标准》(GB14554-93)表1中无组织排放厂界浓度二级标准</w:t>
      </w:r>
      <w:r>
        <w:rPr>
          <w:color w:val="auto"/>
        </w:rPr>
        <w:t>。运营期项目不产生废气。</w:t>
      </w:r>
    </w:p>
    <w:p w14:paraId="14C8C4EF">
      <w:pPr>
        <w:pStyle w:val="11"/>
        <w:bidi w:val="0"/>
        <w:rPr>
          <w:color w:val="auto"/>
        </w:rPr>
      </w:pPr>
      <w:r>
        <w:rPr>
          <w:color w:val="auto"/>
          <w:lang w:val="en-US" w:eastAsia="zh-CN"/>
        </w:rPr>
        <w:t>表</w:t>
      </w:r>
      <w:r>
        <w:rPr>
          <w:rFonts w:hint="default"/>
          <w:color w:val="auto"/>
          <w:lang w:eastAsia="zh-CN"/>
        </w:rPr>
        <w:fldChar w:fldCharType="begin"/>
      </w:r>
      <w:r>
        <w:rPr>
          <w:rFonts w:hint="default"/>
          <w:color w:val="auto"/>
          <w:lang w:eastAsia="zh-CN"/>
        </w:rPr>
        <w:instrText xml:space="preserve"> STYLEREF 2 \s \* MERGEFORMAT </w:instrText>
      </w:r>
      <w:r>
        <w:rPr>
          <w:rFonts w:hint="default"/>
          <w:color w:val="auto"/>
          <w:lang w:eastAsia="zh-CN"/>
        </w:rPr>
        <w:fldChar w:fldCharType="separate"/>
      </w:r>
      <w:r>
        <w:rPr>
          <w:rFonts w:hint="default"/>
          <w:color w:val="auto"/>
          <w:lang w:eastAsia="zh-CN"/>
        </w:rPr>
        <w:t>2.2</w:t>
      </w:r>
      <w:r>
        <w:rPr>
          <w:rFonts w:hint="default"/>
          <w:color w:val="auto"/>
          <w:lang w:eastAsia="zh-CN"/>
        </w:rPr>
        <w:fldChar w:fldCharType="end"/>
      </w:r>
      <w:r>
        <w:rPr>
          <w:color w:val="auto"/>
          <w:lang w:val="en-US" w:eastAsia="zh-CN"/>
        </w:rPr>
        <w:t>-</w:t>
      </w:r>
      <w:r>
        <w:rPr>
          <w:rFonts w:hint="default"/>
          <w:color w:val="auto"/>
          <w:lang w:eastAsia="zh-CN"/>
        </w:rPr>
        <w:fldChar w:fldCharType="begin"/>
      </w:r>
      <w:r>
        <w:rPr>
          <w:rFonts w:hint="default"/>
          <w:color w:val="auto"/>
          <w:lang w:eastAsia="zh-CN"/>
        </w:rPr>
        <w:instrText xml:space="preserve"> SEQ 表 \* MERGEFORMAT </w:instrText>
      </w:r>
      <w:r>
        <w:rPr>
          <w:rFonts w:hint="default"/>
          <w:color w:val="auto"/>
          <w:lang w:eastAsia="zh-CN"/>
        </w:rPr>
        <w:fldChar w:fldCharType="separate"/>
      </w:r>
      <w:r>
        <w:rPr>
          <w:rFonts w:hint="default"/>
          <w:color w:val="auto"/>
          <w:lang w:eastAsia="zh-CN"/>
        </w:rPr>
        <w:t>8</w:t>
      </w:r>
      <w:r>
        <w:rPr>
          <w:rFonts w:hint="default"/>
          <w:color w:val="auto"/>
          <w:lang w:eastAsia="zh-CN"/>
        </w:rPr>
        <w:fldChar w:fldCharType="end"/>
      </w:r>
      <w:r>
        <w:rPr>
          <w:color w:val="auto"/>
          <w:lang w:val="en-US" w:eastAsia="zh-CN"/>
        </w:rPr>
        <w:t>污染源大气污染物</w:t>
      </w:r>
      <w:r>
        <w:rPr>
          <w:rFonts w:hint="eastAsia"/>
          <w:color w:val="auto"/>
          <w:lang w:val="en-US" w:eastAsia="zh-CN"/>
        </w:rPr>
        <w:t>（</w:t>
      </w:r>
      <w:r>
        <w:rPr>
          <w:rFonts w:hint="default"/>
          <w:color w:val="auto"/>
          <w:lang w:val="en-US" w:eastAsia="zh-CN"/>
        </w:rPr>
        <w:t>TSP</w:t>
      </w:r>
      <w:r>
        <w:rPr>
          <w:rFonts w:hint="eastAsia"/>
          <w:color w:val="auto"/>
          <w:lang w:val="en-US" w:eastAsia="zh-CN"/>
        </w:rPr>
        <w:t>）</w:t>
      </w:r>
      <w:r>
        <w:rPr>
          <w:color w:val="auto"/>
          <w:lang w:val="en-US" w:eastAsia="zh-CN"/>
        </w:rPr>
        <w:t>排放限值</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04"/>
        <w:gridCol w:w="1382"/>
        <w:gridCol w:w="2633"/>
        <w:gridCol w:w="2697"/>
      </w:tblGrid>
      <w:tr w14:paraId="68FC3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8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CFD84C">
            <w:pPr>
              <w:pStyle w:val="31"/>
              <w:bidi w:val="0"/>
              <w:jc w:val="center"/>
              <w:rPr>
                <w:color w:val="auto"/>
              </w:rPr>
            </w:pPr>
            <w:r>
              <w:rPr>
                <w:color w:val="auto"/>
                <w:lang w:val="en-US" w:eastAsia="zh-CN"/>
              </w:rPr>
              <w:t>控制项目</w:t>
            </w:r>
          </w:p>
        </w:tc>
        <w:tc>
          <w:tcPr>
            <w:tcW w:w="13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E2C71">
            <w:pPr>
              <w:pStyle w:val="31"/>
              <w:bidi w:val="0"/>
              <w:jc w:val="center"/>
              <w:rPr>
                <w:color w:val="auto"/>
              </w:rPr>
            </w:pPr>
            <w:r>
              <w:rPr>
                <w:color w:val="auto"/>
                <w:lang w:val="en-US" w:eastAsia="zh-CN"/>
              </w:rPr>
              <w:t>单位</w:t>
            </w:r>
          </w:p>
        </w:tc>
        <w:tc>
          <w:tcPr>
            <w:tcW w:w="26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D00A3B">
            <w:pPr>
              <w:pStyle w:val="31"/>
              <w:bidi w:val="0"/>
              <w:jc w:val="center"/>
              <w:rPr>
                <w:color w:val="auto"/>
              </w:rPr>
            </w:pPr>
            <w:r>
              <w:rPr>
                <w:color w:val="auto"/>
                <w:lang w:val="en-US" w:eastAsia="zh-CN"/>
              </w:rPr>
              <w:t>监测点浓度限值</w:t>
            </w:r>
          </w:p>
        </w:tc>
        <w:tc>
          <w:tcPr>
            <w:tcW w:w="26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E2879">
            <w:pPr>
              <w:pStyle w:val="31"/>
              <w:bidi w:val="0"/>
              <w:jc w:val="center"/>
              <w:rPr>
                <w:color w:val="auto"/>
              </w:rPr>
            </w:pPr>
            <w:r>
              <w:rPr>
                <w:color w:val="auto"/>
                <w:lang w:val="en-US" w:eastAsia="zh-CN"/>
              </w:rPr>
              <w:t>达标判定依据</w:t>
            </w:r>
          </w:p>
        </w:tc>
      </w:tr>
      <w:tr w14:paraId="4D2A8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80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4FF244">
            <w:pPr>
              <w:pStyle w:val="31"/>
              <w:bidi w:val="0"/>
              <w:jc w:val="center"/>
              <w:rPr>
                <w:color w:val="auto"/>
              </w:rPr>
            </w:pPr>
            <w:r>
              <w:rPr>
                <w:color w:val="auto"/>
                <w:lang w:val="en-US" w:eastAsia="zh-CN"/>
              </w:rPr>
              <w:t>TSP</w:t>
            </w:r>
          </w:p>
        </w:tc>
        <w:tc>
          <w:tcPr>
            <w:tcW w:w="138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13A77">
            <w:pPr>
              <w:pStyle w:val="31"/>
              <w:bidi w:val="0"/>
              <w:jc w:val="center"/>
              <w:rPr>
                <w:color w:val="auto"/>
              </w:rPr>
            </w:pPr>
            <w:r>
              <w:rPr>
                <w:color w:val="auto"/>
                <w:lang w:val="en-US" w:eastAsia="zh-CN"/>
              </w:rPr>
              <w:t>μg/m³</w:t>
            </w:r>
          </w:p>
        </w:tc>
        <w:tc>
          <w:tcPr>
            <w:tcW w:w="26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AEE831">
            <w:pPr>
              <w:pStyle w:val="31"/>
              <w:bidi w:val="0"/>
              <w:jc w:val="center"/>
              <w:rPr>
                <w:color w:val="auto"/>
              </w:rPr>
            </w:pPr>
            <w:r>
              <w:rPr>
                <w:color w:val="auto"/>
                <w:lang w:val="en-US" w:eastAsia="zh-CN"/>
              </w:rPr>
              <w:t>1000</w:t>
            </w:r>
          </w:p>
        </w:tc>
        <w:tc>
          <w:tcPr>
            <w:tcW w:w="26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4B6355">
            <w:pPr>
              <w:pStyle w:val="31"/>
              <w:bidi w:val="0"/>
              <w:jc w:val="center"/>
              <w:rPr>
                <w:color w:val="auto"/>
              </w:rPr>
            </w:pPr>
            <w:r>
              <w:rPr>
                <w:color w:val="auto"/>
                <w:lang w:val="en-US" w:eastAsia="zh-CN"/>
              </w:rPr>
              <w:t>超标次数≤1次/日</w:t>
            </w:r>
          </w:p>
        </w:tc>
      </w:tr>
      <w:tr w14:paraId="0D303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8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1B9132">
            <w:pPr>
              <w:pStyle w:val="31"/>
              <w:bidi w:val="0"/>
              <w:jc w:val="center"/>
              <w:rPr>
                <w:rFonts w:hint="eastAsia"/>
                <w:color w:val="auto"/>
              </w:rPr>
            </w:pPr>
          </w:p>
        </w:tc>
        <w:tc>
          <w:tcPr>
            <w:tcW w:w="138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286584">
            <w:pPr>
              <w:pStyle w:val="31"/>
              <w:bidi w:val="0"/>
              <w:jc w:val="center"/>
              <w:rPr>
                <w:rFonts w:hint="eastAsia"/>
                <w:color w:val="auto"/>
              </w:rPr>
            </w:pPr>
          </w:p>
        </w:tc>
        <w:tc>
          <w:tcPr>
            <w:tcW w:w="26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B524B4">
            <w:pPr>
              <w:pStyle w:val="31"/>
              <w:bidi w:val="0"/>
              <w:jc w:val="center"/>
              <w:rPr>
                <w:color w:val="auto"/>
              </w:rPr>
            </w:pPr>
            <w:r>
              <w:rPr>
                <w:color w:val="auto"/>
                <w:lang w:val="en-US" w:eastAsia="zh-CN"/>
              </w:rPr>
              <w:t>500</w:t>
            </w:r>
          </w:p>
        </w:tc>
        <w:tc>
          <w:tcPr>
            <w:tcW w:w="26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AF754B">
            <w:pPr>
              <w:pStyle w:val="31"/>
              <w:bidi w:val="0"/>
              <w:jc w:val="center"/>
              <w:rPr>
                <w:color w:val="auto"/>
              </w:rPr>
            </w:pPr>
            <w:r>
              <w:rPr>
                <w:color w:val="auto"/>
                <w:lang w:val="en-US" w:eastAsia="zh-CN"/>
              </w:rPr>
              <w:t>超标次数≤6次/日</w:t>
            </w:r>
          </w:p>
        </w:tc>
      </w:tr>
      <w:tr w14:paraId="24874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516"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B2DFC0">
            <w:pPr>
              <w:pStyle w:val="31"/>
              <w:bidi w:val="0"/>
              <w:jc w:val="left"/>
              <w:rPr>
                <w:color w:val="auto"/>
                <w:lang w:val="en-US" w:eastAsia="zh-CN"/>
              </w:rPr>
            </w:pPr>
            <w:r>
              <w:rPr>
                <w:color w:val="auto"/>
                <w:lang w:val="en-US" w:eastAsia="zh-CN"/>
              </w:rPr>
              <w:t>任一监测点自整时起依次顺延15分钟的TSP浓度平均值不得超过的限值。超标次数指一个日历日96个TSP15分钟浓度平均值超过监测点浓度限值的次数。</w:t>
            </w:r>
          </w:p>
          <w:p w14:paraId="7ACB4322">
            <w:pPr>
              <w:pStyle w:val="31"/>
              <w:bidi w:val="0"/>
              <w:jc w:val="left"/>
              <w:rPr>
                <w:color w:val="auto"/>
              </w:rPr>
            </w:pPr>
            <w:r>
              <w:rPr>
                <w:color w:val="auto"/>
                <w:lang w:val="en-US" w:eastAsia="zh-CN"/>
              </w:rPr>
              <w:t>根据HJ633判定设区市AQI在200~300之间且首要污染物为PM</w:t>
            </w:r>
            <w:r>
              <w:rPr>
                <w:rFonts w:hint="eastAsia"/>
                <w:color w:val="auto"/>
                <w:lang w:val="en-US" w:eastAsia="zh-CN"/>
              </w:rPr>
              <w:t>10</w:t>
            </w:r>
            <w:r>
              <w:rPr>
                <w:color w:val="auto"/>
                <w:lang w:val="en-US" w:eastAsia="zh-CN"/>
              </w:rPr>
              <w:t>或PM</w:t>
            </w:r>
            <w:r>
              <w:rPr>
                <w:rFonts w:hint="eastAsia"/>
                <w:color w:val="auto"/>
                <w:lang w:val="en-US" w:eastAsia="zh-CN"/>
              </w:rPr>
              <w:t>2.5</w:t>
            </w:r>
            <w:r>
              <w:rPr>
                <w:color w:val="auto"/>
                <w:lang w:val="en-US" w:eastAsia="zh-CN"/>
              </w:rPr>
              <w:t>时，TSP实测值扣除200μg/m³后再进行评价。</w:t>
            </w:r>
          </w:p>
        </w:tc>
      </w:tr>
    </w:tbl>
    <w:p w14:paraId="50CB7653">
      <w:pPr>
        <w:pStyle w:val="11"/>
        <w:bidi w:val="0"/>
        <w:rPr>
          <w:color w:val="auto"/>
        </w:rPr>
      </w:pPr>
      <w:r>
        <w:rPr>
          <w:color w:val="auto"/>
          <w:lang w:val="en-US" w:eastAsia="zh-CN"/>
        </w:rPr>
        <w:t>表</w:t>
      </w:r>
      <w:r>
        <w:rPr>
          <w:rFonts w:hint="default"/>
          <w:color w:val="auto"/>
          <w:lang w:eastAsia="zh-CN"/>
        </w:rPr>
        <w:fldChar w:fldCharType="begin"/>
      </w:r>
      <w:r>
        <w:rPr>
          <w:rFonts w:hint="default"/>
          <w:color w:val="auto"/>
          <w:lang w:eastAsia="zh-CN"/>
        </w:rPr>
        <w:instrText xml:space="preserve"> STYLEREF 2 \s \* MERGEFORMAT </w:instrText>
      </w:r>
      <w:r>
        <w:rPr>
          <w:rFonts w:hint="default"/>
          <w:color w:val="auto"/>
          <w:lang w:eastAsia="zh-CN"/>
        </w:rPr>
        <w:fldChar w:fldCharType="separate"/>
      </w:r>
      <w:r>
        <w:rPr>
          <w:rFonts w:hint="default"/>
          <w:color w:val="auto"/>
          <w:lang w:eastAsia="zh-CN"/>
        </w:rPr>
        <w:t>2.2</w:t>
      </w:r>
      <w:r>
        <w:rPr>
          <w:rFonts w:hint="default"/>
          <w:color w:val="auto"/>
          <w:lang w:eastAsia="zh-CN"/>
        </w:rPr>
        <w:fldChar w:fldCharType="end"/>
      </w:r>
      <w:r>
        <w:rPr>
          <w:color w:val="auto"/>
          <w:lang w:val="en-US" w:eastAsia="zh-CN"/>
        </w:rPr>
        <w:t>-</w:t>
      </w:r>
      <w:r>
        <w:rPr>
          <w:rFonts w:hint="default"/>
          <w:color w:val="auto"/>
          <w:lang w:eastAsia="zh-CN"/>
        </w:rPr>
        <w:fldChar w:fldCharType="begin"/>
      </w:r>
      <w:r>
        <w:rPr>
          <w:rFonts w:hint="default"/>
          <w:color w:val="auto"/>
          <w:lang w:eastAsia="zh-CN"/>
        </w:rPr>
        <w:instrText xml:space="preserve"> SEQ 表 \* MERGEFORMAT </w:instrText>
      </w:r>
      <w:r>
        <w:rPr>
          <w:rFonts w:hint="default"/>
          <w:color w:val="auto"/>
          <w:lang w:eastAsia="zh-CN"/>
        </w:rPr>
        <w:fldChar w:fldCharType="separate"/>
      </w:r>
      <w:r>
        <w:rPr>
          <w:rFonts w:hint="default"/>
          <w:color w:val="auto"/>
          <w:lang w:eastAsia="zh-CN"/>
        </w:rPr>
        <w:t>9</w:t>
      </w:r>
      <w:r>
        <w:rPr>
          <w:rFonts w:hint="default"/>
          <w:color w:val="auto"/>
          <w:lang w:eastAsia="zh-CN"/>
        </w:rPr>
        <w:fldChar w:fldCharType="end"/>
      </w:r>
      <w:r>
        <w:rPr>
          <w:color w:val="auto"/>
          <w:lang w:val="en-US" w:eastAsia="zh-CN"/>
        </w:rPr>
        <w:t>大气污染物综合排放标准单位：mg/m³</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57"/>
        <w:gridCol w:w="6959"/>
      </w:tblGrid>
      <w:tr w14:paraId="2DFC9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4" w:hRule="atLeast"/>
          <w:jc w:val="center"/>
        </w:trPr>
        <w:tc>
          <w:tcPr>
            <w:tcW w:w="15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4A544A">
            <w:pPr>
              <w:pStyle w:val="31"/>
              <w:bidi w:val="0"/>
              <w:jc w:val="center"/>
              <w:rPr>
                <w:color w:val="auto"/>
              </w:rPr>
            </w:pPr>
            <w:r>
              <w:rPr>
                <w:color w:val="auto"/>
                <w:lang w:val="en-US" w:eastAsia="zh-CN"/>
              </w:rPr>
              <w:t>项目</w:t>
            </w:r>
          </w:p>
        </w:tc>
        <w:tc>
          <w:tcPr>
            <w:tcW w:w="69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2DA01">
            <w:pPr>
              <w:pStyle w:val="31"/>
              <w:bidi w:val="0"/>
              <w:jc w:val="center"/>
              <w:rPr>
                <w:color w:val="auto"/>
              </w:rPr>
            </w:pPr>
            <w:r>
              <w:rPr>
                <w:color w:val="auto"/>
                <w:lang w:val="en-US" w:eastAsia="zh-CN"/>
              </w:rPr>
              <w:t>《大气污染物综合排放标准》</w:t>
            </w:r>
            <w:r>
              <w:rPr>
                <w:rFonts w:hint="eastAsia"/>
                <w:color w:val="auto"/>
                <w:lang w:val="en-US" w:eastAsia="zh-CN"/>
              </w:rPr>
              <w:t>（</w:t>
            </w:r>
            <w:r>
              <w:rPr>
                <w:color w:val="auto"/>
                <w:lang w:val="en-US" w:eastAsia="zh-CN"/>
              </w:rPr>
              <w:t>GB16297-1996</w:t>
            </w:r>
            <w:r>
              <w:rPr>
                <w:rFonts w:hint="eastAsia"/>
                <w:color w:val="auto"/>
                <w:lang w:val="en-US" w:eastAsia="zh-CN"/>
              </w:rPr>
              <w:t>）</w:t>
            </w:r>
          </w:p>
        </w:tc>
      </w:tr>
      <w:tr w14:paraId="26A15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5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9FCF48">
            <w:pPr>
              <w:pStyle w:val="31"/>
              <w:bidi w:val="0"/>
              <w:jc w:val="center"/>
              <w:rPr>
                <w:color w:val="auto"/>
              </w:rPr>
            </w:pPr>
            <w:r>
              <w:rPr>
                <w:color w:val="auto"/>
                <w:lang w:val="en-US" w:eastAsia="zh-CN"/>
              </w:rPr>
              <w:t>SO</w:t>
            </w:r>
            <w:r>
              <w:rPr>
                <w:color w:val="auto"/>
                <w:vertAlign w:val="subscript"/>
                <w:lang w:val="en-US" w:eastAsia="zh-CN"/>
              </w:rPr>
              <w:t>2</w:t>
            </w:r>
          </w:p>
        </w:tc>
        <w:tc>
          <w:tcPr>
            <w:tcW w:w="69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B8E88">
            <w:pPr>
              <w:pStyle w:val="31"/>
              <w:bidi w:val="0"/>
              <w:jc w:val="center"/>
              <w:rPr>
                <w:color w:val="auto"/>
              </w:rPr>
            </w:pPr>
            <w:r>
              <w:rPr>
                <w:color w:val="auto"/>
                <w:lang w:val="en-US" w:eastAsia="zh-CN"/>
              </w:rPr>
              <w:t>0.40</w:t>
            </w:r>
          </w:p>
        </w:tc>
      </w:tr>
      <w:tr w14:paraId="368D4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5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AB61B">
            <w:pPr>
              <w:pStyle w:val="31"/>
              <w:bidi w:val="0"/>
              <w:jc w:val="center"/>
              <w:rPr>
                <w:rFonts w:hint="default"/>
                <w:color w:val="auto"/>
                <w:lang w:val="en-US"/>
              </w:rPr>
            </w:pPr>
            <w:r>
              <w:rPr>
                <w:color w:val="auto"/>
                <w:lang w:val="en-US" w:eastAsia="zh-CN"/>
              </w:rPr>
              <w:t>NO</w:t>
            </w:r>
            <w:r>
              <w:rPr>
                <w:rFonts w:hint="eastAsia"/>
                <w:color w:val="auto"/>
                <w:vertAlign w:val="subscript"/>
                <w:lang w:val="en-US" w:eastAsia="zh-CN"/>
              </w:rPr>
              <w:t>X</w:t>
            </w:r>
          </w:p>
        </w:tc>
        <w:tc>
          <w:tcPr>
            <w:tcW w:w="69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D5E83">
            <w:pPr>
              <w:pStyle w:val="31"/>
              <w:bidi w:val="0"/>
              <w:jc w:val="center"/>
              <w:rPr>
                <w:color w:val="auto"/>
              </w:rPr>
            </w:pPr>
            <w:r>
              <w:rPr>
                <w:color w:val="auto"/>
                <w:lang w:val="en-US" w:eastAsia="zh-CN"/>
              </w:rPr>
              <w:t>0.12</w:t>
            </w:r>
          </w:p>
        </w:tc>
      </w:tr>
    </w:tbl>
    <w:p w14:paraId="32D1C694">
      <w:pPr>
        <w:pStyle w:val="11"/>
        <w:bidi w:val="0"/>
        <w:rPr>
          <w:color w:val="auto"/>
        </w:rPr>
      </w:pPr>
      <w:r>
        <w:rPr>
          <w:color w:val="auto"/>
          <w:lang w:val="en-US" w:eastAsia="zh-CN"/>
        </w:rPr>
        <w:t>表</w:t>
      </w:r>
      <w:r>
        <w:rPr>
          <w:rFonts w:hint="default"/>
          <w:color w:val="auto"/>
          <w:lang w:eastAsia="zh-CN"/>
        </w:rPr>
        <w:fldChar w:fldCharType="begin"/>
      </w:r>
      <w:r>
        <w:rPr>
          <w:rFonts w:hint="default"/>
          <w:color w:val="auto"/>
          <w:lang w:eastAsia="zh-CN"/>
        </w:rPr>
        <w:instrText xml:space="preserve"> STYLEREF 2 \s \* MERGEFORMAT </w:instrText>
      </w:r>
      <w:r>
        <w:rPr>
          <w:rFonts w:hint="default"/>
          <w:color w:val="auto"/>
          <w:lang w:eastAsia="zh-CN"/>
        </w:rPr>
        <w:fldChar w:fldCharType="separate"/>
      </w:r>
      <w:r>
        <w:rPr>
          <w:rFonts w:hint="default"/>
          <w:color w:val="auto"/>
          <w:lang w:eastAsia="zh-CN"/>
        </w:rPr>
        <w:t>2.2</w:t>
      </w:r>
      <w:r>
        <w:rPr>
          <w:rFonts w:hint="default"/>
          <w:color w:val="auto"/>
          <w:lang w:eastAsia="zh-CN"/>
        </w:rPr>
        <w:fldChar w:fldCharType="end"/>
      </w:r>
      <w:r>
        <w:rPr>
          <w:color w:val="auto"/>
          <w:lang w:val="en-US" w:eastAsia="zh-CN"/>
        </w:rPr>
        <w:t>-</w:t>
      </w:r>
      <w:r>
        <w:rPr>
          <w:rFonts w:hint="default"/>
          <w:color w:val="auto"/>
          <w:lang w:eastAsia="zh-CN"/>
        </w:rPr>
        <w:fldChar w:fldCharType="begin"/>
      </w:r>
      <w:r>
        <w:rPr>
          <w:rFonts w:hint="default"/>
          <w:color w:val="auto"/>
          <w:lang w:eastAsia="zh-CN"/>
        </w:rPr>
        <w:instrText xml:space="preserve"> SEQ 表 \* MERGEFORMAT </w:instrText>
      </w:r>
      <w:r>
        <w:rPr>
          <w:rFonts w:hint="default"/>
          <w:color w:val="auto"/>
          <w:lang w:eastAsia="zh-CN"/>
        </w:rPr>
        <w:fldChar w:fldCharType="separate"/>
      </w:r>
      <w:r>
        <w:rPr>
          <w:rFonts w:hint="default"/>
          <w:color w:val="auto"/>
          <w:lang w:eastAsia="zh-CN"/>
        </w:rPr>
        <w:t>10</w:t>
      </w:r>
      <w:r>
        <w:rPr>
          <w:rFonts w:hint="default"/>
          <w:color w:val="auto"/>
          <w:lang w:eastAsia="zh-CN"/>
        </w:rPr>
        <w:fldChar w:fldCharType="end"/>
      </w:r>
      <w:r>
        <w:rPr>
          <w:color w:val="auto"/>
          <w:lang w:val="en-US" w:eastAsia="zh-CN"/>
        </w:rPr>
        <w:t>恶臭污染物排放标准</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186"/>
        <w:gridCol w:w="1756"/>
        <w:gridCol w:w="1803"/>
        <w:gridCol w:w="1771"/>
      </w:tblGrid>
      <w:tr w14:paraId="2D3CD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318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24B12">
            <w:pPr>
              <w:pStyle w:val="31"/>
              <w:bidi w:val="0"/>
              <w:jc w:val="center"/>
              <w:rPr>
                <w:color w:val="auto"/>
              </w:rPr>
            </w:pPr>
            <w:r>
              <w:rPr>
                <w:color w:val="auto"/>
                <w:lang w:val="en-US" w:eastAsia="zh-CN"/>
              </w:rPr>
              <w:t>《恶臭污染物排放标准》</w:t>
            </w:r>
            <w:r>
              <w:rPr>
                <w:rFonts w:hint="eastAsia"/>
                <w:color w:val="auto"/>
                <w:lang w:val="en-US" w:eastAsia="zh-CN"/>
              </w:rPr>
              <w:t>（</w:t>
            </w:r>
            <w:r>
              <w:rPr>
                <w:color w:val="auto"/>
                <w:lang w:val="en-US" w:eastAsia="zh-CN"/>
              </w:rPr>
              <w:t>GB14554-93</w:t>
            </w:r>
            <w:r>
              <w:rPr>
                <w:rFonts w:hint="eastAsia"/>
                <w:color w:val="auto"/>
                <w:lang w:val="en-US" w:eastAsia="zh-CN"/>
              </w:rPr>
              <w:t>）</w:t>
            </w:r>
            <w:r>
              <w:rPr>
                <w:color w:val="auto"/>
                <w:lang w:val="en-US" w:eastAsia="zh-CN"/>
              </w:rPr>
              <w:t>中恶臭污染物厂界标准值新改扩建项目二级标准</w:t>
            </w:r>
          </w:p>
        </w:tc>
        <w:tc>
          <w:tcPr>
            <w:tcW w:w="17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AA789">
            <w:pPr>
              <w:pStyle w:val="31"/>
              <w:bidi w:val="0"/>
              <w:jc w:val="center"/>
              <w:rPr>
                <w:rFonts w:hint="default"/>
                <w:color w:val="auto"/>
                <w:lang w:val="en-US"/>
              </w:rPr>
            </w:pPr>
            <w:r>
              <w:rPr>
                <w:color w:val="auto"/>
                <w:lang w:val="en-US" w:eastAsia="zh-CN"/>
              </w:rPr>
              <w:t>NH</w:t>
            </w:r>
            <w:r>
              <w:rPr>
                <w:rFonts w:hint="eastAsia"/>
                <w:color w:val="auto"/>
                <w:vertAlign w:val="subscript"/>
                <w:lang w:val="en-US" w:eastAsia="zh-CN"/>
              </w:rPr>
              <w:t>3</w:t>
            </w:r>
          </w:p>
        </w:tc>
        <w:tc>
          <w:tcPr>
            <w:tcW w:w="180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A7A33">
            <w:pPr>
              <w:pStyle w:val="31"/>
              <w:bidi w:val="0"/>
              <w:jc w:val="center"/>
              <w:rPr>
                <w:color w:val="auto"/>
              </w:rPr>
            </w:pPr>
            <w:r>
              <w:rPr>
                <w:color w:val="auto"/>
                <w:lang w:val="en-US" w:eastAsia="zh-CN"/>
              </w:rPr>
              <w:t>1.5mg/m³</w:t>
            </w:r>
          </w:p>
        </w:tc>
        <w:tc>
          <w:tcPr>
            <w:tcW w:w="177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86EBEC">
            <w:pPr>
              <w:pStyle w:val="31"/>
              <w:bidi w:val="0"/>
              <w:jc w:val="center"/>
              <w:rPr>
                <w:color w:val="auto"/>
              </w:rPr>
            </w:pPr>
            <w:r>
              <w:rPr>
                <w:color w:val="auto"/>
                <w:lang w:val="en-US" w:eastAsia="zh-CN"/>
              </w:rPr>
              <w:t>厂界</w:t>
            </w:r>
          </w:p>
        </w:tc>
      </w:tr>
      <w:tr w14:paraId="3D825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318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A637B1">
            <w:pPr>
              <w:pStyle w:val="31"/>
              <w:bidi w:val="0"/>
              <w:jc w:val="center"/>
              <w:rPr>
                <w:rFonts w:hint="eastAsia"/>
                <w:color w:val="auto"/>
              </w:rPr>
            </w:pPr>
          </w:p>
        </w:tc>
        <w:tc>
          <w:tcPr>
            <w:tcW w:w="17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25E24">
            <w:pPr>
              <w:pStyle w:val="31"/>
              <w:bidi w:val="0"/>
              <w:jc w:val="center"/>
              <w:rPr>
                <w:color w:val="auto"/>
              </w:rPr>
            </w:pPr>
            <w:r>
              <w:rPr>
                <w:color w:val="auto"/>
                <w:lang w:val="en-US" w:eastAsia="zh-CN"/>
              </w:rPr>
              <w:t>H</w:t>
            </w:r>
            <w:r>
              <w:rPr>
                <w:rFonts w:hint="eastAsia"/>
                <w:color w:val="auto"/>
                <w:vertAlign w:val="subscript"/>
                <w:lang w:val="en-US" w:eastAsia="zh-CN"/>
              </w:rPr>
              <w:t>2</w:t>
            </w:r>
            <w:r>
              <w:rPr>
                <w:color w:val="auto"/>
                <w:lang w:val="en-US" w:eastAsia="zh-CN"/>
              </w:rPr>
              <w:t>S</w:t>
            </w:r>
          </w:p>
        </w:tc>
        <w:tc>
          <w:tcPr>
            <w:tcW w:w="180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70DCCC">
            <w:pPr>
              <w:pStyle w:val="31"/>
              <w:bidi w:val="0"/>
              <w:jc w:val="center"/>
              <w:rPr>
                <w:color w:val="auto"/>
              </w:rPr>
            </w:pPr>
            <w:r>
              <w:rPr>
                <w:color w:val="auto"/>
                <w:lang w:val="en-US" w:eastAsia="zh-CN"/>
              </w:rPr>
              <w:t>0.06mg/m³</w:t>
            </w:r>
          </w:p>
        </w:tc>
        <w:tc>
          <w:tcPr>
            <w:tcW w:w="177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BD7020">
            <w:pPr>
              <w:pStyle w:val="31"/>
              <w:bidi w:val="0"/>
              <w:jc w:val="center"/>
              <w:rPr>
                <w:color w:val="auto"/>
              </w:rPr>
            </w:pPr>
            <w:r>
              <w:rPr>
                <w:color w:val="auto"/>
                <w:lang w:val="en-US" w:eastAsia="zh-CN"/>
              </w:rPr>
              <w:t>厂界</w:t>
            </w:r>
          </w:p>
        </w:tc>
      </w:tr>
      <w:tr w14:paraId="17FF1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318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53E2FA">
            <w:pPr>
              <w:pStyle w:val="31"/>
              <w:bidi w:val="0"/>
              <w:jc w:val="center"/>
              <w:rPr>
                <w:rFonts w:hint="eastAsia"/>
                <w:color w:val="auto"/>
              </w:rPr>
            </w:pPr>
          </w:p>
        </w:tc>
        <w:tc>
          <w:tcPr>
            <w:tcW w:w="17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A4E33">
            <w:pPr>
              <w:pStyle w:val="31"/>
              <w:bidi w:val="0"/>
              <w:jc w:val="center"/>
              <w:rPr>
                <w:color w:val="auto"/>
              </w:rPr>
            </w:pPr>
            <w:r>
              <w:rPr>
                <w:color w:val="auto"/>
                <w:lang w:val="en-US" w:eastAsia="zh-CN"/>
              </w:rPr>
              <w:t>臭气浓度</w:t>
            </w:r>
          </w:p>
        </w:tc>
        <w:tc>
          <w:tcPr>
            <w:tcW w:w="180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D02A0">
            <w:pPr>
              <w:pStyle w:val="31"/>
              <w:bidi w:val="0"/>
              <w:jc w:val="center"/>
              <w:rPr>
                <w:color w:val="auto"/>
              </w:rPr>
            </w:pPr>
            <w:r>
              <w:rPr>
                <w:color w:val="auto"/>
                <w:lang w:val="en-US" w:eastAsia="zh-CN"/>
              </w:rPr>
              <w:t>20</w:t>
            </w:r>
            <w:r>
              <w:rPr>
                <w:rFonts w:hint="eastAsia"/>
                <w:color w:val="auto"/>
                <w:lang w:val="en-US" w:eastAsia="zh-CN"/>
              </w:rPr>
              <w:t>（</w:t>
            </w:r>
            <w:r>
              <w:rPr>
                <w:color w:val="auto"/>
                <w:lang w:val="en-US" w:eastAsia="zh-CN"/>
              </w:rPr>
              <w:t>无量纲</w:t>
            </w:r>
            <w:r>
              <w:rPr>
                <w:rFonts w:hint="eastAsia"/>
                <w:color w:val="auto"/>
                <w:lang w:val="en-US" w:eastAsia="zh-CN"/>
              </w:rPr>
              <w:t>）</w:t>
            </w:r>
          </w:p>
        </w:tc>
        <w:tc>
          <w:tcPr>
            <w:tcW w:w="177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582D7">
            <w:pPr>
              <w:pStyle w:val="31"/>
              <w:bidi w:val="0"/>
              <w:jc w:val="center"/>
              <w:rPr>
                <w:color w:val="auto"/>
              </w:rPr>
            </w:pPr>
            <w:r>
              <w:rPr>
                <w:color w:val="auto"/>
                <w:lang w:val="en-US" w:eastAsia="zh-CN"/>
              </w:rPr>
              <w:t>厂界</w:t>
            </w:r>
          </w:p>
        </w:tc>
      </w:tr>
    </w:tbl>
    <w:p w14:paraId="7B16DB04">
      <w:pPr>
        <w:bidi w:val="0"/>
        <w:rPr>
          <w:color w:val="auto"/>
        </w:rPr>
      </w:pPr>
      <w:r>
        <w:rPr>
          <w:color w:val="auto"/>
        </w:rPr>
        <w:t>（2）废水</w:t>
      </w:r>
    </w:p>
    <w:p w14:paraId="09BF18F2">
      <w:pPr>
        <w:bidi w:val="0"/>
        <w:rPr>
          <w:rFonts w:hint="default" w:eastAsia="宋体"/>
          <w:color w:val="auto"/>
          <w:lang w:val="en-US" w:eastAsia="zh-CN"/>
        </w:rPr>
      </w:pPr>
      <w:r>
        <w:rPr>
          <w:color w:val="auto"/>
        </w:rPr>
        <w:t>施工期施工废水全部经收集和预处理后回用，不外排；施工期不设置施工营地，施工人员租用民房，</w:t>
      </w:r>
      <w:r>
        <w:rPr>
          <w:rFonts w:hint="eastAsia"/>
          <w:color w:val="auto"/>
        </w:rPr>
        <w:t>产生的</w:t>
      </w:r>
      <w:r>
        <w:rPr>
          <w:color w:val="auto"/>
        </w:rPr>
        <w:t>生活污水经租用民房的</w:t>
      </w:r>
      <w:r>
        <w:rPr>
          <w:rFonts w:hint="eastAsia"/>
          <w:color w:val="auto"/>
        </w:rPr>
        <w:t>化粪池</w:t>
      </w:r>
      <w:r>
        <w:rPr>
          <w:color w:val="auto"/>
        </w:rPr>
        <w:t>收集后</w:t>
      </w:r>
      <w:r>
        <w:rPr>
          <w:rFonts w:hint="eastAsia"/>
          <w:color w:val="auto"/>
        </w:rPr>
        <w:t>定期清掏不外排</w:t>
      </w:r>
      <w:r>
        <w:rPr>
          <w:color w:val="auto"/>
        </w:rPr>
        <w:t>。运营</w:t>
      </w:r>
      <w:r>
        <w:rPr>
          <w:rFonts w:hint="eastAsia"/>
          <w:color w:val="auto"/>
          <w:lang w:val="en-US" w:eastAsia="zh-CN"/>
        </w:rPr>
        <w:t>期项目不产生废水。</w:t>
      </w:r>
    </w:p>
    <w:p w14:paraId="71CFA2C7">
      <w:pPr>
        <w:bidi w:val="0"/>
        <w:rPr>
          <w:color w:val="auto"/>
        </w:rPr>
      </w:pPr>
      <w:r>
        <w:rPr>
          <w:color w:val="auto"/>
        </w:rPr>
        <w:t>（3）噪声</w:t>
      </w:r>
    </w:p>
    <w:p w14:paraId="65B2BC3C">
      <w:pPr>
        <w:bidi w:val="0"/>
        <w:rPr>
          <w:color w:val="auto"/>
        </w:rPr>
      </w:pPr>
      <w:r>
        <w:rPr>
          <w:color w:val="auto"/>
        </w:rPr>
        <w:t>项目施工期场界噪声执行《建筑施工场界环境噪声排放标准》</w:t>
      </w:r>
      <w:r>
        <w:rPr>
          <w:rFonts w:hint="eastAsia"/>
          <w:color w:val="auto"/>
          <w:lang w:eastAsia="zh-CN"/>
        </w:rPr>
        <w:t>（</w:t>
      </w:r>
      <w:r>
        <w:rPr>
          <w:color w:val="auto"/>
        </w:rPr>
        <w:t>GB12523-2011</w:t>
      </w:r>
      <w:r>
        <w:rPr>
          <w:rFonts w:hint="eastAsia"/>
          <w:color w:val="auto"/>
          <w:lang w:eastAsia="zh-CN"/>
        </w:rPr>
        <w:t>）</w:t>
      </w:r>
      <w:r>
        <w:rPr>
          <w:color w:val="auto"/>
        </w:rPr>
        <w:t>中相关要求，项目夜间不施工。具体标准值见如下表。</w:t>
      </w:r>
    </w:p>
    <w:p w14:paraId="6ADBDC62">
      <w:pPr>
        <w:pStyle w:val="11"/>
        <w:rPr>
          <w:rFonts w:hint="eastAsia" w:eastAsia="宋体"/>
          <w:color w:val="auto"/>
          <w:lang w:eastAsia="zh-CN"/>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11</w:t>
      </w:r>
      <w:r>
        <w:rPr>
          <w:color w:val="auto"/>
        </w:rPr>
        <w:fldChar w:fldCharType="end"/>
      </w:r>
      <w:r>
        <w:rPr>
          <w:color w:val="auto"/>
        </w:rPr>
        <w:t>建筑施工场界环境噪声排放限值单位：dB</w:t>
      </w:r>
      <w:r>
        <w:rPr>
          <w:rFonts w:hint="eastAsia"/>
          <w:color w:val="auto"/>
          <w:lang w:eastAsia="zh-CN"/>
        </w:rPr>
        <w:t>（</w:t>
      </w:r>
      <w:r>
        <w:rPr>
          <w:color w:val="auto"/>
        </w:rPr>
        <w:t>A</w:t>
      </w:r>
      <w:r>
        <w:rPr>
          <w:rFonts w:hint="eastAsia"/>
          <w:color w:val="auto"/>
          <w:lang w:eastAsia="zh-CN"/>
        </w:rPr>
        <w:t>）</w:t>
      </w:r>
    </w:p>
    <w:tbl>
      <w:tblPr>
        <w:tblStyle w:val="24"/>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030"/>
        <w:gridCol w:w="1139"/>
        <w:gridCol w:w="1302"/>
        <w:gridCol w:w="4194"/>
      </w:tblGrid>
      <w:tr w14:paraId="6F0A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Align w:val="center"/>
          </w:tcPr>
          <w:p w14:paraId="1014E9B3">
            <w:pPr>
              <w:pStyle w:val="31"/>
              <w:bidi w:val="0"/>
              <w:rPr>
                <w:color w:val="auto"/>
                <w:lang w:val="en-US"/>
              </w:rPr>
            </w:pPr>
            <w:r>
              <w:rPr>
                <w:color w:val="auto"/>
                <w:lang w:val="en-US"/>
              </w:rPr>
              <w:t>序号</w:t>
            </w:r>
          </w:p>
        </w:tc>
        <w:tc>
          <w:tcPr>
            <w:tcW w:w="621" w:type="pct"/>
            <w:vAlign w:val="center"/>
          </w:tcPr>
          <w:p w14:paraId="47DF6DD5">
            <w:pPr>
              <w:pStyle w:val="31"/>
              <w:bidi w:val="0"/>
              <w:rPr>
                <w:color w:val="auto"/>
                <w:lang w:val="en-US"/>
              </w:rPr>
            </w:pPr>
            <w:r>
              <w:rPr>
                <w:color w:val="auto"/>
                <w:lang w:val="en-US"/>
              </w:rPr>
              <w:t>阶段</w:t>
            </w:r>
          </w:p>
        </w:tc>
        <w:tc>
          <w:tcPr>
            <w:tcW w:w="687" w:type="pct"/>
            <w:vAlign w:val="center"/>
          </w:tcPr>
          <w:p w14:paraId="435A1711">
            <w:pPr>
              <w:pStyle w:val="31"/>
              <w:bidi w:val="0"/>
              <w:rPr>
                <w:color w:val="auto"/>
              </w:rPr>
            </w:pPr>
            <w:r>
              <w:rPr>
                <w:color w:val="auto"/>
              </w:rPr>
              <w:t>昼间</w:t>
            </w:r>
          </w:p>
        </w:tc>
        <w:tc>
          <w:tcPr>
            <w:tcW w:w="785" w:type="pct"/>
            <w:vAlign w:val="center"/>
          </w:tcPr>
          <w:p w14:paraId="69466803">
            <w:pPr>
              <w:pStyle w:val="31"/>
              <w:bidi w:val="0"/>
              <w:rPr>
                <w:color w:val="auto"/>
              </w:rPr>
            </w:pPr>
            <w:r>
              <w:rPr>
                <w:color w:val="auto"/>
              </w:rPr>
              <w:t>夜间</w:t>
            </w:r>
          </w:p>
        </w:tc>
        <w:tc>
          <w:tcPr>
            <w:tcW w:w="2529" w:type="pct"/>
            <w:vAlign w:val="center"/>
          </w:tcPr>
          <w:p w14:paraId="02A119A5">
            <w:pPr>
              <w:pStyle w:val="31"/>
              <w:bidi w:val="0"/>
              <w:rPr>
                <w:color w:val="auto"/>
              </w:rPr>
            </w:pPr>
            <w:r>
              <w:rPr>
                <w:color w:val="auto"/>
              </w:rPr>
              <w:t>标准来源</w:t>
            </w:r>
          </w:p>
        </w:tc>
      </w:tr>
      <w:tr w14:paraId="4C2A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Align w:val="center"/>
          </w:tcPr>
          <w:p w14:paraId="694510F2">
            <w:pPr>
              <w:pStyle w:val="31"/>
              <w:bidi w:val="0"/>
              <w:rPr>
                <w:color w:val="auto"/>
              </w:rPr>
            </w:pPr>
            <w:r>
              <w:rPr>
                <w:color w:val="auto"/>
              </w:rPr>
              <w:t>1</w:t>
            </w:r>
          </w:p>
        </w:tc>
        <w:tc>
          <w:tcPr>
            <w:tcW w:w="621" w:type="pct"/>
            <w:vAlign w:val="center"/>
          </w:tcPr>
          <w:p w14:paraId="63C82F16">
            <w:pPr>
              <w:pStyle w:val="31"/>
              <w:bidi w:val="0"/>
              <w:rPr>
                <w:color w:val="auto"/>
              </w:rPr>
            </w:pPr>
            <w:r>
              <w:rPr>
                <w:color w:val="auto"/>
              </w:rPr>
              <w:t>施工期</w:t>
            </w:r>
          </w:p>
        </w:tc>
        <w:tc>
          <w:tcPr>
            <w:tcW w:w="687" w:type="pct"/>
            <w:vAlign w:val="center"/>
          </w:tcPr>
          <w:p w14:paraId="352B6D9A">
            <w:pPr>
              <w:pStyle w:val="31"/>
              <w:bidi w:val="0"/>
              <w:rPr>
                <w:color w:val="auto"/>
              </w:rPr>
            </w:pPr>
            <w:r>
              <w:rPr>
                <w:color w:val="auto"/>
              </w:rPr>
              <w:t>70</w:t>
            </w:r>
          </w:p>
        </w:tc>
        <w:tc>
          <w:tcPr>
            <w:tcW w:w="785" w:type="pct"/>
            <w:vAlign w:val="center"/>
          </w:tcPr>
          <w:p w14:paraId="7397AACE">
            <w:pPr>
              <w:pStyle w:val="31"/>
              <w:bidi w:val="0"/>
              <w:rPr>
                <w:color w:val="auto"/>
              </w:rPr>
            </w:pPr>
            <w:r>
              <w:rPr>
                <w:color w:val="auto"/>
              </w:rPr>
              <w:t>55</w:t>
            </w:r>
          </w:p>
        </w:tc>
        <w:tc>
          <w:tcPr>
            <w:tcW w:w="2529" w:type="pct"/>
            <w:vAlign w:val="center"/>
          </w:tcPr>
          <w:p w14:paraId="7C5244C7">
            <w:pPr>
              <w:pStyle w:val="31"/>
              <w:bidi w:val="0"/>
              <w:rPr>
                <w:color w:val="auto"/>
              </w:rPr>
            </w:pPr>
            <w:r>
              <w:rPr>
                <w:color w:val="auto"/>
              </w:rPr>
              <w:t>《建筑施工场界环境噪声排放标准》</w:t>
            </w:r>
          </w:p>
          <w:p w14:paraId="5B7BAFDD">
            <w:pPr>
              <w:pStyle w:val="31"/>
              <w:bidi w:val="0"/>
              <w:rPr>
                <w:rFonts w:hint="eastAsia" w:eastAsia="宋体"/>
                <w:color w:val="auto"/>
                <w:lang w:eastAsia="zh-CN"/>
              </w:rPr>
            </w:pPr>
            <w:r>
              <w:rPr>
                <w:rFonts w:hint="eastAsia"/>
                <w:color w:val="auto"/>
                <w:lang w:eastAsia="zh-CN"/>
              </w:rPr>
              <w:t>（</w:t>
            </w:r>
            <w:r>
              <w:rPr>
                <w:color w:val="auto"/>
              </w:rPr>
              <w:t>GB12523-2011</w:t>
            </w:r>
            <w:r>
              <w:rPr>
                <w:rFonts w:hint="eastAsia"/>
                <w:color w:val="auto"/>
                <w:lang w:eastAsia="zh-CN"/>
              </w:rPr>
              <w:t>）</w:t>
            </w:r>
          </w:p>
        </w:tc>
      </w:tr>
    </w:tbl>
    <w:p w14:paraId="733B5B67">
      <w:pPr>
        <w:bidi w:val="0"/>
        <w:rPr>
          <w:color w:val="auto"/>
        </w:rPr>
      </w:pPr>
      <w:r>
        <w:rPr>
          <w:color w:val="auto"/>
        </w:rPr>
        <w:t>（4）固体废物</w:t>
      </w:r>
    </w:p>
    <w:p w14:paraId="6CE323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一般固体废物产生、收集、贮存、运输、利用、处置等执行《中华人民共和国固体废物污染环境防治法》等文件政策中相关要求；危险固废执行《危险废物贮存污染控制标准》（GB18597-2023）和《危险废物识别标志设置技术规范》（HJ1276-2022）要求。</w:t>
      </w:r>
    </w:p>
    <w:p w14:paraId="2217B448">
      <w:pPr>
        <w:pStyle w:val="3"/>
        <w:bidi w:val="0"/>
        <w:ind w:left="480" w:leftChars="0" w:firstLineChars="0"/>
        <w:rPr>
          <w:color w:val="auto"/>
        </w:rPr>
      </w:pPr>
      <w:bookmarkStart w:id="61" w:name="_Toc244923262"/>
      <w:bookmarkStart w:id="62" w:name="_Toc485216384"/>
      <w:bookmarkStart w:id="63" w:name="_Toc69228869"/>
      <w:bookmarkStart w:id="64" w:name="_Toc29740944"/>
      <w:bookmarkStart w:id="65" w:name="_Toc264162140"/>
      <w:bookmarkStart w:id="66" w:name="_Toc293417376"/>
      <w:bookmarkStart w:id="67" w:name="_Toc10089"/>
      <w:r>
        <w:rPr>
          <w:color w:val="auto"/>
        </w:rPr>
        <w:t>评价工作等级</w:t>
      </w:r>
      <w:bookmarkEnd w:id="61"/>
      <w:bookmarkEnd w:id="62"/>
      <w:bookmarkEnd w:id="63"/>
      <w:bookmarkEnd w:id="64"/>
      <w:bookmarkEnd w:id="65"/>
      <w:bookmarkEnd w:id="66"/>
      <w:bookmarkEnd w:id="67"/>
    </w:p>
    <w:p w14:paraId="6B16240F">
      <w:pPr>
        <w:pStyle w:val="4"/>
        <w:bidi w:val="0"/>
        <w:rPr>
          <w:color w:val="auto"/>
        </w:rPr>
      </w:pPr>
      <w:bookmarkStart w:id="68" w:name="_Toc8110"/>
      <w:r>
        <w:rPr>
          <w:rFonts w:hint="eastAsia"/>
          <w:color w:val="auto"/>
          <w:lang w:val="en-US" w:eastAsia="zh-CN"/>
        </w:rPr>
        <w:t>评</w:t>
      </w:r>
      <w:r>
        <w:rPr>
          <w:color w:val="auto"/>
        </w:rPr>
        <w:t>价工作等级</w:t>
      </w:r>
      <w:bookmarkEnd w:id="68"/>
    </w:p>
    <w:p w14:paraId="131A9041">
      <w:pPr>
        <w:pStyle w:val="5"/>
        <w:bidi w:val="0"/>
        <w:rPr>
          <w:color w:val="auto"/>
        </w:rPr>
      </w:pPr>
      <w:r>
        <w:rPr>
          <w:color w:val="auto"/>
        </w:rPr>
        <w:t>大气环境评价等级</w:t>
      </w:r>
    </w:p>
    <w:p w14:paraId="28C1A95C">
      <w:pPr>
        <w:bidi w:val="0"/>
        <w:rPr>
          <w:color w:val="auto"/>
        </w:rPr>
      </w:pPr>
      <w:r>
        <w:rPr>
          <w:color w:val="auto"/>
        </w:rPr>
        <w:t>施工期对大气的影响主要是施工期产生的扬尘、车辆尾气排放以及</w:t>
      </w:r>
      <w:r>
        <w:rPr>
          <w:rFonts w:hint="eastAsia"/>
          <w:color w:val="auto"/>
          <w:lang w:val="en-US" w:eastAsia="zh-CN"/>
        </w:rPr>
        <w:t>底泥清理</w:t>
      </w:r>
      <w:r>
        <w:rPr>
          <w:color w:val="auto"/>
        </w:rPr>
        <w:t>产生的轻微恶臭等会对局部环境空气质量产生影响，属无组织排放且产生量较小，影响时间较短。工程施工区地势平坦，大气扩散条件较好，工程施工期大气污染物对大气环境的影响</w:t>
      </w:r>
      <w:r>
        <w:rPr>
          <w:rFonts w:hint="eastAsia"/>
          <w:color w:val="auto"/>
        </w:rPr>
        <w:t>不大</w:t>
      </w:r>
      <w:r>
        <w:rPr>
          <w:color w:val="auto"/>
        </w:rPr>
        <w:t>；营运期项目本身不产生废气。根据《环境影响评价技术导则-大气环境》</w:t>
      </w:r>
      <w:r>
        <w:rPr>
          <w:b w:val="0"/>
          <w:bCs w:val="0"/>
          <w:color w:val="auto"/>
        </w:rPr>
        <w:t>（HJ2.2-2018）</w:t>
      </w:r>
      <w:r>
        <w:rPr>
          <w:color w:val="auto"/>
        </w:rPr>
        <w:t>中评价工作等级的划分，本项目大气环境评价等级为三级</w:t>
      </w:r>
      <w:r>
        <w:rPr>
          <w:rFonts w:hint="eastAsia"/>
          <w:color w:val="auto"/>
          <w:lang w:eastAsia="zh-CN"/>
        </w:rPr>
        <w:t>，</w:t>
      </w:r>
      <w:r>
        <w:rPr>
          <w:rFonts w:hint="eastAsia"/>
          <w:color w:val="auto"/>
        </w:rPr>
        <w:t>不需设置大气环境影响评价范围。</w:t>
      </w:r>
    </w:p>
    <w:p w14:paraId="63B78B40">
      <w:pPr>
        <w:pStyle w:val="5"/>
        <w:bidi w:val="0"/>
        <w:rPr>
          <w:color w:val="auto"/>
        </w:rPr>
      </w:pPr>
      <w:r>
        <w:rPr>
          <w:color w:val="auto"/>
        </w:rPr>
        <w:t>地表水环境评价等级</w:t>
      </w:r>
    </w:p>
    <w:p w14:paraId="0139892E">
      <w:pPr>
        <w:bidi w:val="0"/>
        <w:rPr>
          <w:rFonts w:hint="eastAsia"/>
          <w:color w:val="auto"/>
          <w:lang w:val="en-US" w:eastAsia="zh-CN"/>
        </w:rPr>
      </w:pPr>
      <w:r>
        <w:rPr>
          <w:rFonts w:hint="eastAsia"/>
          <w:color w:val="auto"/>
        </w:rPr>
        <w:t>根据《环境影响评价技术导则地表水环境》</w:t>
      </w:r>
      <w:r>
        <w:rPr>
          <w:rFonts w:hint="eastAsia"/>
          <w:color w:val="auto"/>
          <w:lang w:eastAsia="zh-CN"/>
        </w:rPr>
        <w:t>（</w:t>
      </w:r>
      <w:r>
        <w:rPr>
          <w:rFonts w:hint="eastAsia"/>
          <w:color w:val="auto"/>
        </w:rPr>
        <w:t>HJ2.3-2018</w:t>
      </w:r>
      <w:r>
        <w:rPr>
          <w:rFonts w:hint="eastAsia"/>
          <w:color w:val="auto"/>
          <w:lang w:eastAsia="zh-CN"/>
        </w:rPr>
        <w:t>）</w:t>
      </w:r>
      <w:r>
        <w:rPr>
          <w:rFonts w:hint="eastAsia"/>
          <w:color w:val="auto"/>
        </w:rPr>
        <w:t>，建设项目地表水环境影响评价等级按照影响类型、排放方式、排放量或影响情况、受纳水体环境质量现状、水环境保护目标等综合确定。</w:t>
      </w:r>
    </w:p>
    <w:p w14:paraId="1C050FEB">
      <w:pPr>
        <w:bidi w:val="0"/>
        <w:rPr>
          <w:color w:val="auto"/>
        </w:rPr>
      </w:pPr>
      <w:r>
        <w:rPr>
          <w:rFonts w:hint="eastAsia"/>
          <w:color w:val="auto"/>
        </w:rPr>
        <w:t>水污染影响型</w:t>
      </w:r>
      <w:r>
        <w:rPr>
          <w:rFonts w:hint="eastAsia"/>
          <w:color w:val="auto"/>
          <w:lang w:eastAsia="zh-CN"/>
        </w:rPr>
        <w:t>：</w:t>
      </w:r>
      <w:r>
        <w:rPr>
          <w:rFonts w:hint="eastAsia"/>
          <w:color w:val="auto"/>
        </w:rPr>
        <w:t>工</w:t>
      </w:r>
      <w:r>
        <w:rPr>
          <w:color w:val="auto"/>
        </w:rPr>
        <w:t>施工期施工废水全部经收集和预处理后回用，不外排；施工期不设置施工营地，施工人员租用民房，</w:t>
      </w:r>
      <w:r>
        <w:rPr>
          <w:rFonts w:hint="eastAsia"/>
          <w:color w:val="auto"/>
        </w:rPr>
        <w:t>产生的</w:t>
      </w:r>
      <w:r>
        <w:rPr>
          <w:color w:val="auto"/>
        </w:rPr>
        <w:t>生活污水经租用民房的</w:t>
      </w:r>
      <w:r>
        <w:rPr>
          <w:rFonts w:hint="eastAsia"/>
          <w:color w:val="auto"/>
        </w:rPr>
        <w:t>化粪池</w:t>
      </w:r>
      <w:r>
        <w:rPr>
          <w:color w:val="auto"/>
        </w:rPr>
        <w:t>收集后</w:t>
      </w:r>
      <w:r>
        <w:rPr>
          <w:rFonts w:hint="eastAsia"/>
          <w:color w:val="auto"/>
        </w:rPr>
        <w:t>定期清掏不外排</w:t>
      </w:r>
      <w:r>
        <w:rPr>
          <w:color w:val="auto"/>
        </w:rPr>
        <w:t>。运营</w:t>
      </w:r>
      <w:r>
        <w:rPr>
          <w:rFonts w:hint="eastAsia"/>
          <w:color w:val="auto"/>
          <w:lang w:val="en-US" w:eastAsia="zh-CN"/>
        </w:rPr>
        <w:t>期项目不产生废水。</w:t>
      </w:r>
      <w:r>
        <w:rPr>
          <w:rFonts w:hint="eastAsia"/>
          <w:color w:val="auto"/>
        </w:rPr>
        <w:t>综合以上，本工程水污染评价等级为三级B。</w:t>
      </w:r>
    </w:p>
    <w:p w14:paraId="73F28F99">
      <w:pPr>
        <w:bidi w:val="0"/>
        <w:rPr>
          <w:color w:val="auto"/>
        </w:rPr>
      </w:pPr>
      <w:r>
        <w:rPr>
          <w:rFonts w:hint="eastAsia"/>
          <w:color w:val="auto"/>
        </w:rPr>
        <w:t>水文要素影响型</w:t>
      </w:r>
      <w:r>
        <w:rPr>
          <w:rFonts w:hint="eastAsia"/>
          <w:color w:val="auto"/>
          <w:lang w:eastAsia="zh-CN"/>
        </w:rPr>
        <w:t>：</w:t>
      </w:r>
      <w:r>
        <w:rPr>
          <w:rFonts w:hint="eastAsia"/>
          <w:color w:val="auto"/>
          <w:sz w:val="24"/>
          <w:szCs w:val="24"/>
          <w:lang w:val="en-US" w:eastAsia="zh-CN"/>
        </w:rPr>
        <w:t>本项目对抛泥后形成的滩地进行开挖清理，选择枯水期进行施工作业，施工作业过程坑底高出附近水域的常水位或附近桥涵进水口标高，不进行涉水作业，故本项目不涉及</w:t>
      </w:r>
      <w:r>
        <w:rPr>
          <w:rFonts w:hint="eastAsia"/>
          <w:color w:val="auto"/>
        </w:rPr>
        <w:t>水文要素影响。</w:t>
      </w:r>
    </w:p>
    <w:p w14:paraId="0985D915">
      <w:pPr>
        <w:pStyle w:val="5"/>
        <w:bidi w:val="0"/>
        <w:rPr>
          <w:color w:val="auto"/>
        </w:rPr>
      </w:pPr>
      <w:r>
        <w:rPr>
          <w:color w:val="auto"/>
        </w:rPr>
        <w:t>地下水评价等级</w:t>
      </w:r>
    </w:p>
    <w:p w14:paraId="4EB98AED">
      <w:pPr>
        <w:bidi w:val="0"/>
        <w:rPr>
          <w:rFonts w:hint="default"/>
          <w:color w:val="auto"/>
          <w:lang w:val="en-US" w:eastAsia="zh-CN"/>
        </w:rPr>
      </w:pPr>
      <w:r>
        <w:rPr>
          <w:color w:val="auto"/>
        </w:rPr>
        <w:t>根据《环境影响评价技术导则-地下水环境》（HJ610-2016）</w:t>
      </w:r>
      <w:r>
        <w:rPr>
          <w:rFonts w:hint="eastAsia"/>
          <w:color w:val="auto"/>
          <w:lang w:val="en-US" w:eastAsia="zh-CN"/>
        </w:rPr>
        <w:t>附录A</w:t>
      </w:r>
      <w:r>
        <w:rPr>
          <w:color w:val="auto"/>
        </w:rPr>
        <w:t>，</w:t>
      </w:r>
      <w:r>
        <w:rPr>
          <w:rFonts w:hint="eastAsia"/>
          <w:color w:val="auto"/>
        </w:rPr>
        <w:t>本项目属于</w:t>
      </w:r>
      <w:r>
        <w:rPr>
          <w:rFonts w:hint="eastAsia"/>
          <w:color w:val="auto"/>
          <w:lang w:eastAsia="zh-CN"/>
        </w:rPr>
        <w:t>“</w:t>
      </w:r>
      <w:r>
        <w:rPr>
          <w:rFonts w:hint="eastAsia"/>
          <w:color w:val="auto"/>
          <w:lang w:val="en-US" w:eastAsia="zh-CN"/>
        </w:rPr>
        <w:t>A水利-1、河湖整治工程中涉及环境敏感区</w:t>
      </w:r>
      <w:r>
        <w:rPr>
          <w:rFonts w:hint="eastAsia"/>
          <w:color w:val="auto"/>
          <w:lang w:eastAsia="zh-CN"/>
        </w:rPr>
        <w:t>”，</w:t>
      </w:r>
      <w:r>
        <w:rPr>
          <w:rFonts w:hint="eastAsia"/>
          <w:color w:val="auto"/>
          <w:lang w:val="en-US" w:eastAsia="zh-CN"/>
        </w:rPr>
        <w:t>属于</w:t>
      </w:r>
      <w:r>
        <w:rPr>
          <w:rFonts w:hint="eastAsia"/>
          <w:color w:val="auto"/>
        </w:rPr>
        <w:t>Ⅲ类项目</w:t>
      </w:r>
      <w:r>
        <w:rPr>
          <w:rFonts w:hint="eastAsia"/>
          <w:color w:val="auto"/>
          <w:lang w:eastAsia="zh-CN"/>
        </w:rPr>
        <w:t>，</w:t>
      </w:r>
      <w:r>
        <w:rPr>
          <w:rFonts w:hint="eastAsia"/>
          <w:color w:val="auto"/>
          <w:lang w:val="en-US" w:eastAsia="zh-CN"/>
        </w:rPr>
        <w:t>本项目地块均不涉及地下水敏感区，建设项目的地下水敏感特征为不敏感。根据《环境影响评价技术导则-地下水环境》（HJ610-2016）中要求，确定本项目地下水环境影响评价工作等级为三级。</w:t>
      </w:r>
    </w:p>
    <w:p w14:paraId="40408821">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ascii="Times New Roman" w:hAnsi="Times New Roman"/>
          <w:b/>
          <w:color w:val="auto"/>
          <w:sz w:val="21"/>
          <w:szCs w:val="21"/>
        </w:rPr>
        <w:t>地下水环境敏感程度分级表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3"/>
        <w:gridCol w:w="7353"/>
      </w:tblGrid>
      <w:tr w14:paraId="7A3F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83" w:type="pct"/>
            <w:vAlign w:val="center"/>
          </w:tcPr>
          <w:p w14:paraId="1155A79F">
            <w:pPr>
              <w:pStyle w:val="31"/>
              <w:bidi w:val="0"/>
              <w:rPr>
                <w:b/>
                <w:bCs w:val="0"/>
                <w:color w:val="auto"/>
              </w:rPr>
            </w:pPr>
            <w:r>
              <w:rPr>
                <w:b/>
                <w:bCs w:val="0"/>
                <w:color w:val="auto"/>
              </w:rPr>
              <w:t>敏感程度</w:t>
            </w:r>
          </w:p>
        </w:tc>
        <w:tc>
          <w:tcPr>
            <w:tcW w:w="4317" w:type="pct"/>
            <w:vAlign w:val="center"/>
          </w:tcPr>
          <w:p w14:paraId="77214FC4">
            <w:pPr>
              <w:pStyle w:val="31"/>
              <w:bidi w:val="0"/>
              <w:rPr>
                <w:b/>
                <w:bCs w:val="0"/>
                <w:color w:val="auto"/>
              </w:rPr>
            </w:pPr>
            <w:r>
              <w:rPr>
                <w:b/>
                <w:bCs w:val="0"/>
                <w:color w:val="auto"/>
              </w:rPr>
              <w:t>地下水环境敏感特征</w:t>
            </w:r>
          </w:p>
        </w:tc>
      </w:tr>
      <w:tr w14:paraId="5599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3" w:type="pct"/>
            <w:vAlign w:val="center"/>
          </w:tcPr>
          <w:p w14:paraId="73A6931F">
            <w:pPr>
              <w:pStyle w:val="31"/>
              <w:bidi w:val="0"/>
              <w:rPr>
                <w:color w:val="auto"/>
              </w:rPr>
            </w:pPr>
            <w:r>
              <w:rPr>
                <w:color w:val="auto"/>
              </w:rPr>
              <w:t>敏感</w:t>
            </w:r>
          </w:p>
        </w:tc>
        <w:tc>
          <w:tcPr>
            <w:tcW w:w="4317" w:type="pct"/>
            <w:vAlign w:val="center"/>
          </w:tcPr>
          <w:p w14:paraId="0EA1F784">
            <w:pPr>
              <w:pStyle w:val="31"/>
              <w:bidi w:val="0"/>
              <w:rPr>
                <w:color w:val="auto"/>
              </w:rPr>
            </w:pPr>
            <w:r>
              <w:rPr>
                <w:color w:val="auto"/>
              </w:rPr>
              <w:t>集中式饮用水源（包括已建成的在用、备用、应急水源地，在建和规划的饮用水源）准保护区；除集中式饮用水源以外的国家或地方政府设定的与地下水环境相关的其它保护区，如热水、矿泉水、温泉等特殊地下水资源保护区；</w:t>
            </w:r>
          </w:p>
        </w:tc>
      </w:tr>
      <w:tr w14:paraId="1553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3" w:type="pct"/>
            <w:tcBorders>
              <w:bottom w:val="single" w:color="auto" w:sz="4" w:space="0"/>
            </w:tcBorders>
            <w:shd w:val="clear" w:color="auto" w:fill="auto"/>
            <w:vAlign w:val="center"/>
          </w:tcPr>
          <w:p w14:paraId="59589689">
            <w:pPr>
              <w:pStyle w:val="31"/>
              <w:bidi w:val="0"/>
              <w:rPr>
                <w:color w:val="auto"/>
              </w:rPr>
            </w:pPr>
            <w:r>
              <w:rPr>
                <w:color w:val="auto"/>
              </w:rPr>
              <w:t>较敏感</w:t>
            </w:r>
          </w:p>
        </w:tc>
        <w:tc>
          <w:tcPr>
            <w:tcW w:w="4317" w:type="pct"/>
            <w:tcBorders>
              <w:bottom w:val="single" w:color="auto" w:sz="4" w:space="0"/>
            </w:tcBorders>
            <w:shd w:val="clear" w:color="auto" w:fill="auto"/>
            <w:vAlign w:val="center"/>
          </w:tcPr>
          <w:p w14:paraId="2DE8E6C2">
            <w:pPr>
              <w:pStyle w:val="31"/>
              <w:bidi w:val="0"/>
              <w:rPr>
                <w:color w:val="auto"/>
              </w:rPr>
            </w:pPr>
            <w:r>
              <w:rPr>
                <w:color w:val="auto"/>
              </w:rPr>
              <w:t>集中式饮用水源（包括已建成的在用、备用、应急水源地，在建和规划的饮用水源）准保护区以外的补给径流区；未划定准保护区的集中水式饮用水水源，其保护区以外的补给径流区；分散式饮用水源地：特殊地下水资源（如矿泉水、温泉等）保护区以外的分布区等其它未列入上述敏感分级的环境敏感区</w:t>
            </w:r>
          </w:p>
        </w:tc>
      </w:tr>
      <w:tr w14:paraId="0FB92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3" w:type="pct"/>
            <w:shd w:val="clear" w:color="auto" w:fill="D7D7D7" w:themeFill="background1" w:themeFillShade="D8"/>
            <w:vAlign w:val="center"/>
          </w:tcPr>
          <w:p w14:paraId="18CF3BF3">
            <w:pPr>
              <w:pStyle w:val="31"/>
              <w:bidi w:val="0"/>
              <w:rPr>
                <w:color w:val="auto"/>
              </w:rPr>
            </w:pPr>
            <w:r>
              <w:rPr>
                <w:color w:val="auto"/>
              </w:rPr>
              <w:t>不敏感</w:t>
            </w:r>
          </w:p>
        </w:tc>
        <w:tc>
          <w:tcPr>
            <w:tcW w:w="4317" w:type="pct"/>
            <w:shd w:val="clear" w:color="auto" w:fill="D7D7D7" w:themeFill="background1" w:themeFillShade="D8"/>
            <w:vAlign w:val="center"/>
          </w:tcPr>
          <w:p w14:paraId="4786AC28">
            <w:pPr>
              <w:pStyle w:val="31"/>
              <w:bidi w:val="0"/>
              <w:rPr>
                <w:color w:val="auto"/>
              </w:rPr>
            </w:pPr>
            <w:r>
              <w:rPr>
                <w:color w:val="auto"/>
              </w:rPr>
              <w:t>上述地区之外的其它地区。</w:t>
            </w:r>
          </w:p>
        </w:tc>
      </w:tr>
      <w:tr w14:paraId="4242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2"/>
            <w:vAlign w:val="center"/>
          </w:tcPr>
          <w:p w14:paraId="0E5AC2CD">
            <w:pPr>
              <w:pStyle w:val="31"/>
              <w:bidi w:val="0"/>
              <w:rPr>
                <w:color w:val="auto"/>
              </w:rPr>
            </w:pPr>
            <w:r>
              <w:rPr>
                <w:color w:val="auto"/>
              </w:rPr>
              <w:t>注：a“环境敏感区”指《建设项目环境影响评价分类管理名录》中所界定的涉及地下水的环境敏感区</w:t>
            </w:r>
          </w:p>
        </w:tc>
      </w:tr>
    </w:tbl>
    <w:p w14:paraId="5182BE6B">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ascii="Times New Roman" w:hAnsi="Times New Roman"/>
          <w:b/>
          <w:color w:val="auto"/>
          <w:sz w:val="21"/>
          <w:szCs w:val="21"/>
        </w:rPr>
        <w:t>本项目地下水评价工作等级划分依据表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1905"/>
        <w:gridCol w:w="1982"/>
        <w:gridCol w:w="2077"/>
      </w:tblGrid>
      <w:tr w14:paraId="4775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98" w:type="pct"/>
            <w:tcBorders>
              <w:tl2br w:val="single" w:color="auto" w:sz="4" w:space="0"/>
            </w:tcBorders>
            <w:vAlign w:val="center"/>
          </w:tcPr>
          <w:p w14:paraId="25B9BE47">
            <w:pPr>
              <w:pStyle w:val="31"/>
              <w:bidi w:val="0"/>
              <w:jc w:val="right"/>
              <w:rPr>
                <w:b/>
                <w:bCs w:val="0"/>
                <w:color w:val="auto"/>
              </w:rPr>
            </w:pPr>
            <w:r>
              <w:rPr>
                <w:b/>
                <w:bCs w:val="0"/>
                <w:color w:val="auto"/>
              </w:rPr>
              <w:t>项目类别</w:t>
            </w:r>
          </w:p>
          <w:p w14:paraId="65B18456">
            <w:pPr>
              <w:pStyle w:val="31"/>
              <w:bidi w:val="0"/>
              <w:jc w:val="left"/>
              <w:rPr>
                <w:b/>
                <w:bCs w:val="0"/>
                <w:color w:val="auto"/>
              </w:rPr>
            </w:pPr>
            <w:r>
              <w:rPr>
                <w:b/>
                <w:bCs w:val="0"/>
                <w:color w:val="auto"/>
              </w:rPr>
              <w:t>环境敏感程度</w:t>
            </w:r>
          </w:p>
        </w:tc>
        <w:tc>
          <w:tcPr>
            <w:tcW w:w="1118" w:type="pct"/>
            <w:vAlign w:val="center"/>
          </w:tcPr>
          <w:p w14:paraId="26B4A1AF">
            <w:pPr>
              <w:pStyle w:val="31"/>
              <w:bidi w:val="0"/>
              <w:rPr>
                <w:b/>
                <w:bCs w:val="0"/>
                <w:color w:val="auto"/>
              </w:rPr>
            </w:pPr>
            <w:r>
              <w:rPr>
                <w:rFonts w:hint="eastAsia"/>
                <w:b/>
                <w:bCs w:val="0"/>
                <w:color w:val="auto"/>
              </w:rPr>
              <w:t>Ⅰ</w:t>
            </w:r>
            <w:r>
              <w:rPr>
                <w:b/>
                <w:bCs w:val="0"/>
                <w:color w:val="auto"/>
              </w:rPr>
              <w:t>类项目</w:t>
            </w:r>
          </w:p>
        </w:tc>
        <w:tc>
          <w:tcPr>
            <w:tcW w:w="1163" w:type="pct"/>
            <w:vAlign w:val="center"/>
          </w:tcPr>
          <w:p w14:paraId="0C950D6D">
            <w:pPr>
              <w:pStyle w:val="31"/>
              <w:bidi w:val="0"/>
              <w:rPr>
                <w:b/>
                <w:bCs w:val="0"/>
                <w:color w:val="auto"/>
              </w:rPr>
            </w:pPr>
            <w:r>
              <w:rPr>
                <w:rFonts w:hint="eastAsia"/>
                <w:b/>
                <w:bCs w:val="0"/>
                <w:color w:val="auto"/>
              </w:rPr>
              <w:t>Ⅱ</w:t>
            </w:r>
            <w:r>
              <w:rPr>
                <w:b/>
                <w:bCs w:val="0"/>
                <w:color w:val="auto"/>
              </w:rPr>
              <w:t>类项目</w:t>
            </w:r>
          </w:p>
        </w:tc>
        <w:tc>
          <w:tcPr>
            <w:tcW w:w="1219" w:type="pct"/>
            <w:vAlign w:val="center"/>
          </w:tcPr>
          <w:p w14:paraId="72A14170">
            <w:pPr>
              <w:pStyle w:val="31"/>
              <w:bidi w:val="0"/>
              <w:rPr>
                <w:b/>
                <w:bCs w:val="0"/>
                <w:color w:val="auto"/>
              </w:rPr>
            </w:pPr>
            <w:r>
              <w:rPr>
                <w:rFonts w:hint="eastAsia"/>
                <w:b/>
                <w:bCs w:val="0"/>
                <w:color w:val="auto"/>
              </w:rPr>
              <w:t>Ⅲ</w:t>
            </w:r>
            <w:r>
              <w:rPr>
                <w:b/>
                <w:bCs w:val="0"/>
                <w:color w:val="auto"/>
              </w:rPr>
              <w:t>类项目</w:t>
            </w:r>
          </w:p>
        </w:tc>
      </w:tr>
      <w:tr w14:paraId="005D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98" w:type="pct"/>
            <w:vAlign w:val="center"/>
          </w:tcPr>
          <w:p w14:paraId="1877853E">
            <w:pPr>
              <w:pStyle w:val="31"/>
              <w:bidi w:val="0"/>
              <w:rPr>
                <w:color w:val="auto"/>
              </w:rPr>
            </w:pPr>
            <w:r>
              <w:rPr>
                <w:color w:val="auto"/>
              </w:rPr>
              <w:t>敏感</w:t>
            </w:r>
          </w:p>
        </w:tc>
        <w:tc>
          <w:tcPr>
            <w:tcW w:w="1118" w:type="pct"/>
            <w:vAlign w:val="center"/>
          </w:tcPr>
          <w:p w14:paraId="69E5C465">
            <w:pPr>
              <w:pStyle w:val="31"/>
              <w:bidi w:val="0"/>
              <w:rPr>
                <w:color w:val="auto"/>
              </w:rPr>
            </w:pPr>
            <w:r>
              <w:rPr>
                <w:color w:val="auto"/>
              </w:rPr>
              <w:t>一</w:t>
            </w:r>
          </w:p>
        </w:tc>
        <w:tc>
          <w:tcPr>
            <w:tcW w:w="1163" w:type="pct"/>
            <w:vAlign w:val="center"/>
          </w:tcPr>
          <w:p w14:paraId="6440936A">
            <w:pPr>
              <w:pStyle w:val="31"/>
              <w:bidi w:val="0"/>
              <w:rPr>
                <w:color w:val="auto"/>
              </w:rPr>
            </w:pPr>
            <w:r>
              <w:rPr>
                <w:color w:val="auto"/>
              </w:rPr>
              <w:t>一</w:t>
            </w:r>
          </w:p>
        </w:tc>
        <w:tc>
          <w:tcPr>
            <w:tcW w:w="1219" w:type="pct"/>
            <w:vAlign w:val="center"/>
          </w:tcPr>
          <w:p w14:paraId="1E82A67B">
            <w:pPr>
              <w:pStyle w:val="31"/>
              <w:bidi w:val="0"/>
              <w:rPr>
                <w:color w:val="auto"/>
              </w:rPr>
            </w:pPr>
            <w:r>
              <w:rPr>
                <w:color w:val="auto"/>
              </w:rPr>
              <w:t>二</w:t>
            </w:r>
          </w:p>
        </w:tc>
      </w:tr>
      <w:tr w14:paraId="13E8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98" w:type="pct"/>
            <w:vAlign w:val="center"/>
          </w:tcPr>
          <w:p w14:paraId="70D11FED">
            <w:pPr>
              <w:pStyle w:val="31"/>
              <w:bidi w:val="0"/>
              <w:rPr>
                <w:color w:val="auto"/>
              </w:rPr>
            </w:pPr>
            <w:r>
              <w:rPr>
                <w:color w:val="auto"/>
              </w:rPr>
              <w:t>较敏感</w:t>
            </w:r>
          </w:p>
        </w:tc>
        <w:tc>
          <w:tcPr>
            <w:tcW w:w="1118" w:type="pct"/>
            <w:vAlign w:val="center"/>
          </w:tcPr>
          <w:p w14:paraId="690E4FE0">
            <w:pPr>
              <w:pStyle w:val="31"/>
              <w:bidi w:val="0"/>
              <w:rPr>
                <w:color w:val="auto"/>
              </w:rPr>
            </w:pPr>
            <w:r>
              <w:rPr>
                <w:color w:val="auto"/>
              </w:rPr>
              <w:t>一</w:t>
            </w:r>
          </w:p>
        </w:tc>
        <w:tc>
          <w:tcPr>
            <w:tcW w:w="1163" w:type="pct"/>
            <w:vAlign w:val="center"/>
          </w:tcPr>
          <w:p w14:paraId="552781E1">
            <w:pPr>
              <w:pStyle w:val="31"/>
              <w:bidi w:val="0"/>
              <w:rPr>
                <w:color w:val="auto"/>
              </w:rPr>
            </w:pPr>
            <w:r>
              <w:rPr>
                <w:color w:val="auto"/>
              </w:rPr>
              <w:t>二</w:t>
            </w:r>
          </w:p>
        </w:tc>
        <w:tc>
          <w:tcPr>
            <w:tcW w:w="1219" w:type="pct"/>
            <w:tcBorders>
              <w:bottom w:val="single" w:color="auto" w:sz="4" w:space="0"/>
            </w:tcBorders>
            <w:shd w:val="clear" w:color="auto" w:fill="auto"/>
            <w:vAlign w:val="center"/>
          </w:tcPr>
          <w:p w14:paraId="0781B2D9">
            <w:pPr>
              <w:pStyle w:val="31"/>
              <w:bidi w:val="0"/>
              <w:rPr>
                <w:color w:val="auto"/>
              </w:rPr>
            </w:pPr>
            <w:r>
              <w:rPr>
                <w:color w:val="auto"/>
              </w:rPr>
              <w:t>三</w:t>
            </w:r>
          </w:p>
        </w:tc>
      </w:tr>
      <w:tr w14:paraId="20360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98" w:type="pct"/>
            <w:shd w:val="clear" w:color="auto" w:fill="auto"/>
            <w:vAlign w:val="center"/>
          </w:tcPr>
          <w:p w14:paraId="46089401">
            <w:pPr>
              <w:pStyle w:val="31"/>
              <w:bidi w:val="0"/>
              <w:rPr>
                <w:color w:val="auto"/>
              </w:rPr>
            </w:pPr>
            <w:r>
              <w:rPr>
                <w:color w:val="auto"/>
              </w:rPr>
              <w:t>不敏感</w:t>
            </w:r>
          </w:p>
        </w:tc>
        <w:tc>
          <w:tcPr>
            <w:tcW w:w="1118" w:type="pct"/>
            <w:shd w:val="clear" w:color="auto" w:fill="auto"/>
            <w:vAlign w:val="center"/>
          </w:tcPr>
          <w:p w14:paraId="603A8C44">
            <w:pPr>
              <w:pStyle w:val="31"/>
              <w:bidi w:val="0"/>
              <w:rPr>
                <w:color w:val="auto"/>
              </w:rPr>
            </w:pPr>
            <w:r>
              <w:rPr>
                <w:color w:val="auto"/>
              </w:rPr>
              <w:t>二</w:t>
            </w:r>
          </w:p>
        </w:tc>
        <w:tc>
          <w:tcPr>
            <w:tcW w:w="1163" w:type="pct"/>
            <w:shd w:val="clear" w:color="auto" w:fill="auto"/>
            <w:vAlign w:val="center"/>
          </w:tcPr>
          <w:p w14:paraId="3F56B5D3">
            <w:pPr>
              <w:pStyle w:val="31"/>
              <w:bidi w:val="0"/>
              <w:rPr>
                <w:color w:val="auto"/>
              </w:rPr>
            </w:pPr>
            <w:r>
              <w:rPr>
                <w:color w:val="auto"/>
              </w:rPr>
              <w:t>三</w:t>
            </w:r>
          </w:p>
        </w:tc>
        <w:tc>
          <w:tcPr>
            <w:tcW w:w="1219" w:type="pct"/>
            <w:shd w:val="clear" w:color="auto" w:fill="D7D7D7" w:themeFill="background1" w:themeFillShade="D8"/>
            <w:vAlign w:val="center"/>
          </w:tcPr>
          <w:p w14:paraId="712FF179">
            <w:pPr>
              <w:pStyle w:val="31"/>
              <w:bidi w:val="0"/>
              <w:rPr>
                <w:color w:val="auto"/>
              </w:rPr>
            </w:pPr>
            <w:r>
              <w:rPr>
                <w:color w:val="auto"/>
              </w:rPr>
              <w:t>三</w:t>
            </w:r>
          </w:p>
        </w:tc>
      </w:tr>
    </w:tbl>
    <w:p w14:paraId="2C1BC0F7">
      <w:pPr>
        <w:pStyle w:val="5"/>
        <w:bidi w:val="0"/>
        <w:rPr>
          <w:color w:val="auto"/>
        </w:rPr>
      </w:pPr>
      <w:r>
        <w:rPr>
          <w:color w:val="auto"/>
        </w:rPr>
        <w:t>声环境影响评价工作等级</w:t>
      </w:r>
    </w:p>
    <w:p w14:paraId="50DCC5C3">
      <w:pPr>
        <w:bidi w:val="0"/>
        <w:rPr>
          <w:color w:val="auto"/>
        </w:rPr>
      </w:pPr>
      <w:r>
        <w:rPr>
          <w:color w:val="auto"/>
        </w:rPr>
        <w:t>项目所经区域属于噪声区划中的</w:t>
      </w:r>
      <w:r>
        <w:rPr>
          <w:rFonts w:hint="eastAsia"/>
          <w:color w:val="auto"/>
          <w:lang w:val="en-US" w:eastAsia="zh-CN"/>
        </w:rPr>
        <w:t>2</w:t>
      </w:r>
      <w:r>
        <w:rPr>
          <w:color w:val="auto"/>
        </w:rPr>
        <w:t>类区，本项目施工期产生的噪声主要是清淤</w:t>
      </w:r>
      <w:r>
        <w:rPr>
          <w:rFonts w:hint="eastAsia"/>
          <w:color w:val="auto"/>
        </w:rPr>
        <w:t>等</w:t>
      </w:r>
      <w:r>
        <w:rPr>
          <w:color w:val="auto"/>
        </w:rPr>
        <w:t>工程施工过程中的机械噪声、运输车辆行驶噪声等，对项目所在区域的影响均是短期影响，</w:t>
      </w:r>
      <w:r>
        <w:rPr>
          <w:rFonts w:hint="eastAsia"/>
          <w:color w:val="auto"/>
        </w:rPr>
        <w:t>施工时采用隔声等措施减少对周边环境的影响，并</w:t>
      </w:r>
      <w:r>
        <w:rPr>
          <w:color w:val="auto"/>
        </w:rPr>
        <w:t>将随着施工期的结束而消除，不会影响项目区域的原有噪声环境功能级别，运营期</w:t>
      </w:r>
      <w:r>
        <w:rPr>
          <w:rFonts w:hint="eastAsia"/>
          <w:color w:val="auto"/>
          <w:lang w:val="en-US" w:eastAsia="zh-CN"/>
        </w:rPr>
        <w:t>无噪声污染</w:t>
      </w:r>
      <w:r>
        <w:rPr>
          <w:color w:val="auto"/>
        </w:rPr>
        <w:t>。根据《环境影响评价技术导则声环境》</w:t>
      </w:r>
      <w:r>
        <w:rPr>
          <w:rFonts w:hint="eastAsia"/>
          <w:color w:val="auto"/>
          <w:lang w:eastAsia="zh-CN"/>
        </w:rPr>
        <w:t>（HJ2.4-2021）</w:t>
      </w:r>
      <w:r>
        <w:rPr>
          <w:color w:val="auto"/>
        </w:rPr>
        <w:t>中关于评价等级划分的规定，</w:t>
      </w:r>
      <w:r>
        <w:rPr>
          <w:rFonts w:hint="eastAsia"/>
          <w:color w:val="auto"/>
          <w:lang w:eastAsia="zh-CN"/>
        </w:rPr>
        <w:t>“</w:t>
      </w:r>
      <w:r>
        <w:rPr>
          <w:color w:val="auto"/>
        </w:rPr>
        <w:t>建设项目所处的声环境功能区为GB3096规定的1类、2类地区，或建设项目建设前后评价范围内敏感点目标噪声级增高量在3dB</w:t>
      </w:r>
      <w:r>
        <w:rPr>
          <w:rFonts w:hint="eastAsia"/>
          <w:color w:val="auto"/>
          <w:lang w:eastAsia="zh-CN"/>
        </w:rPr>
        <w:t>（</w:t>
      </w:r>
      <w:r>
        <w:rPr>
          <w:color w:val="auto"/>
        </w:rPr>
        <w:t>A</w:t>
      </w:r>
      <w:r>
        <w:rPr>
          <w:rFonts w:hint="eastAsia"/>
          <w:color w:val="auto"/>
          <w:lang w:eastAsia="zh-CN"/>
        </w:rPr>
        <w:t>）</w:t>
      </w:r>
      <w:r>
        <w:rPr>
          <w:color w:val="auto"/>
        </w:rPr>
        <w:t>-5dB</w:t>
      </w:r>
      <w:r>
        <w:rPr>
          <w:rFonts w:hint="eastAsia"/>
          <w:color w:val="auto"/>
          <w:lang w:eastAsia="zh-CN"/>
        </w:rPr>
        <w:t>（</w:t>
      </w:r>
      <w:r>
        <w:rPr>
          <w:color w:val="auto"/>
        </w:rPr>
        <w:t>A</w:t>
      </w:r>
      <w:r>
        <w:rPr>
          <w:rFonts w:hint="eastAsia"/>
          <w:color w:val="auto"/>
          <w:lang w:eastAsia="zh-CN"/>
        </w:rPr>
        <w:t>）</w:t>
      </w:r>
      <w:r>
        <w:rPr>
          <w:color w:val="auto"/>
        </w:rPr>
        <w:t>，或受影响人口数量增加较多时，按二级评价</w:t>
      </w:r>
      <w:r>
        <w:rPr>
          <w:rFonts w:hint="eastAsia"/>
          <w:color w:val="auto"/>
          <w:lang w:eastAsia="zh-CN"/>
        </w:rPr>
        <w:t>”</w:t>
      </w:r>
      <w:r>
        <w:rPr>
          <w:color w:val="auto"/>
        </w:rPr>
        <w:t>，本项目的声环境功能区为</w:t>
      </w:r>
      <w:r>
        <w:rPr>
          <w:rFonts w:hint="eastAsia"/>
          <w:color w:val="auto"/>
          <w:lang w:val="en-US" w:eastAsia="zh-CN"/>
        </w:rPr>
        <w:t>2</w:t>
      </w:r>
      <w:r>
        <w:rPr>
          <w:color w:val="auto"/>
        </w:rPr>
        <w:t>类，建设前后受影响人口数量变化不多，评价范围内的敏感点目标噪声级增高量在3dB</w:t>
      </w:r>
      <w:r>
        <w:rPr>
          <w:rFonts w:hint="eastAsia"/>
          <w:color w:val="auto"/>
          <w:lang w:eastAsia="zh-CN"/>
        </w:rPr>
        <w:t>（</w:t>
      </w:r>
      <w:r>
        <w:rPr>
          <w:color w:val="auto"/>
        </w:rPr>
        <w:t>A</w:t>
      </w:r>
      <w:r>
        <w:rPr>
          <w:rFonts w:hint="eastAsia"/>
          <w:color w:val="auto"/>
          <w:lang w:eastAsia="zh-CN"/>
        </w:rPr>
        <w:t>）</w:t>
      </w:r>
      <w:r>
        <w:rPr>
          <w:color w:val="auto"/>
        </w:rPr>
        <w:t>以下，综上分析，项目声环境影响评价等级为二级。</w:t>
      </w:r>
    </w:p>
    <w:p w14:paraId="33C82546">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ascii="Times New Roman" w:hAnsi="Times New Roman"/>
          <w:b/>
          <w:color w:val="auto"/>
          <w:sz w:val="21"/>
          <w:szCs w:val="21"/>
        </w:rPr>
        <w:t>噪声评价工作等级判据</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3"/>
        <w:gridCol w:w="7133"/>
      </w:tblGrid>
      <w:tr w14:paraId="01CC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2" w:type="pct"/>
            <w:shd w:val="clear" w:color="auto" w:fill="auto"/>
            <w:vAlign w:val="center"/>
          </w:tcPr>
          <w:p w14:paraId="461E04E4">
            <w:pPr>
              <w:pStyle w:val="31"/>
              <w:bidi w:val="0"/>
              <w:rPr>
                <w:b/>
                <w:bCs w:val="0"/>
                <w:color w:val="auto"/>
              </w:rPr>
            </w:pPr>
            <w:r>
              <w:rPr>
                <w:b/>
                <w:bCs w:val="0"/>
                <w:color w:val="auto"/>
              </w:rPr>
              <w:t>评价工作等级</w:t>
            </w:r>
          </w:p>
        </w:tc>
        <w:tc>
          <w:tcPr>
            <w:tcW w:w="4188" w:type="pct"/>
            <w:shd w:val="clear" w:color="auto" w:fill="auto"/>
            <w:vAlign w:val="center"/>
          </w:tcPr>
          <w:p w14:paraId="0A97C56A">
            <w:pPr>
              <w:pStyle w:val="31"/>
              <w:bidi w:val="0"/>
              <w:rPr>
                <w:b/>
                <w:bCs w:val="0"/>
                <w:color w:val="auto"/>
              </w:rPr>
            </w:pPr>
            <w:r>
              <w:rPr>
                <w:b/>
                <w:bCs w:val="0"/>
                <w:color w:val="auto"/>
              </w:rPr>
              <w:t>评价工作分级判据</w:t>
            </w:r>
          </w:p>
        </w:tc>
      </w:tr>
      <w:tr w14:paraId="0ED3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2" w:type="pct"/>
            <w:shd w:val="clear" w:color="auto" w:fill="auto"/>
            <w:vAlign w:val="center"/>
          </w:tcPr>
          <w:p w14:paraId="0813A4F0">
            <w:pPr>
              <w:pStyle w:val="31"/>
              <w:bidi w:val="0"/>
              <w:rPr>
                <w:color w:val="auto"/>
              </w:rPr>
            </w:pPr>
            <w:r>
              <w:rPr>
                <w:color w:val="auto"/>
              </w:rPr>
              <w:t>一级</w:t>
            </w:r>
          </w:p>
        </w:tc>
        <w:tc>
          <w:tcPr>
            <w:tcW w:w="4188" w:type="pct"/>
            <w:shd w:val="clear" w:color="auto" w:fill="auto"/>
            <w:vAlign w:val="center"/>
          </w:tcPr>
          <w:p w14:paraId="4B96595D">
            <w:pPr>
              <w:pStyle w:val="31"/>
              <w:bidi w:val="0"/>
              <w:rPr>
                <w:color w:val="auto"/>
              </w:rPr>
            </w:pPr>
            <w:r>
              <w:rPr>
                <w:color w:val="auto"/>
              </w:rPr>
              <w:t>0类声环境功能区；对噪声有特别限值要求保护区；建设前后敏感目标噪声级增高量＞5dB（A）；受噪声影响人口显著增多</w:t>
            </w:r>
          </w:p>
        </w:tc>
      </w:tr>
      <w:tr w14:paraId="1386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2" w:type="pct"/>
            <w:shd w:val="clear" w:color="auto" w:fill="D7D7D7" w:themeFill="background1" w:themeFillShade="D8"/>
            <w:vAlign w:val="center"/>
          </w:tcPr>
          <w:p w14:paraId="21A9D8DA">
            <w:pPr>
              <w:pStyle w:val="31"/>
              <w:bidi w:val="0"/>
              <w:rPr>
                <w:color w:val="auto"/>
              </w:rPr>
            </w:pPr>
            <w:r>
              <w:rPr>
                <w:color w:val="auto"/>
              </w:rPr>
              <w:t>二级</w:t>
            </w:r>
          </w:p>
        </w:tc>
        <w:tc>
          <w:tcPr>
            <w:tcW w:w="4188" w:type="pct"/>
            <w:shd w:val="clear" w:color="auto" w:fill="D7D7D7" w:themeFill="background1" w:themeFillShade="D8"/>
            <w:vAlign w:val="center"/>
          </w:tcPr>
          <w:p w14:paraId="18AA0E01">
            <w:pPr>
              <w:pStyle w:val="31"/>
              <w:bidi w:val="0"/>
              <w:rPr>
                <w:color w:val="auto"/>
              </w:rPr>
            </w:pPr>
            <w:r>
              <w:rPr>
                <w:color w:val="auto"/>
              </w:rPr>
              <w:t>1类声环境功能区；2类声环境功能区；3dB（A）≤建设前后敏感目标噪声级增高量≤5dB（A）；受噪声影响人口增加较多</w:t>
            </w:r>
          </w:p>
        </w:tc>
      </w:tr>
      <w:tr w14:paraId="5521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2" w:type="pct"/>
            <w:shd w:val="clear" w:color="auto" w:fill="auto"/>
            <w:vAlign w:val="center"/>
          </w:tcPr>
          <w:p w14:paraId="527F860B">
            <w:pPr>
              <w:pStyle w:val="31"/>
              <w:bidi w:val="0"/>
              <w:rPr>
                <w:color w:val="auto"/>
              </w:rPr>
            </w:pPr>
            <w:r>
              <w:rPr>
                <w:color w:val="auto"/>
              </w:rPr>
              <w:t>三级</w:t>
            </w:r>
          </w:p>
        </w:tc>
        <w:tc>
          <w:tcPr>
            <w:tcW w:w="4188" w:type="pct"/>
            <w:shd w:val="clear" w:color="auto" w:fill="auto"/>
            <w:vAlign w:val="center"/>
          </w:tcPr>
          <w:p w14:paraId="26C5C0AC">
            <w:pPr>
              <w:pStyle w:val="31"/>
              <w:bidi w:val="0"/>
              <w:rPr>
                <w:color w:val="auto"/>
              </w:rPr>
            </w:pPr>
            <w:r>
              <w:rPr>
                <w:color w:val="auto"/>
              </w:rPr>
              <w:t>3类声环境功能区；4类声环境功能区；建设前后敏感目标噪声级增高量＜3dB（A），且受噪声影响人口变化不大</w:t>
            </w:r>
          </w:p>
        </w:tc>
      </w:tr>
    </w:tbl>
    <w:p w14:paraId="2609486E">
      <w:pPr>
        <w:pStyle w:val="5"/>
        <w:bidi w:val="0"/>
        <w:rPr>
          <w:color w:val="auto"/>
        </w:rPr>
      </w:pPr>
      <w:r>
        <w:rPr>
          <w:color w:val="auto"/>
        </w:rPr>
        <w:t>生态环境影响评价等级</w:t>
      </w:r>
    </w:p>
    <w:p w14:paraId="1E29F0BF">
      <w:pPr>
        <w:bidi w:val="0"/>
        <w:rPr>
          <w:rFonts w:hint="eastAsia"/>
          <w:color w:val="auto"/>
          <w:lang w:val="en-US" w:eastAsia="zh-CN"/>
        </w:rPr>
      </w:pPr>
      <w:r>
        <w:rPr>
          <w:rFonts w:hint="eastAsia"/>
          <w:color w:val="auto"/>
          <w:lang w:val="en-US" w:eastAsia="zh-CN"/>
        </w:rPr>
        <w:t>按照《环境影响评价技术导则 生态影响》（HJ19-2022）中评价等级判定的依据和原则，本工程不进行涉水作业，故仅开展陆生生态评价，评价等级为二级，具体判定情况见下表。</w:t>
      </w:r>
    </w:p>
    <w:p w14:paraId="2E1CBA89">
      <w:pPr>
        <w:pStyle w:val="11"/>
        <w:bidi w:val="0"/>
        <w:rPr>
          <w:rFonts w:hint="eastAsia"/>
          <w:color w:val="auto"/>
          <w:lang w:val="en-US" w:eastAsia="zh-CN"/>
        </w:rPr>
      </w:pPr>
      <w:r>
        <w:rPr>
          <w:color w:val="auto"/>
          <w:lang w:val="en-US" w:eastAsia="zh-CN"/>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4</w:t>
      </w:r>
      <w:r>
        <w:rPr>
          <w:color w:val="auto"/>
        </w:rPr>
        <w:fldChar w:fldCharType="end"/>
      </w:r>
      <w:r>
        <w:rPr>
          <w:color w:val="auto"/>
          <w:lang w:val="en-US" w:eastAsia="zh-CN"/>
        </w:rPr>
        <w:t>生态评价等级确定原则及判定结果</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01"/>
        <w:gridCol w:w="3134"/>
        <w:gridCol w:w="1081"/>
      </w:tblGrid>
      <w:tr w14:paraId="4410E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A91C">
            <w:pPr>
              <w:pStyle w:val="31"/>
              <w:bidi w:val="0"/>
              <w:rPr>
                <w:color w:val="auto"/>
              </w:rPr>
            </w:pPr>
            <w:r>
              <w:rPr>
                <w:color w:val="auto"/>
                <w:lang w:val="en-US" w:eastAsia="zh-CN"/>
              </w:rPr>
              <w:t>确定原则</w:t>
            </w:r>
          </w:p>
        </w:tc>
        <w:tc>
          <w:tcPr>
            <w:tcW w:w="3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9CAA">
            <w:pPr>
              <w:pStyle w:val="31"/>
              <w:bidi w:val="0"/>
              <w:rPr>
                <w:color w:val="auto"/>
              </w:rPr>
            </w:pPr>
            <w:r>
              <w:rPr>
                <w:color w:val="auto"/>
                <w:lang w:val="en-US" w:eastAsia="zh-CN"/>
              </w:rPr>
              <w:t>判定分析</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E776">
            <w:pPr>
              <w:pStyle w:val="31"/>
              <w:bidi w:val="0"/>
              <w:rPr>
                <w:color w:val="auto"/>
              </w:rPr>
            </w:pPr>
            <w:r>
              <w:rPr>
                <w:color w:val="auto"/>
                <w:lang w:val="en-US" w:eastAsia="zh-CN"/>
              </w:rPr>
              <w:t>判定结果</w:t>
            </w:r>
          </w:p>
        </w:tc>
      </w:tr>
      <w:tr w14:paraId="0BD34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8C67">
            <w:pPr>
              <w:pStyle w:val="31"/>
              <w:bidi w:val="0"/>
              <w:rPr>
                <w:color w:val="auto"/>
              </w:rPr>
            </w:pPr>
            <w:r>
              <w:rPr>
                <w:color w:val="auto"/>
                <w:lang w:val="en-US" w:eastAsia="zh-CN"/>
              </w:rPr>
              <w:t>a</w:t>
            </w:r>
            <w:r>
              <w:rPr>
                <w:rFonts w:hint="eastAsia"/>
                <w:color w:val="auto"/>
                <w:lang w:val="en-US" w:eastAsia="zh-CN"/>
              </w:rPr>
              <w:t>）</w:t>
            </w:r>
            <w:r>
              <w:rPr>
                <w:color w:val="auto"/>
                <w:lang w:val="en-US" w:eastAsia="zh-CN"/>
              </w:rPr>
              <w:t>涉及国家公园、自然保护区、世界自然遗产、重要生境时，评价等级为一级；</w:t>
            </w:r>
          </w:p>
        </w:tc>
        <w:tc>
          <w:tcPr>
            <w:tcW w:w="3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A2AA">
            <w:pPr>
              <w:pStyle w:val="31"/>
              <w:bidi w:val="0"/>
              <w:rPr>
                <w:color w:val="auto"/>
              </w:rPr>
            </w:pPr>
            <w:r>
              <w:rPr>
                <w:color w:val="auto"/>
                <w:lang w:val="en-US" w:eastAsia="zh-CN"/>
              </w:rPr>
              <w:t>不涉及</w:t>
            </w:r>
            <w:r>
              <w:rPr>
                <w:rFonts w:hint="eastAsia"/>
                <w:color w:val="auto"/>
                <w:lang w:val="en-US" w:eastAsia="zh-CN"/>
              </w:rPr>
              <w:t>国家公园、自然保护区、世界自然遗产、重要生境</w:t>
            </w:r>
            <w:r>
              <w:rPr>
                <w:color w:val="auto"/>
                <w:lang w:val="en-US" w:eastAsia="zh-CN"/>
              </w:rPr>
              <w:t>。</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1965">
            <w:pPr>
              <w:pStyle w:val="31"/>
              <w:bidi w:val="0"/>
              <w:rPr>
                <w:rFonts w:hint="eastAsia" w:eastAsia="宋体"/>
                <w:color w:val="auto"/>
                <w:lang w:val="en-US" w:eastAsia="zh-CN"/>
              </w:rPr>
            </w:pPr>
            <w:r>
              <w:rPr>
                <w:rFonts w:hint="eastAsia"/>
                <w:color w:val="auto"/>
                <w:lang w:val="en-US" w:eastAsia="zh-CN"/>
              </w:rPr>
              <w:t>/</w:t>
            </w:r>
          </w:p>
        </w:tc>
      </w:tr>
      <w:tr w14:paraId="5CD82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113D1930">
            <w:pPr>
              <w:pStyle w:val="31"/>
              <w:bidi w:val="0"/>
              <w:rPr>
                <w:color w:val="auto"/>
              </w:rPr>
            </w:pPr>
            <w:r>
              <w:rPr>
                <w:color w:val="auto"/>
                <w:lang w:val="en-US" w:eastAsia="zh-CN"/>
              </w:rPr>
              <w:t>b</w:t>
            </w:r>
            <w:r>
              <w:rPr>
                <w:rFonts w:hint="eastAsia"/>
                <w:color w:val="auto"/>
                <w:lang w:val="en-US" w:eastAsia="zh-CN"/>
              </w:rPr>
              <w:t>）</w:t>
            </w:r>
            <w:r>
              <w:rPr>
                <w:color w:val="auto"/>
                <w:lang w:val="en-US" w:eastAsia="zh-CN"/>
              </w:rPr>
              <w:t>涉及自然公园时，评价等级为二级；</w:t>
            </w:r>
          </w:p>
        </w:tc>
        <w:tc>
          <w:tcPr>
            <w:tcW w:w="3134"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59D667E0">
            <w:pPr>
              <w:pStyle w:val="31"/>
              <w:bidi w:val="0"/>
              <w:rPr>
                <w:color w:val="auto"/>
              </w:rPr>
            </w:pPr>
            <w:r>
              <w:rPr>
                <w:rFonts w:hint="eastAsia"/>
                <w:color w:val="auto"/>
                <w:lang w:val="en-US" w:eastAsia="zh-CN"/>
              </w:rPr>
              <w:t>抛泥区直接占用</w:t>
            </w:r>
            <w:r>
              <w:rPr>
                <w:color w:val="auto"/>
                <w:lang w:val="en-US" w:eastAsia="zh-CN"/>
              </w:rPr>
              <w:t>自然公园</w:t>
            </w:r>
            <w:r>
              <w:rPr>
                <w:rFonts w:hint="eastAsia"/>
                <w:color w:val="auto"/>
                <w:lang w:val="en-US" w:eastAsia="zh-CN"/>
              </w:rPr>
              <w:t>（</w:t>
            </w:r>
            <w:r>
              <w:rPr>
                <w:color w:val="auto"/>
                <w:lang w:val="en-US" w:eastAsia="zh-CN"/>
              </w:rPr>
              <w:t>安徽</w:t>
            </w:r>
            <w:r>
              <w:rPr>
                <w:rFonts w:hint="eastAsia"/>
                <w:color w:val="auto"/>
                <w:lang w:val="en-US" w:eastAsia="zh-CN"/>
              </w:rPr>
              <w:t>杏花村</w:t>
            </w:r>
            <w:r>
              <w:rPr>
                <w:color w:val="auto"/>
                <w:lang w:val="en-US" w:eastAsia="zh-CN"/>
              </w:rPr>
              <w:t>省级湿地公园</w:t>
            </w:r>
            <w:r>
              <w:rPr>
                <w:rFonts w:hint="eastAsia"/>
                <w:color w:val="auto"/>
                <w:lang w:val="en-US" w:eastAsia="zh-CN"/>
              </w:rPr>
              <w:t>）</w:t>
            </w:r>
            <w:r>
              <w:rPr>
                <w:color w:val="auto"/>
                <w:lang w:val="en-US" w:eastAsia="zh-CN"/>
              </w:rPr>
              <w:t>。</w:t>
            </w:r>
          </w:p>
        </w:tc>
        <w:tc>
          <w:tcPr>
            <w:tcW w:w="108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6FF54496">
            <w:pPr>
              <w:pStyle w:val="31"/>
              <w:bidi w:val="0"/>
              <w:rPr>
                <w:color w:val="auto"/>
              </w:rPr>
            </w:pPr>
            <w:r>
              <w:rPr>
                <w:color w:val="auto"/>
                <w:lang w:val="en-US" w:eastAsia="zh-CN"/>
              </w:rPr>
              <w:t>二级</w:t>
            </w:r>
          </w:p>
        </w:tc>
      </w:tr>
      <w:tr w14:paraId="73010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7F098027">
            <w:pPr>
              <w:pStyle w:val="31"/>
              <w:bidi w:val="0"/>
              <w:rPr>
                <w:color w:val="auto"/>
              </w:rPr>
            </w:pPr>
            <w:r>
              <w:rPr>
                <w:color w:val="auto"/>
                <w:lang w:val="en-US" w:eastAsia="zh-CN"/>
              </w:rPr>
              <w:t>c</w:t>
            </w:r>
            <w:r>
              <w:rPr>
                <w:rFonts w:hint="eastAsia"/>
                <w:color w:val="auto"/>
                <w:lang w:val="en-US" w:eastAsia="zh-CN"/>
              </w:rPr>
              <w:t>）</w:t>
            </w:r>
            <w:r>
              <w:rPr>
                <w:color w:val="auto"/>
                <w:lang w:val="en-US" w:eastAsia="zh-CN"/>
              </w:rPr>
              <w:t>涉及生态保护红线时，评价等级不低于二级；</w:t>
            </w:r>
          </w:p>
        </w:tc>
        <w:tc>
          <w:tcPr>
            <w:tcW w:w="3134"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43D8419D">
            <w:pPr>
              <w:pStyle w:val="31"/>
              <w:bidi w:val="0"/>
              <w:rPr>
                <w:color w:val="auto"/>
              </w:rPr>
            </w:pPr>
            <w:r>
              <w:rPr>
                <w:rFonts w:hint="eastAsia"/>
                <w:color w:val="auto"/>
                <w:lang w:val="en-US" w:eastAsia="zh-CN"/>
              </w:rPr>
              <w:t>抛泥区直接占用</w:t>
            </w:r>
            <w:r>
              <w:rPr>
                <w:color w:val="auto"/>
                <w:lang w:val="en-US" w:eastAsia="zh-CN"/>
              </w:rPr>
              <w:t>生态保护红线。</w:t>
            </w:r>
          </w:p>
        </w:tc>
        <w:tc>
          <w:tcPr>
            <w:tcW w:w="108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2F95B2F0">
            <w:pPr>
              <w:pStyle w:val="31"/>
              <w:bidi w:val="0"/>
              <w:rPr>
                <w:color w:val="auto"/>
              </w:rPr>
            </w:pPr>
            <w:r>
              <w:rPr>
                <w:color w:val="auto"/>
                <w:lang w:val="en-US" w:eastAsia="zh-CN"/>
              </w:rPr>
              <w:t>二级</w:t>
            </w:r>
          </w:p>
        </w:tc>
      </w:tr>
      <w:tr w14:paraId="77030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54C8">
            <w:pPr>
              <w:pStyle w:val="31"/>
              <w:bidi w:val="0"/>
              <w:rPr>
                <w:color w:val="auto"/>
              </w:rPr>
            </w:pPr>
            <w:r>
              <w:rPr>
                <w:color w:val="auto"/>
                <w:lang w:val="en-US" w:eastAsia="zh-CN"/>
              </w:rPr>
              <w:t>d</w:t>
            </w:r>
            <w:r>
              <w:rPr>
                <w:rFonts w:hint="eastAsia"/>
                <w:color w:val="auto"/>
                <w:lang w:val="en-US" w:eastAsia="zh-CN"/>
              </w:rPr>
              <w:t>）</w:t>
            </w:r>
            <w:r>
              <w:rPr>
                <w:color w:val="auto"/>
                <w:lang w:val="en-US" w:eastAsia="zh-CN"/>
              </w:rPr>
              <w:t>根据HJ2.3判断属于水文要素影响型且地表水评价等级不低于二级的建设项目，生态影响评价等级不低于二级；</w:t>
            </w:r>
          </w:p>
        </w:tc>
        <w:tc>
          <w:tcPr>
            <w:tcW w:w="3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B032">
            <w:pPr>
              <w:pStyle w:val="31"/>
              <w:bidi w:val="0"/>
              <w:rPr>
                <w:rFonts w:hint="eastAsia" w:eastAsia="宋体"/>
                <w:color w:val="auto"/>
                <w:lang w:val="en-US" w:eastAsia="zh-CN"/>
              </w:rPr>
            </w:pPr>
            <w:r>
              <w:rPr>
                <w:rFonts w:hint="eastAsia"/>
                <w:color w:val="auto"/>
                <w:lang w:val="en-US" w:eastAsia="zh-CN"/>
              </w:rPr>
              <w:t>不涉及</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06231">
            <w:pPr>
              <w:pStyle w:val="31"/>
              <w:bidi w:val="0"/>
              <w:rPr>
                <w:color w:val="auto"/>
              </w:rPr>
            </w:pPr>
            <w:r>
              <w:rPr>
                <w:rFonts w:hint="eastAsia"/>
                <w:color w:val="auto"/>
                <w:lang w:val="en-US" w:eastAsia="zh-CN"/>
              </w:rPr>
              <w:t>/</w:t>
            </w:r>
          </w:p>
        </w:tc>
      </w:tr>
      <w:tr w14:paraId="0E23D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17E00DC8">
            <w:pPr>
              <w:pStyle w:val="31"/>
              <w:bidi w:val="0"/>
              <w:rPr>
                <w:color w:val="auto"/>
              </w:rPr>
            </w:pPr>
            <w:r>
              <w:rPr>
                <w:color w:val="auto"/>
                <w:lang w:val="en-US" w:eastAsia="zh-CN"/>
              </w:rPr>
              <w:t>e</w:t>
            </w:r>
            <w:r>
              <w:rPr>
                <w:rFonts w:hint="eastAsia"/>
                <w:color w:val="auto"/>
                <w:lang w:val="en-US" w:eastAsia="zh-CN"/>
              </w:rPr>
              <w:t>）</w:t>
            </w:r>
            <w:r>
              <w:rPr>
                <w:color w:val="auto"/>
                <w:lang w:val="en-US" w:eastAsia="zh-CN"/>
              </w:rPr>
              <w:t>根据HJ610、HJ964判断地下水水位或土壤影响范围内分布有天然林、公益林、湿地等生态保护目标的建设项目，生态影响评价等级不低于二级；</w:t>
            </w:r>
          </w:p>
        </w:tc>
        <w:tc>
          <w:tcPr>
            <w:tcW w:w="3134"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4A4AEBCF">
            <w:pPr>
              <w:pStyle w:val="31"/>
              <w:bidi w:val="0"/>
              <w:rPr>
                <w:color w:val="auto"/>
              </w:rPr>
            </w:pPr>
            <w:r>
              <w:rPr>
                <w:color w:val="auto"/>
                <w:lang w:val="en-US" w:eastAsia="zh-CN"/>
              </w:rPr>
              <w:t>地下水水位影响范围内涉及湿地</w:t>
            </w:r>
          </w:p>
        </w:tc>
        <w:tc>
          <w:tcPr>
            <w:tcW w:w="108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5C1A5C78">
            <w:pPr>
              <w:pStyle w:val="31"/>
              <w:bidi w:val="0"/>
              <w:rPr>
                <w:color w:val="auto"/>
              </w:rPr>
            </w:pPr>
            <w:r>
              <w:rPr>
                <w:color w:val="auto"/>
                <w:lang w:val="en-US" w:eastAsia="zh-CN"/>
              </w:rPr>
              <w:t>二级</w:t>
            </w:r>
          </w:p>
        </w:tc>
      </w:tr>
      <w:tr w14:paraId="116C9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5FF0">
            <w:pPr>
              <w:pStyle w:val="31"/>
              <w:bidi w:val="0"/>
              <w:rPr>
                <w:color w:val="auto"/>
              </w:rPr>
            </w:pPr>
            <w:r>
              <w:rPr>
                <w:color w:val="auto"/>
                <w:lang w:val="en-US" w:eastAsia="zh-CN"/>
              </w:rPr>
              <w:t>f</w:t>
            </w:r>
            <w:r>
              <w:rPr>
                <w:rFonts w:hint="eastAsia"/>
                <w:color w:val="auto"/>
                <w:lang w:val="en-US" w:eastAsia="zh-CN"/>
              </w:rPr>
              <w:t>）</w:t>
            </w:r>
            <w:r>
              <w:rPr>
                <w:color w:val="auto"/>
                <w:lang w:val="en-US" w:eastAsia="zh-CN"/>
              </w:rPr>
              <w:t>当工程占地规模大于20</w:t>
            </w:r>
            <w:r>
              <w:rPr>
                <w:rFonts w:hint="eastAsia"/>
                <w:color w:val="auto"/>
                <w:lang w:val="en-US" w:eastAsia="zh-CN"/>
              </w:rPr>
              <w:t>km</w:t>
            </w:r>
            <w:r>
              <w:rPr>
                <w:rFonts w:hint="eastAsia"/>
                <w:color w:val="auto"/>
                <w:vertAlign w:val="superscript"/>
                <w:lang w:val="en-US" w:eastAsia="zh-CN"/>
              </w:rPr>
              <w:t>2</w:t>
            </w:r>
            <w:r>
              <w:rPr>
                <w:color w:val="auto"/>
                <w:lang w:val="en-US" w:eastAsia="zh-CN"/>
              </w:rPr>
              <w:t>时</w:t>
            </w:r>
            <w:r>
              <w:rPr>
                <w:rFonts w:hint="eastAsia"/>
                <w:color w:val="auto"/>
                <w:lang w:val="en-US" w:eastAsia="zh-CN"/>
              </w:rPr>
              <w:t>（</w:t>
            </w:r>
            <w:r>
              <w:rPr>
                <w:color w:val="auto"/>
                <w:lang w:val="en-US" w:eastAsia="zh-CN"/>
              </w:rPr>
              <w:t>包括永久和临时占用陆域和水域</w:t>
            </w:r>
            <w:r>
              <w:rPr>
                <w:rFonts w:hint="eastAsia"/>
                <w:color w:val="auto"/>
                <w:lang w:val="en-US" w:eastAsia="zh-CN"/>
              </w:rPr>
              <w:t>），</w:t>
            </w:r>
            <w:r>
              <w:rPr>
                <w:color w:val="auto"/>
                <w:lang w:val="en-US" w:eastAsia="zh-CN"/>
              </w:rPr>
              <w:t>评价等级不低于二级；</w:t>
            </w:r>
          </w:p>
        </w:tc>
        <w:tc>
          <w:tcPr>
            <w:tcW w:w="3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B7C6">
            <w:pPr>
              <w:pStyle w:val="31"/>
              <w:bidi w:val="0"/>
              <w:rPr>
                <w:color w:val="auto"/>
              </w:rPr>
            </w:pPr>
            <w:r>
              <w:rPr>
                <w:color w:val="auto"/>
                <w:lang w:val="en-US" w:eastAsia="zh-CN"/>
              </w:rPr>
              <w:t>根据可行性研究报告，工程</w:t>
            </w:r>
            <w:r>
              <w:rPr>
                <w:rFonts w:hint="eastAsia"/>
                <w:color w:val="auto"/>
                <w:lang w:val="en-US" w:eastAsia="zh-CN"/>
              </w:rPr>
              <w:t>占地面积为1.12km</w:t>
            </w:r>
            <w:r>
              <w:rPr>
                <w:rFonts w:hint="eastAsia"/>
                <w:color w:val="auto"/>
                <w:vertAlign w:val="superscript"/>
                <w:lang w:val="en-US" w:eastAsia="zh-CN"/>
              </w:rPr>
              <w:t>2</w:t>
            </w:r>
            <w:r>
              <w:rPr>
                <w:rFonts w:hint="eastAsia"/>
                <w:color w:val="auto"/>
                <w:lang w:val="en-US" w:eastAsia="zh-CN"/>
              </w:rPr>
              <w:t>，小于</w:t>
            </w:r>
            <w:r>
              <w:rPr>
                <w:color w:val="auto"/>
                <w:lang w:val="en-US" w:eastAsia="zh-CN"/>
              </w:rPr>
              <w:t>20</w:t>
            </w:r>
            <w:r>
              <w:rPr>
                <w:rFonts w:hint="eastAsia"/>
                <w:color w:val="auto"/>
                <w:lang w:val="en-US" w:eastAsia="zh-CN"/>
              </w:rPr>
              <w:t>km</w:t>
            </w:r>
            <w:r>
              <w:rPr>
                <w:rFonts w:hint="eastAsia"/>
                <w:color w:val="auto"/>
                <w:vertAlign w:val="superscript"/>
                <w:lang w:val="en-US" w:eastAsia="zh-CN"/>
              </w:rPr>
              <w:t>2</w:t>
            </w:r>
            <w:r>
              <w:rPr>
                <w:color w:val="auto"/>
                <w:lang w:val="en-US" w:eastAsia="zh-CN"/>
              </w:rPr>
              <w:t>。</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AC74">
            <w:pPr>
              <w:pStyle w:val="31"/>
              <w:bidi w:val="0"/>
              <w:rPr>
                <w:color w:val="auto"/>
              </w:rPr>
            </w:pPr>
            <w:r>
              <w:rPr>
                <w:rFonts w:hint="eastAsia"/>
                <w:color w:val="auto"/>
                <w:lang w:val="en-US" w:eastAsia="zh-CN"/>
              </w:rPr>
              <w:t>/</w:t>
            </w:r>
          </w:p>
        </w:tc>
      </w:tr>
      <w:tr w14:paraId="2BD10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5B0A5">
            <w:pPr>
              <w:pStyle w:val="31"/>
              <w:bidi w:val="0"/>
              <w:rPr>
                <w:color w:val="auto"/>
              </w:rPr>
            </w:pPr>
            <w:r>
              <w:rPr>
                <w:color w:val="auto"/>
                <w:lang w:val="en-US" w:eastAsia="zh-CN"/>
              </w:rPr>
              <w:t>g</w:t>
            </w:r>
            <w:r>
              <w:rPr>
                <w:rFonts w:hint="eastAsia"/>
                <w:color w:val="auto"/>
                <w:lang w:val="en-US" w:eastAsia="zh-CN"/>
              </w:rPr>
              <w:t>）</w:t>
            </w:r>
            <w:r>
              <w:rPr>
                <w:color w:val="auto"/>
                <w:lang w:val="en-US" w:eastAsia="zh-CN"/>
              </w:rPr>
              <w:t>除本条a</w:t>
            </w:r>
            <w:r>
              <w:rPr>
                <w:rFonts w:hint="eastAsia"/>
                <w:color w:val="auto"/>
                <w:lang w:val="en-US" w:eastAsia="zh-CN"/>
              </w:rPr>
              <w:t>）</w:t>
            </w:r>
            <w:r>
              <w:rPr>
                <w:color w:val="auto"/>
                <w:lang w:val="en-US" w:eastAsia="zh-CN"/>
              </w:rPr>
              <w:t>、b</w:t>
            </w:r>
            <w:r>
              <w:rPr>
                <w:rFonts w:hint="eastAsia"/>
                <w:color w:val="auto"/>
                <w:lang w:val="en-US" w:eastAsia="zh-CN"/>
              </w:rPr>
              <w:t>）</w:t>
            </w:r>
            <w:r>
              <w:rPr>
                <w:color w:val="auto"/>
                <w:lang w:val="en-US" w:eastAsia="zh-CN"/>
              </w:rPr>
              <w:t>、c</w:t>
            </w:r>
            <w:r>
              <w:rPr>
                <w:rFonts w:hint="eastAsia"/>
                <w:color w:val="auto"/>
                <w:lang w:val="en-US" w:eastAsia="zh-CN"/>
              </w:rPr>
              <w:t>）</w:t>
            </w:r>
            <w:r>
              <w:rPr>
                <w:color w:val="auto"/>
                <w:lang w:val="en-US" w:eastAsia="zh-CN"/>
              </w:rPr>
              <w:t>、d</w:t>
            </w:r>
            <w:r>
              <w:rPr>
                <w:rFonts w:hint="eastAsia"/>
                <w:color w:val="auto"/>
                <w:lang w:val="en-US" w:eastAsia="zh-CN"/>
              </w:rPr>
              <w:t>）</w:t>
            </w:r>
            <w:r>
              <w:rPr>
                <w:color w:val="auto"/>
                <w:lang w:val="en-US" w:eastAsia="zh-CN"/>
              </w:rPr>
              <w:t>、e</w:t>
            </w:r>
            <w:r>
              <w:rPr>
                <w:rFonts w:hint="eastAsia"/>
                <w:color w:val="auto"/>
                <w:lang w:val="en-US" w:eastAsia="zh-CN"/>
              </w:rPr>
              <w:t>）</w:t>
            </w:r>
            <w:r>
              <w:rPr>
                <w:color w:val="auto"/>
                <w:lang w:val="en-US" w:eastAsia="zh-CN"/>
              </w:rPr>
              <w:t>、f</w:t>
            </w:r>
            <w:r>
              <w:rPr>
                <w:rFonts w:hint="eastAsia"/>
                <w:color w:val="auto"/>
                <w:lang w:val="en-US" w:eastAsia="zh-CN"/>
              </w:rPr>
              <w:t>）</w:t>
            </w:r>
            <w:r>
              <w:rPr>
                <w:color w:val="auto"/>
                <w:lang w:val="en-US" w:eastAsia="zh-CN"/>
              </w:rPr>
              <w:t>以外的情况，评价等级为三级；</w:t>
            </w:r>
          </w:p>
        </w:tc>
        <w:tc>
          <w:tcPr>
            <w:tcW w:w="3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12F12">
            <w:pPr>
              <w:pStyle w:val="31"/>
              <w:bidi w:val="0"/>
              <w:rPr>
                <w:color w:val="auto"/>
              </w:rPr>
            </w:pPr>
            <w:r>
              <w:rPr>
                <w:color w:val="auto"/>
                <w:lang w:val="en-US" w:eastAsia="zh-CN"/>
              </w:rPr>
              <w:t>本工程属于前款中b</w:t>
            </w:r>
            <w:r>
              <w:rPr>
                <w:rFonts w:hint="eastAsia"/>
                <w:color w:val="auto"/>
                <w:lang w:val="en-US" w:eastAsia="zh-CN"/>
              </w:rPr>
              <w:t>）</w:t>
            </w:r>
            <w:r>
              <w:rPr>
                <w:color w:val="auto"/>
                <w:lang w:val="en-US" w:eastAsia="zh-CN"/>
              </w:rPr>
              <w:t>、c</w:t>
            </w:r>
            <w:r>
              <w:rPr>
                <w:rFonts w:hint="eastAsia"/>
                <w:color w:val="auto"/>
                <w:lang w:val="en-US" w:eastAsia="zh-CN"/>
              </w:rPr>
              <w:t>）</w:t>
            </w:r>
            <w:r>
              <w:rPr>
                <w:color w:val="auto"/>
                <w:lang w:val="en-US" w:eastAsia="zh-CN"/>
              </w:rPr>
              <w:t>、</w:t>
            </w:r>
            <w:r>
              <w:rPr>
                <w:rFonts w:hint="eastAsia"/>
                <w:color w:val="auto"/>
                <w:lang w:val="en-US" w:eastAsia="zh-CN"/>
              </w:rPr>
              <w:t>e）</w:t>
            </w:r>
            <w:r>
              <w:rPr>
                <w:color w:val="auto"/>
                <w:lang w:val="en-US" w:eastAsia="zh-CN"/>
              </w:rPr>
              <w:t>情况。</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702C">
            <w:pPr>
              <w:pStyle w:val="31"/>
              <w:bidi w:val="0"/>
              <w:rPr>
                <w:color w:val="auto"/>
              </w:rPr>
            </w:pPr>
            <w:r>
              <w:rPr>
                <w:color w:val="auto"/>
                <w:lang w:val="en-US" w:eastAsia="zh-CN"/>
              </w:rPr>
              <w:t>/</w:t>
            </w:r>
          </w:p>
        </w:tc>
      </w:tr>
      <w:tr w14:paraId="641E0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BEB6">
            <w:pPr>
              <w:pStyle w:val="31"/>
              <w:bidi w:val="0"/>
              <w:rPr>
                <w:color w:val="auto"/>
              </w:rPr>
            </w:pPr>
            <w:r>
              <w:rPr>
                <w:color w:val="auto"/>
                <w:lang w:val="en-US" w:eastAsia="zh-CN"/>
              </w:rPr>
              <w:t>h</w:t>
            </w:r>
            <w:r>
              <w:rPr>
                <w:rFonts w:hint="eastAsia"/>
                <w:color w:val="auto"/>
                <w:lang w:val="en-US" w:eastAsia="zh-CN"/>
              </w:rPr>
              <w:t>）</w:t>
            </w:r>
            <w:r>
              <w:rPr>
                <w:color w:val="auto"/>
                <w:lang w:val="en-US" w:eastAsia="zh-CN"/>
              </w:rPr>
              <w:t>拦河闸坝建设可能明显改变水文情势等情况下，水生生态评价等级应上调一级。</w:t>
            </w:r>
          </w:p>
        </w:tc>
        <w:tc>
          <w:tcPr>
            <w:tcW w:w="3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9260">
            <w:pPr>
              <w:pStyle w:val="31"/>
              <w:bidi w:val="0"/>
              <w:rPr>
                <w:rFonts w:hint="eastAsia" w:eastAsia="宋体"/>
                <w:color w:val="auto"/>
                <w:lang w:val="en-US" w:eastAsia="zh-CN"/>
              </w:rPr>
            </w:pPr>
            <w:r>
              <w:rPr>
                <w:rFonts w:hint="eastAsia"/>
                <w:color w:val="auto"/>
                <w:lang w:val="en-US" w:eastAsia="zh-CN"/>
              </w:rPr>
              <w:t>不涉及</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A1D7A">
            <w:pPr>
              <w:pStyle w:val="31"/>
              <w:bidi w:val="0"/>
              <w:rPr>
                <w:color w:val="auto"/>
              </w:rPr>
            </w:pPr>
            <w:r>
              <w:rPr>
                <w:color w:val="auto"/>
                <w:lang w:val="en-US" w:eastAsia="zh-CN"/>
              </w:rPr>
              <w:t>/</w:t>
            </w:r>
          </w:p>
        </w:tc>
      </w:tr>
    </w:tbl>
    <w:p w14:paraId="7AF4A6E3">
      <w:pPr>
        <w:pStyle w:val="5"/>
        <w:bidi w:val="0"/>
        <w:rPr>
          <w:rFonts w:hint="eastAsia"/>
          <w:color w:val="auto"/>
          <w:lang w:eastAsia="zh-CN"/>
        </w:rPr>
      </w:pPr>
      <w:r>
        <w:rPr>
          <w:color w:val="auto"/>
        </w:rPr>
        <w:t>土壤评价工作等级</w:t>
      </w:r>
    </w:p>
    <w:p w14:paraId="71BAE518">
      <w:pPr>
        <w:spacing w:line="360" w:lineRule="auto"/>
        <w:ind w:firstLine="480" w:firstLineChars="200"/>
        <w:rPr>
          <w:rFonts w:ascii="Times New Roman" w:hAnsi="Times New Roman"/>
          <w:color w:val="auto"/>
          <w:sz w:val="24"/>
        </w:rPr>
      </w:pPr>
      <w:r>
        <w:rPr>
          <w:rFonts w:ascii="Times New Roman" w:hAnsi="Times New Roman"/>
          <w:color w:val="auto"/>
          <w:sz w:val="24"/>
        </w:rPr>
        <w:t>根据《环境影响评价技术导则-土壤环境》</w:t>
      </w:r>
      <w:r>
        <w:rPr>
          <w:rFonts w:hint="eastAsia"/>
          <w:color w:val="auto"/>
          <w:sz w:val="24"/>
          <w:lang w:eastAsia="zh-CN"/>
        </w:rPr>
        <w:t>（</w:t>
      </w:r>
      <w:r>
        <w:rPr>
          <w:rFonts w:ascii="Times New Roman" w:hAnsi="Times New Roman"/>
          <w:color w:val="auto"/>
          <w:sz w:val="24"/>
        </w:rPr>
        <w:t>HJ964-2018</w:t>
      </w:r>
      <w:r>
        <w:rPr>
          <w:rFonts w:hint="eastAsia"/>
          <w:color w:val="auto"/>
          <w:sz w:val="24"/>
          <w:lang w:eastAsia="zh-CN"/>
        </w:rPr>
        <w:t>）</w:t>
      </w:r>
      <w:r>
        <w:rPr>
          <w:rFonts w:ascii="Times New Roman" w:hAnsi="Times New Roman"/>
          <w:color w:val="auto"/>
          <w:sz w:val="24"/>
        </w:rPr>
        <w:t>中</w:t>
      </w:r>
      <w:r>
        <w:rPr>
          <w:rFonts w:hint="eastAsia"/>
          <w:color w:val="auto"/>
          <w:sz w:val="24"/>
          <w:lang w:eastAsia="zh-CN"/>
        </w:rPr>
        <w:t>附表</w:t>
      </w:r>
      <w:r>
        <w:rPr>
          <w:rFonts w:ascii="Times New Roman" w:hAnsi="Times New Roman"/>
          <w:color w:val="auto"/>
          <w:sz w:val="24"/>
        </w:rPr>
        <w:t>A（规范性</w:t>
      </w:r>
      <w:r>
        <w:rPr>
          <w:rFonts w:hint="eastAsia"/>
          <w:color w:val="auto"/>
          <w:sz w:val="24"/>
          <w:lang w:eastAsia="zh-CN"/>
        </w:rPr>
        <w:t>附表</w:t>
      </w:r>
      <w:r>
        <w:rPr>
          <w:rFonts w:ascii="Times New Roman" w:hAnsi="Times New Roman"/>
          <w:color w:val="auto"/>
          <w:sz w:val="24"/>
        </w:rPr>
        <w:t>）土壤环境影响评价行业项目类别表，可知本项目为“水利类-其他”，土壤环境影响评价项目类别为</w:t>
      </w:r>
      <w:r>
        <w:rPr>
          <w:rFonts w:hint="eastAsia" w:hAnsi="宋体" w:cs="宋体"/>
          <w:color w:val="auto"/>
          <w:sz w:val="24"/>
        </w:rPr>
        <w:t>Ⅲ</w:t>
      </w:r>
      <w:r>
        <w:rPr>
          <w:rFonts w:ascii="Times New Roman" w:hAnsi="Times New Roman"/>
          <w:color w:val="auto"/>
          <w:sz w:val="24"/>
        </w:rPr>
        <w:t>类。本项目为生态影响型，</w:t>
      </w:r>
      <w:r>
        <w:rPr>
          <w:rFonts w:hint="eastAsia"/>
          <w:color w:val="auto"/>
          <w:sz w:val="24"/>
          <w:lang w:val="en-US" w:eastAsia="zh-CN"/>
        </w:rPr>
        <w:t>查阅“安徽省农业气候区划系统一览”，项目所在地属于“二级气候区划统计表”中“江淮及皖南区”，年干燥度指数为：0.6-1.07。</w:t>
      </w:r>
      <w:r>
        <w:rPr>
          <w:rFonts w:ascii="Times New Roman" w:hAnsi="Times New Roman"/>
          <w:color w:val="auto"/>
          <w:sz w:val="24"/>
        </w:rPr>
        <w:t>土壤不属于盐碱化土壤，土壤含盐量</w:t>
      </w:r>
      <w:r>
        <w:rPr>
          <w:rFonts w:hint="eastAsia"/>
          <w:color w:val="auto"/>
          <w:sz w:val="24"/>
          <w:lang w:val="en-US" w:eastAsia="zh-CN"/>
        </w:rPr>
        <w:t>为1.3g/kg，</w:t>
      </w:r>
      <w:r>
        <w:rPr>
          <w:rFonts w:ascii="Times New Roman" w:hAnsi="Times New Roman"/>
          <w:color w:val="auto"/>
          <w:sz w:val="24"/>
        </w:rPr>
        <w:t>小于2克每千克，土壤pH值</w:t>
      </w:r>
      <w:r>
        <w:rPr>
          <w:rFonts w:hint="eastAsia"/>
          <w:color w:val="auto"/>
          <w:sz w:val="24"/>
          <w:lang w:val="en-US" w:eastAsia="zh-CN"/>
        </w:rPr>
        <w:t>为7.74，</w:t>
      </w:r>
      <w:r>
        <w:rPr>
          <w:rFonts w:ascii="Times New Roman" w:hAnsi="Times New Roman"/>
          <w:color w:val="auto"/>
          <w:sz w:val="24"/>
        </w:rPr>
        <w:t>大于等于5.5小于8.5，土壤属于不敏感区域。由</w:t>
      </w:r>
      <w:r>
        <w:rPr>
          <w:rFonts w:hint="eastAsia"/>
          <w:color w:val="auto"/>
          <w:sz w:val="24"/>
          <w:lang w:val="en-US" w:eastAsia="zh-CN"/>
        </w:rPr>
        <w:t>下表</w:t>
      </w:r>
      <w:r>
        <w:rPr>
          <w:rFonts w:ascii="Times New Roman" w:hAnsi="Times New Roman"/>
          <w:color w:val="auto"/>
          <w:sz w:val="24"/>
        </w:rPr>
        <w:t>可知，</w:t>
      </w:r>
      <w:r>
        <w:rPr>
          <w:rFonts w:hint="eastAsia" w:ascii="Times New Roman" w:hAnsi="Times New Roman"/>
          <w:color w:val="auto"/>
          <w:sz w:val="24"/>
          <w:lang w:val="en-US" w:eastAsia="zh-CN"/>
        </w:rPr>
        <w:t>项目</w:t>
      </w:r>
      <w:r>
        <w:rPr>
          <w:rFonts w:hint="eastAsia" w:ascii="Times New Roman" w:hAnsi="Times New Roman"/>
          <w:color w:val="auto"/>
          <w:sz w:val="24"/>
        </w:rPr>
        <w:t>可不对项目区</w:t>
      </w:r>
      <w:r>
        <w:rPr>
          <w:rFonts w:ascii="Times New Roman" w:hAnsi="Times New Roman"/>
          <w:color w:val="auto"/>
          <w:sz w:val="24"/>
        </w:rPr>
        <w:t>土壤</w:t>
      </w:r>
      <w:r>
        <w:rPr>
          <w:rFonts w:hint="eastAsia" w:ascii="Times New Roman" w:hAnsi="Times New Roman"/>
          <w:color w:val="auto"/>
          <w:sz w:val="24"/>
        </w:rPr>
        <w:t>环境进行</w:t>
      </w:r>
      <w:r>
        <w:rPr>
          <w:rFonts w:ascii="Times New Roman" w:hAnsi="Times New Roman"/>
          <w:color w:val="auto"/>
          <w:sz w:val="24"/>
        </w:rPr>
        <w:t>评价。</w:t>
      </w:r>
    </w:p>
    <w:p w14:paraId="065B55F2">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5</w:t>
      </w:r>
      <w:r>
        <w:rPr>
          <w:color w:val="auto"/>
        </w:rPr>
        <w:fldChar w:fldCharType="end"/>
      </w:r>
      <w:r>
        <w:rPr>
          <w:rFonts w:ascii="Times New Roman" w:hAnsi="Times New Roman"/>
          <w:b/>
          <w:color w:val="auto"/>
          <w:sz w:val="21"/>
          <w:szCs w:val="21"/>
        </w:rPr>
        <w:t>项目土壤环境</w:t>
      </w:r>
      <w:r>
        <w:rPr>
          <w:rFonts w:hint="eastAsia" w:ascii="Times New Roman" w:hAnsi="Times New Roman"/>
          <w:b/>
          <w:color w:val="auto"/>
          <w:sz w:val="21"/>
          <w:szCs w:val="21"/>
          <w:lang w:val="en-US" w:eastAsia="zh-CN"/>
        </w:rPr>
        <w:t>生态影响型</w:t>
      </w:r>
      <w:r>
        <w:rPr>
          <w:rFonts w:ascii="Times New Roman" w:hAnsi="Times New Roman"/>
          <w:b/>
          <w:color w:val="auto"/>
          <w:sz w:val="21"/>
          <w:szCs w:val="21"/>
        </w:rPr>
        <w:t>评价工作等级表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2488"/>
        <w:gridCol w:w="2057"/>
        <w:gridCol w:w="1868"/>
      </w:tblGrid>
      <w:tr w14:paraId="0798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235" w:type="pct"/>
            <w:tcBorders>
              <w:top w:val="single" w:color="auto" w:sz="4" w:space="0"/>
              <w:left w:val="single" w:color="auto" w:sz="4" w:space="0"/>
              <w:bottom w:val="single" w:color="auto" w:sz="4" w:space="0"/>
              <w:right w:val="single" w:color="auto" w:sz="4" w:space="0"/>
            </w:tcBorders>
            <w:vAlign w:val="center"/>
            <mc:AlternateContent>
              <mc:Choice Requires="wpsCustomData">
                <wpsCustomData:diagonals>
                  <wpsCustomData:diagonal from="30000" to="6100">
                    <wpsCustomData:border w:val="single" w:color="auto" w:sz="4" w:space="0"/>
                  </wpsCustomData:diagonal>
                  <wpsCustomData:diagonal from="15000" to="30000">
                    <wpsCustomData:border w:val="single" w:color="auto" w:sz="4" w:space="0"/>
                  </wpsCustomData:diagonal>
                </wpsCustomData:diagonals>
              </mc:Choice>
            </mc:AlternateContent>
          </w:tcPr>
          <w:p w14:paraId="05239232">
            <w:pPr>
              <w:pStyle w:val="31"/>
              <w:bidi w:val="0"/>
              <w:snapToGrid w:val="0"/>
              <w:jc w:val="left"/>
              <mc:AlternateContent>
                <mc:Choice Requires="wpsCustomData">
                  <wpsCustomData:diagonalParaType/>
                </mc:Choice>
              </mc:AlternateContent>
              <w:rPr>
                <w:rFonts w:hint="default" w:eastAsia="宋体"/>
                <w:color w:val="auto"/>
                <w:lang w:val="en-US" w:eastAsia="zh-CN"/>
              </w:rPr>
            </w:pPr>
            <w:r>
              <w:rPr>
                <w:rFonts w:hint="eastAsia"/>
                <w:color w:val="auto"/>
                <w:lang w:val="en-US" w:eastAsia="zh-CN"/>
              </w:rPr>
              <w:t>敏感程度</w:t>
            </w:r>
          </w:p>
          <w:p w14:paraId="23A01F5E">
            <w:pPr>
              <w:pStyle w:val="31"/>
              <w:bidi w:val="0"/>
              <w:snapToGrid w:val="0"/>
              <w:jc w:val="left"/>
              <mc:AlternateContent>
                <mc:Choice Requires="wpsCustomData">
                  <wpsCustomData:diagonalParaType/>
                </mc:Choice>
              </mc:AlternateContent>
              <w:rPr>
                <w:rFonts w:hint="default" w:eastAsia="宋体"/>
                <w:color w:val="auto"/>
                <w:lang w:val="en-US" w:eastAsia="zh-CN"/>
              </w:rPr>
            </w:pPr>
            <w:r>
              <w:rPr>
                <w:rFonts w:hint="eastAsia"/>
                <w:color w:val="auto"/>
                <w:lang w:val="en-US" w:eastAsia="zh-CN"/>
              </w:rPr>
              <w:t>评价工作等级</w:t>
            </w:r>
          </w:p>
          <w:p w14:paraId="2A866758">
            <w:pPr>
              <w:pStyle w:val="31"/>
              <w:bidi w:val="0"/>
              <w:jc w:val="left"/>
              <w:rPr>
                <w:rFonts w:hint="default" w:eastAsia="宋体"/>
                <w:color w:val="auto"/>
                <w:lang w:val="en-US" w:eastAsia="zh-CN"/>
              </w:rPr>
            </w:pPr>
            <w:r>
              <w:rPr>
                <w:rFonts w:hint="eastAsia"/>
                <w:color w:val="auto"/>
                <w:lang w:val="en-US" w:eastAsia="zh-CN"/>
              </w:rPr>
              <w:t>项目类别</w:t>
            </w:r>
          </w:p>
        </w:tc>
        <w:tc>
          <w:tcPr>
            <w:tcW w:w="1461" w:type="pct"/>
            <w:tcBorders>
              <w:top w:val="single" w:color="auto" w:sz="4" w:space="0"/>
              <w:left w:val="single" w:color="auto" w:sz="4" w:space="0"/>
              <w:right w:val="single" w:color="auto" w:sz="4" w:space="0"/>
            </w:tcBorders>
            <w:vAlign w:val="center"/>
          </w:tcPr>
          <w:p w14:paraId="4CE85841">
            <w:pPr>
              <w:pStyle w:val="31"/>
              <w:bidi w:val="0"/>
              <w:rPr>
                <w:color w:val="auto"/>
              </w:rPr>
            </w:pPr>
            <w:r>
              <w:rPr>
                <w:rFonts w:hint="eastAsia"/>
                <w:color w:val="auto"/>
              </w:rPr>
              <w:t>Ⅰ</w:t>
            </w:r>
            <w:r>
              <w:rPr>
                <w:color w:val="auto"/>
              </w:rPr>
              <w:t>类</w:t>
            </w:r>
          </w:p>
        </w:tc>
        <w:tc>
          <w:tcPr>
            <w:tcW w:w="1208" w:type="pct"/>
            <w:tcBorders>
              <w:top w:val="single" w:color="auto" w:sz="4" w:space="0"/>
              <w:left w:val="single" w:color="auto" w:sz="4" w:space="0"/>
              <w:right w:val="single" w:color="auto" w:sz="4" w:space="0"/>
            </w:tcBorders>
            <w:vAlign w:val="center"/>
          </w:tcPr>
          <w:p w14:paraId="4456D5FB">
            <w:pPr>
              <w:pStyle w:val="31"/>
              <w:bidi w:val="0"/>
              <w:rPr>
                <w:color w:val="auto"/>
              </w:rPr>
            </w:pPr>
            <w:r>
              <w:rPr>
                <w:rFonts w:hint="eastAsia"/>
                <w:color w:val="auto"/>
              </w:rPr>
              <w:t>Ⅱ</w:t>
            </w:r>
            <w:r>
              <w:rPr>
                <w:color w:val="auto"/>
              </w:rPr>
              <w:t>类</w:t>
            </w:r>
          </w:p>
        </w:tc>
        <w:tc>
          <w:tcPr>
            <w:tcW w:w="1095" w:type="pct"/>
            <w:tcBorders>
              <w:top w:val="single" w:color="auto" w:sz="4" w:space="0"/>
              <w:left w:val="single" w:color="auto" w:sz="4" w:space="0"/>
              <w:right w:val="single" w:color="auto" w:sz="4" w:space="0"/>
            </w:tcBorders>
            <w:vAlign w:val="center"/>
          </w:tcPr>
          <w:p w14:paraId="3BC4D6B6">
            <w:pPr>
              <w:pStyle w:val="31"/>
              <w:bidi w:val="0"/>
              <w:rPr>
                <w:color w:val="auto"/>
              </w:rPr>
            </w:pPr>
            <w:r>
              <w:rPr>
                <w:rFonts w:hint="eastAsia"/>
                <w:color w:val="auto"/>
              </w:rPr>
              <w:t>Ⅲ</w:t>
            </w:r>
            <w:r>
              <w:rPr>
                <w:color w:val="auto"/>
              </w:rPr>
              <w:t>类</w:t>
            </w:r>
          </w:p>
        </w:tc>
      </w:tr>
      <w:tr w14:paraId="413A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pct"/>
            <w:tcBorders>
              <w:top w:val="single" w:color="auto" w:sz="4" w:space="0"/>
              <w:left w:val="single" w:color="auto" w:sz="4" w:space="0"/>
              <w:bottom w:val="single" w:color="auto" w:sz="4" w:space="0"/>
              <w:right w:val="single" w:color="auto" w:sz="4" w:space="0"/>
            </w:tcBorders>
            <w:vAlign w:val="center"/>
          </w:tcPr>
          <w:p w14:paraId="6F60852D">
            <w:pPr>
              <w:pStyle w:val="31"/>
              <w:bidi w:val="0"/>
              <w:rPr>
                <w:color w:val="auto"/>
              </w:rPr>
            </w:pPr>
            <w:r>
              <w:rPr>
                <w:color w:val="auto"/>
              </w:rPr>
              <w:t>敏感</w:t>
            </w:r>
          </w:p>
        </w:tc>
        <w:tc>
          <w:tcPr>
            <w:tcW w:w="1461" w:type="pct"/>
            <w:tcBorders>
              <w:top w:val="single" w:color="auto" w:sz="4" w:space="0"/>
              <w:left w:val="single" w:color="auto" w:sz="4" w:space="0"/>
              <w:bottom w:val="single" w:color="auto" w:sz="4" w:space="0"/>
              <w:right w:val="single" w:color="auto" w:sz="4" w:space="0"/>
            </w:tcBorders>
            <w:vAlign w:val="center"/>
          </w:tcPr>
          <w:p w14:paraId="31A0BD5B">
            <w:pPr>
              <w:pStyle w:val="31"/>
              <w:bidi w:val="0"/>
              <w:rPr>
                <w:color w:val="auto"/>
              </w:rPr>
            </w:pPr>
            <w:r>
              <w:rPr>
                <w:color w:val="auto"/>
              </w:rPr>
              <w:t>一级</w:t>
            </w:r>
          </w:p>
        </w:tc>
        <w:tc>
          <w:tcPr>
            <w:tcW w:w="1208" w:type="pct"/>
            <w:tcBorders>
              <w:top w:val="single" w:color="auto" w:sz="4" w:space="0"/>
              <w:left w:val="single" w:color="auto" w:sz="4" w:space="0"/>
              <w:bottom w:val="single" w:color="auto" w:sz="4" w:space="0"/>
              <w:right w:val="single" w:color="auto" w:sz="4" w:space="0"/>
            </w:tcBorders>
            <w:vAlign w:val="center"/>
          </w:tcPr>
          <w:p w14:paraId="0ED2BC6F">
            <w:pPr>
              <w:pStyle w:val="31"/>
              <w:bidi w:val="0"/>
              <w:rPr>
                <w:color w:val="auto"/>
              </w:rPr>
            </w:pPr>
            <w:r>
              <w:rPr>
                <w:color w:val="auto"/>
              </w:rPr>
              <w:t>二级</w:t>
            </w:r>
          </w:p>
        </w:tc>
        <w:tc>
          <w:tcPr>
            <w:tcW w:w="1095" w:type="pct"/>
            <w:tcBorders>
              <w:top w:val="single" w:color="auto" w:sz="4" w:space="0"/>
              <w:left w:val="single" w:color="auto" w:sz="4" w:space="0"/>
              <w:bottom w:val="single" w:color="auto" w:sz="4" w:space="0"/>
              <w:right w:val="single" w:color="auto" w:sz="4" w:space="0"/>
            </w:tcBorders>
            <w:shd w:val="clear" w:color="auto" w:fill="auto"/>
            <w:vAlign w:val="center"/>
          </w:tcPr>
          <w:p w14:paraId="4AFAF594">
            <w:pPr>
              <w:pStyle w:val="31"/>
              <w:bidi w:val="0"/>
              <w:rPr>
                <w:color w:val="auto"/>
              </w:rPr>
            </w:pPr>
            <w:r>
              <w:rPr>
                <w:color w:val="auto"/>
              </w:rPr>
              <w:t>三级</w:t>
            </w:r>
          </w:p>
        </w:tc>
      </w:tr>
      <w:tr w14:paraId="5681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pct"/>
            <w:tcBorders>
              <w:top w:val="single" w:color="auto" w:sz="4" w:space="0"/>
              <w:left w:val="single" w:color="auto" w:sz="4" w:space="0"/>
              <w:bottom w:val="single" w:color="auto" w:sz="4" w:space="0"/>
              <w:right w:val="single" w:color="auto" w:sz="4" w:space="0"/>
            </w:tcBorders>
            <w:vAlign w:val="center"/>
          </w:tcPr>
          <w:p w14:paraId="7BA1C130">
            <w:pPr>
              <w:pStyle w:val="31"/>
              <w:bidi w:val="0"/>
              <w:rPr>
                <w:color w:val="auto"/>
              </w:rPr>
            </w:pPr>
            <w:r>
              <w:rPr>
                <w:color w:val="auto"/>
              </w:rPr>
              <w:t>较敏感</w:t>
            </w:r>
          </w:p>
        </w:tc>
        <w:tc>
          <w:tcPr>
            <w:tcW w:w="1461" w:type="pct"/>
            <w:tcBorders>
              <w:top w:val="single" w:color="auto" w:sz="4" w:space="0"/>
              <w:left w:val="single" w:color="auto" w:sz="4" w:space="0"/>
              <w:bottom w:val="single" w:color="auto" w:sz="4" w:space="0"/>
              <w:right w:val="single" w:color="auto" w:sz="4" w:space="0"/>
            </w:tcBorders>
            <w:vAlign w:val="center"/>
          </w:tcPr>
          <w:p w14:paraId="611A9A5A">
            <w:pPr>
              <w:pStyle w:val="31"/>
              <w:bidi w:val="0"/>
              <w:rPr>
                <w:color w:val="auto"/>
              </w:rPr>
            </w:pPr>
            <w:r>
              <w:rPr>
                <w:color w:val="auto"/>
              </w:rPr>
              <w:t>二级</w:t>
            </w:r>
          </w:p>
        </w:tc>
        <w:tc>
          <w:tcPr>
            <w:tcW w:w="1208" w:type="pct"/>
            <w:tcBorders>
              <w:top w:val="single" w:color="auto" w:sz="4" w:space="0"/>
              <w:left w:val="single" w:color="auto" w:sz="4" w:space="0"/>
              <w:bottom w:val="single" w:color="auto" w:sz="4" w:space="0"/>
              <w:right w:val="single" w:color="auto" w:sz="4" w:space="0"/>
            </w:tcBorders>
            <w:vAlign w:val="center"/>
          </w:tcPr>
          <w:p w14:paraId="4CF5B75C">
            <w:pPr>
              <w:pStyle w:val="31"/>
              <w:bidi w:val="0"/>
              <w:rPr>
                <w:color w:val="auto"/>
              </w:rPr>
            </w:pPr>
            <w:r>
              <w:rPr>
                <w:color w:val="auto"/>
              </w:rPr>
              <w:t>二级</w:t>
            </w:r>
          </w:p>
        </w:tc>
        <w:tc>
          <w:tcPr>
            <w:tcW w:w="1095" w:type="pct"/>
            <w:tcBorders>
              <w:top w:val="single" w:color="auto" w:sz="4" w:space="0"/>
              <w:left w:val="single" w:color="auto" w:sz="4" w:space="0"/>
              <w:bottom w:val="single" w:color="auto" w:sz="4" w:space="0"/>
              <w:right w:val="single" w:color="auto" w:sz="4" w:space="0"/>
            </w:tcBorders>
            <w:vAlign w:val="center"/>
          </w:tcPr>
          <w:p w14:paraId="01CDC3CF">
            <w:pPr>
              <w:pStyle w:val="31"/>
              <w:bidi w:val="0"/>
              <w:rPr>
                <w:color w:val="auto"/>
              </w:rPr>
            </w:pPr>
            <w:r>
              <w:rPr>
                <w:color w:val="auto"/>
              </w:rPr>
              <w:t>三级</w:t>
            </w:r>
          </w:p>
        </w:tc>
      </w:tr>
      <w:tr w14:paraId="3CD3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pct"/>
            <w:tcBorders>
              <w:top w:val="single" w:color="auto" w:sz="4" w:space="0"/>
              <w:left w:val="single" w:color="auto" w:sz="4" w:space="0"/>
              <w:bottom w:val="single" w:color="auto" w:sz="4" w:space="0"/>
              <w:right w:val="single" w:color="auto" w:sz="4" w:space="0"/>
            </w:tcBorders>
            <w:vAlign w:val="center"/>
          </w:tcPr>
          <w:p w14:paraId="310F89E4">
            <w:pPr>
              <w:pStyle w:val="31"/>
              <w:bidi w:val="0"/>
              <w:rPr>
                <w:color w:val="auto"/>
              </w:rPr>
            </w:pPr>
            <w:r>
              <w:rPr>
                <w:color w:val="auto"/>
              </w:rPr>
              <w:t>不敏感</w:t>
            </w:r>
          </w:p>
        </w:tc>
        <w:tc>
          <w:tcPr>
            <w:tcW w:w="1461" w:type="pct"/>
            <w:tcBorders>
              <w:top w:val="single" w:color="auto" w:sz="4" w:space="0"/>
              <w:left w:val="single" w:color="auto" w:sz="4" w:space="0"/>
              <w:bottom w:val="single" w:color="auto" w:sz="4" w:space="0"/>
              <w:right w:val="single" w:color="auto" w:sz="4" w:space="0"/>
            </w:tcBorders>
            <w:vAlign w:val="center"/>
          </w:tcPr>
          <w:p w14:paraId="4AD77D83">
            <w:pPr>
              <w:pStyle w:val="31"/>
              <w:bidi w:val="0"/>
              <w:rPr>
                <w:color w:val="auto"/>
              </w:rPr>
            </w:pPr>
            <w:r>
              <w:rPr>
                <w:color w:val="auto"/>
              </w:rPr>
              <w:t>二级</w:t>
            </w:r>
          </w:p>
        </w:tc>
        <w:tc>
          <w:tcPr>
            <w:tcW w:w="1208" w:type="pct"/>
            <w:tcBorders>
              <w:top w:val="single" w:color="auto" w:sz="4" w:space="0"/>
              <w:left w:val="single" w:color="auto" w:sz="4" w:space="0"/>
              <w:bottom w:val="single" w:color="auto" w:sz="4" w:space="0"/>
              <w:right w:val="single" w:color="auto" w:sz="4" w:space="0"/>
            </w:tcBorders>
            <w:shd w:val="clear" w:color="auto" w:fill="auto"/>
            <w:vAlign w:val="center"/>
          </w:tcPr>
          <w:p w14:paraId="3FC87997">
            <w:pPr>
              <w:pStyle w:val="31"/>
              <w:bidi w:val="0"/>
              <w:rPr>
                <w:color w:val="auto"/>
              </w:rPr>
            </w:pPr>
            <w:r>
              <w:rPr>
                <w:color w:val="auto"/>
              </w:rPr>
              <w:t>三级</w:t>
            </w:r>
          </w:p>
        </w:tc>
        <w:tc>
          <w:tcPr>
            <w:tcW w:w="1095"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3945159">
            <w:pPr>
              <w:pStyle w:val="31"/>
              <w:bidi w:val="0"/>
              <w:rPr>
                <w:color w:val="auto"/>
              </w:rPr>
            </w:pPr>
            <w:r>
              <w:rPr>
                <w:color w:val="auto"/>
              </w:rPr>
              <w:t>-</w:t>
            </w:r>
          </w:p>
        </w:tc>
      </w:tr>
      <w:tr w14:paraId="78C9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D032016">
            <w:pPr>
              <w:pStyle w:val="31"/>
              <w:bidi w:val="0"/>
              <w:rPr>
                <w:color w:val="auto"/>
              </w:rPr>
            </w:pPr>
            <w:r>
              <w:rPr>
                <w:color w:val="auto"/>
              </w:rPr>
              <w:t>注：“-”表示可不开展土壤环境影响评价工作。</w:t>
            </w:r>
          </w:p>
        </w:tc>
      </w:tr>
    </w:tbl>
    <w:p w14:paraId="3B0BD19D">
      <w:pPr>
        <w:pStyle w:val="5"/>
        <w:bidi w:val="0"/>
        <w:rPr>
          <w:color w:val="auto"/>
        </w:rPr>
      </w:pPr>
      <w:r>
        <w:rPr>
          <w:color w:val="auto"/>
        </w:rPr>
        <w:t>环境风险评价工作等级</w:t>
      </w:r>
    </w:p>
    <w:p w14:paraId="31EC4896">
      <w:pPr>
        <w:rPr>
          <w:rFonts w:hint="eastAsia"/>
          <w:color w:val="auto"/>
        </w:rPr>
      </w:pPr>
      <w:r>
        <w:rPr>
          <w:rFonts w:hint="eastAsia"/>
          <w:color w:val="auto"/>
        </w:rPr>
        <w:t>本项目施工区内不设置油料贮存场所</w:t>
      </w:r>
      <w:r>
        <w:rPr>
          <w:rFonts w:hint="eastAsia"/>
          <w:color w:val="auto"/>
          <w:lang w:eastAsia="zh-CN"/>
        </w:rPr>
        <w:t>，</w:t>
      </w:r>
      <w:r>
        <w:rPr>
          <w:rFonts w:hint="eastAsia"/>
          <w:color w:val="auto"/>
        </w:rPr>
        <w:t>车辆根据施工需要及时就近到附近加油站加油</w:t>
      </w:r>
      <w:r>
        <w:rPr>
          <w:rFonts w:hint="eastAsia"/>
          <w:color w:val="auto"/>
          <w:lang w:eastAsia="zh-CN"/>
        </w:rPr>
        <w:t>，</w:t>
      </w:r>
      <w:r>
        <w:rPr>
          <w:rFonts w:hint="eastAsia"/>
          <w:color w:val="auto"/>
        </w:rPr>
        <w:t>根据《建设项目环境风险评价技术导则》(HJ169-2018)中附录C.11计算危险物质数量与临界量比值</w:t>
      </w:r>
      <w:r>
        <w:rPr>
          <w:rFonts w:hint="eastAsia"/>
          <w:color w:val="auto"/>
          <w:lang w:val="en-US" w:eastAsia="zh-CN"/>
        </w:rPr>
        <w:t>Q</w:t>
      </w:r>
      <w:r>
        <w:rPr>
          <w:rFonts w:hint="eastAsia"/>
          <w:color w:val="auto"/>
        </w:rPr>
        <w:t>，</w:t>
      </w:r>
      <w:r>
        <w:rPr>
          <w:rFonts w:hint="eastAsia"/>
          <w:color w:val="auto"/>
          <w:lang w:val="en-US" w:eastAsia="zh-CN"/>
        </w:rPr>
        <w:t>Q</w:t>
      </w:r>
      <w:r>
        <w:rPr>
          <w:rFonts w:hint="eastAsia"/>
          <w:color w:val="auto"/>
        </w:rPr>
        <w:t>&lt;1，该项目环境风险潜势为</w:t>
      </w:r>
      <w:r>
        <w:rPr>
          <w:rFonts w:hint="eastAsia"/>
          <w:color w:val="auto"/>
          <w:lang w:val="en-US" w:eastAsia="zh-CN"/>
        </w:rPr>
        <w:t>Ⅰ</w:t>
      </w:r>
      <w:r>
        <w:rPr>
          <w:rFonts w:hint="eastAsia"/>
          <w:color w:val="auto"/>
        </w:rPr>
        <w:t>。根据《建设项目环境风险评价技术导则》(HJ169-2018)表1评价工作等级划分，确定本工程环境风险评价工作等级为简单分析。</w:t>
      </w:r>
    </w:p>
    <w:p w14:paraId="32EA9054">
      <w:pPr>
        <w:pStyle w:val="11"/>
        <w:bidi w:val="0"/>
        <w:rPr>
          <w:rFonts w:hint="eastAsia"/>
          <w:color w:val="auto"/>
        </w:rPr>
      </w:pPr>
      <w:r>
        <w:rPr>
          <w:color w:val="auto"/>
          <w:lang w:val="en-US" w:eastAsia="zh-CN"/>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6</w:t>
      </w:r>
      <w:r>
        <w:rPr>
          <w:color w:val="auto"/>
        </w:rPr>
        <w:fldChar w:fldCharType="end"/>
      </w:r>
      <w:r>
        <w:rPr>
          <w:color w:val="auto"/>
          <w:lang w:val="en-US" w:eastAsia="zh-CN"/>
        </w:rPr>
        <w:t>环境风险评价工作等级划分</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86"/>
        <w:gridCol w:w="1714"/>
        <w:gridCol w:w="1692"/>
        <w:gridCol w:w="1714"/>
        <w:gridCol w:w="1698"/>
      </w:tblGrid>
      <w:tr w14:paraId="22AB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648" w:type="dxa"/>
            <w:shd w:val="clear" w:color="auto" w:fill="auto"/>
            <w:vAlign w:val="center"/>
          </w:tcPr>
          <w:p w14:paraId="6B2BB518">
            <w:pPr>
              <w:pStyle w:val="31"/>
              <w:bidi w:val="0"/>
              <w:jc w:val="center"/>
              <w:rPr>
                <w:color w:val="auto"/>
              </w:rPr>
            </w:pPr>
            <w:r>
              <w:rPr>
                <w:color w:val="auto"/>
                <w:lang w:val="en-US" w:eastAsia="zh-CN"/>
              </w:rPr>
              <w:t>环境风险潜势</w:t>
            </w:r>
          </w:p>
        </w:tc>
        <w:tc>
          <w:tcPr>
            <w:tcW w:w="1675" w:type="dxa"/>
            <w:shd w:val="clear" w:color="auto" w:fill="auto"/>
            <w:vAlign w:val="center"/>
          </w:tcPr>
          <w:p w14:paraId="6BD64BC6">
            <w:pPr>
              <w:pStyle w:val="31"/>
              <w:bidi w:val="0"/>
              <w:jc w:val="center"/>
              <w:rPr>
                <w:color w:val="auto"/>
              </w:rPr>
            </w:pPr>
            <w:r>
              <w:rPr>
                <w:color w:val="auto"/>
                <w:lang w:val="en-US" w:eastAsia="zh-CN"/>
              </w:rPr>
              <w:t>IV、IV+</w:t>
            </w:r>
          </w:p>
        </w:tc>
        <w:tc>
          <w:tcPr>
            <w:tcW w:w="1653" w:type="dxa"/>
            <w:shd w:val="clear" w:color="auto" w:fill="auto"/>
            <w:vAlign w:val="center"/>
          </w:tcPr>
          <w:p w14:paraId="78BF2171">
            <w:pPr>
              <w:pStyle w:val="31"/>
              <w:bidi w:val="0"/>
              <w:jc w:val="center"/>
              <w:rPr>
                <w:color w:val="auto"/>
              </w:rPr>
            </w:pPr>
            <w:r>
              <w:rPr>
                <w:color w:val="auto"/>
                <w:lang w:val="en-US" w:eastAsia="zh-CN"/>
              </w:rPr>
              <w:t>II</w:t>
            </w:r>
          </w:p>
        </w:tc>
        <w:tc>
          <w:tcPr>
            <w:tcW w:w="1675" w:type="dxa"/>
            <w:shd w:val="clear" w:color="auto" w:fill="auto"/>
            <w:vAlign w:val="center"/>
          </w:tcPr>
          <w:p w14:paraId="515FA228">
            <w:pPr>
              <w:pStyle w:val="31"/>
              <w:bidi w:val="0"/>
              <w:jc w:val="center"/>
              <w:rPr>
                <w:color w:val="auto"/>
              </w:rPr>
            </w:pPr>
            <w:r>
              <w:rPr>
                <w:color w:val="auto"/>
                <w:lang w:val="en-US" w:eastAsia="zh-CN"/>
              </w:rPr>
              <w:t>Ⅱ</w:t>
            </w:r>
          </w:p>
        </w:tc>
        <w:tc>
          <w:tcPr>
            <w:tcW w:w="1659" w:type="dxa"/>
            <w:shd w:val="clear" w:color="auto" w:fill="auto"/>
            <w:vAlign w:val="center"/>
          </w:tcPr>
          <w:p w14:paraId="2B2AA839">
            <w:pPr>
              <w:pStyle w:val="31"/>
              <w:bidi w:val="0"/>
              <w:jc w:val="center"/>
              <w:rPr>
                <w:color w:val="auto"/>
              </w:rPr>
            </w:pPr>
            <w:r>
              <w:rPr>
                <w:color w:val="auto"/>
                <w:lang w:val="en-US" w:eastAsia="zh-CN"/>
              </w:rPr>
              <w:t>I</w:t>
            </w:r>
          </w:p>
        </w:tc>
      </w:tr>
      <w:tr w14:paraId="5D05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648" w:type="dxa"/>
            <w:shd w:val="clear" w:color="auto" w:fill="auto"/>
            <w:vAlign w:val="center"/>
          </w:tcPr>
          <w:p w14:paraId="10612CE6">
            <w:pPr>
              <w:pStyle w:val="31"/>
              <w:bidi w:val="0"/>
              <w:jc w:val="center"/>
              <w:rPr>
                <w:color w:val="auto"/>
              </w:rPr>
            </w:pPr>
            <w:r>
              <w:rPr>
                <w:color w:val="auto"/>
                <w:lang w:val="en-US" w:eastAsia="zh-CN"/>
              </w:rPr>
              <w:t>评价工作等级</w:t>
            </w:r>
          </w:p>
        </w:tc>
        <w:tc>
          <w:tcPr>
            <w:tcW w:w="1675" w:type="dxa"/>
            <w:shd w:val="clear" w:color="auto" w:fill="auto"/>
            <w:vAlign w:val="center"/>
          </w:tcPr>
          <w:p w14:paraId="1C7C5B61">
            <w:pPr>
              <w:pStyle w:val="31"/>
              <w:bidi w:val="0"/>
              <w:jc w:val="center"/>
              <w:rPr>
                <w:rFonts w:hint="default" w:eastAsia="宋体"/>
                <w:color w:val="auto"/>
                <w:lang w:val="en-US" w:eastAsia="zh-CN"/>
              </w:rPr>
            </w:pPr>
            <w:r>
              <w:rPr>
                <w:rFonts w:hint="eastAsia"/>
                <w:color w:val="auto"/>
                <w:lang w:val="en-US" w:eastAsia="zh-CN"/>
              </w:rPr>
              <w:t>一</w:t>
            </w:r>
          </w:p>
        </w:tc>
        <w:tc>
          <w:tcPr>
            <w:tcW w:w="1653" w:type="dxa"/>
            <w:shd w:val="clear" w:color="auto" w:fill="auto"/>
            <w:vAlign w:val="center"/>
          </w:tcPr>
          <w:p w14:paraId="4707F07B">
            <w:pPr>
              <w:pStyle w:val="31"/>
              <w:bidi w:val="0"/>
              <w:jc w:val="center"/>
              <w:rPr>
                <w:color w:val="auto"/>
              </w:rPr>
            </w:pPr>
            <w:r>
              <w:rPr>
                <w:color w:val="auto"/>
                <w:lang w:val="en-US" w:eastAsia="zh-CN"/>
              </w:rPr>
              <w:t>二</w:t>
            </w:r>
          </w:p>
        </w:tc>
        <w:tc>
          <w:tcPr>
            <w:tcW w:w="1675" w:type="dxa"/>
            <w:shd w:val="clear" w:color="auto" w:fill="auto"/>
            <w:vAlign w:val="center"/>
          </w:tcPr>
          <w:p w14:paraId="4D45CEC3">
            <w:pPr>
              <w:pStyle w:val="31"/>
              <w:bidi w:val="0"/>
              <w:jc w:val="center"/>
              <w:rPr>
                <w:color w:val="auto"/>
              </w:rPr>
            </w:pPr>
            <w:r>
              <w:rPr>
                <w:color w:val="auto"/>
                <w:lang w:val="en-US" w:eastAsia="zh-CN"/>
              </w:rPr>
              <w:t>三</w:t>
            </w:r>
          </w:p>
        </w:tc>
        <w:tc>
          <w:tcPr>
            <w:tcW w:w="1659" w:type="dxa"/>
            <w:shd w:val="clear" w:color="auto" w:fill="auto"/>
            <w:vAlign w:val="center"/>
          </w:tcPr>
          <w:p w14:paraId="0D4961CA">
            <w:pPr>
              <w:pStyle w:val="31"/>
              <w:bidi w:val="0"/>
              <w:jc w:val="center"/>
              <w:rPr>
                <w:color w:val="auto"/>
              </w:rPr>
            </w:pPr>
            <w:r>
              <w:rPr>
                <w:color w:val="auto"/>
                <w:lang w:val="en-US" w:eastAsia="zh-CN"/>
              </w:rPr>
              <w:t>简单分析</w:t>
            </w:r>
          </w:p>
        </w:tc>
      </w:tr>
      <w:tr w14:paraId="639C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8310" w:type="dxa"/>
            <w:gridSpan w:val="5"/>
            <w:shd w:val="clear" w:color="auto" w:fill="auto"/>
            <w:vAlign w:val="center"/>
          </w:tcPr>
          <w:p w14:paraId="4788B500">
            <w:pPr>
              <w:pStyle w:val="31"/>
              <w:bidi w:val="0"/>
              <w:jc w:val="left"/>
              <w:rPr>
                <w:color w:val="auto"/>
              </w:rPr>
            </w:pPr>
            <w:r>
              <w:rPr>
                <w:color w:val="auto"/>
                <w:lang w:val="en-US" w:eastAsia="zh-CN"/>
              </w:rPr>
              <w:t>a是相对于详细评价工作内容而言，在描述危险物质、环境影响途径、环境危害后果、风险防范措施等方面给出定性的说明。</w:t>
            </w:r>
          </w:p>
        </w:tc>
      </w:tr>
    </w:tbl>
    <w:p w14:paraId="71194C83">
      <w:pPr>
        <w:pStyle w:val="4"/>
        <w:bidi w:val="0"/>
        <w:rPr>
          <w:color w:val="auto"/>
        </w:rPr>
      </w:pPr>
      <w:bookmarkStart w:id="69" w:name="_Toc4995"/>
      <w:r>
        <w:rPr>
          <w:color w:val="auto"/>
        </w:rPr>
        <w:t>各环境影响评价工作等级及评价范围</w:t>
      </w:r>
      <w:bookmarkEnd w:id="69"/>
    </w:p>
    <w:p w14:paraId="1A966B34">
      <w:pPr>
        <w:snapToGrid w:val="0"/>
        <w:spacing w:line="360" w:lineRule="auto"/>
        <w:ind w:firstLine="480" w:firstLineChars="200"/>
        <w:rPr>
          <w:rFonts w:ascii="Times New Roman" w:hAnsi="Times New Roman"/>
          <w:color w:val="auto"/>
          <w:sz w:val="24"/>
        </w:rPr>
      </w:pPr>
      <w:r>
        <w:rPr>
          <w:rFonts w:ascii="Times New Roman" w:hAnsi="Times New Roman"/>
          <w:color w:val="auto"/>
          <w:sz w:val="24"/>
        </w:rPr>
        <w:t>根据上述各节所示，评价等级及评价范围见下表。</w:t>
      </w:r>
    </w:p>
    <w:p w14:paraId="70CA1D43">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7</w:t>
      </w:r>
      <w:r>
        <w:rPr>
          <w:color w:val="auto"/>
        </w:rPr>
        <w:fldChar w:fldCharType="end"/>
      </w:r>
      <w:r>
        <w:rPr>
          <w:rFonts w:ascii="Times New Roman" w:hAnsi="Times New Roman"/>
          <w:b/>
          <w:color w:val="auto"/>
          <w:sz w:val="21"/>
          <w:szCs w:val="21"/>
        </w:rPr>
        <w:t>评价范围汇总表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298"/>
        <w:gridCol w:w="1491"/>
        <w:gridCol w:w="5015"/>
      </w:tblGrid>
      <w:tr w14:paraId="6AA5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2696A8A3">
            <w:pPr>
              <w:pStyle w:val="31"/>
              <w:bidi w:val="0"/>
              <w:rPr>
                <w:color w:val="auto"/>
              </w:rPr>
            </w:pPr>
            <w:r>
              <w:rPr>
                <w:color w:val="auto"/>
              </w:rPr>
              <w:t>序号</w:t>
            </w:r>
          </w:p>
        </w:tc>
        <w:tc>
          <w:tcPr>
            <w:tcW w:w="762" w:type="pct"/>
            <w:shd w:val="clear" w:color="auto" w:fill="auto"/>
            <w:vAlign w:val="center"/>
          </w:tcPr>
          <w:p w14:paraId="4624547D">
            <w:pPr>
              <w:pStyle w:val="31"/>
              <w:bidi w:val="0"/>
              <w:rPr>
                <w:color w:val="auto"/>
              </w:rPr>
            </w:pPr>
            <w:r>
              <w:rPr>
                <w:color w:val="auto"/>
              </w:rPr>
              <w:t>环境要素</w:t>
            </w:r>
          </w:p>
        </w:tc>
        <w:tc>
          <w:tcPr>
            <w:tcW w:w="875" w:type="pct"/>
            <w:shd w:val="clear" w:color="auto" w:fill="auto"/>
            <w:vAlign w:val="center"/>
          </w:tcPr>
          <w:p w14:paraId="66E99ADC">
            <w:pPr>
              <w:pStyle w:val="31"/>
              <w:bidi w:val="0"/>
              <w:rPr>
                <w:color w:val="auto"/>
              </w:rPr>
            </w:pPr>
            <w:r>
              <w:rPr>
                <w:color w:val="auto"/>
              </w:rPr>
              <w:t>评价工作等级</w:t>
            </w:r>
          </w:p>
        </w:tc>
        <w:tc>
          <w:tcPr>
            <w:tcW w:w="2943" w:type="pct"/>
            <w:shd w:val="clear" w:color="auto" w:fill="auto"/>
            <w:vAlign w:val="center"/>
          </w:tcPr>
          <w:p w14:paraId="292B4D39">
            <w:pPr>
              <w:pStyle w:val="31"/>
              <w:bidi w:val="0"/>
              <w:rPr>
                <w:color w:val="auto"/>
              </w:rPr>
            </w:pPr>
            <w:r>
              <w:rPr>
                <w:color w:val="auto"/>
              </w:rPr>
              <w:t>评价范围</w:t>
            </w:r>
          </w:p>
        </w:tc>
      </w:tr>
      <w:tr w14:paraId="4037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103EA9E8">
            <w:pPr>
              <w:pStyle w:val="31"/>
              <w:bidi w:val="0"/>
              <w:rPr>
                <w:color w:val="auto"/>
              </w:rPr>
            </w:pPr>
            <w:r>
              <w:rPr>
                <w:color w:val="auto"/>
              </w:rPr>
              <w:t>1</w:t>
            </w:r>
          </w:p>
        </w:tc>
        <w:tc>
          <w:tcPr>
            <w:tcW w:w="762" w:type="pct"/>
            <w:shd w:val="clear" w:color="auto" w:fill="auto"/>
            <w:vAlign w:val="center"/>
          </w:tcPr>
          <w:p w14:paraId="27C93493">
            <w:pPr>
              <w:pStyle w:val="31"/>
              <w:bidi w:val="0"/>
              <w:rPr>
                <w:color w:val="auto"/>
              </w:rPr>
            </w:pPr>
            <w:r>
              <w:rPr>
                <w:color w:val="auto"/>
              </w:rPr>
              <w:t>环境空气</w:t>
            </w:r>
          </w:p>
        </w:tc>
        <w:tc>
          <w:tcPr>
            <w:tcW w:w="875" w:type="pct"/>
            <w:shd w:val="clear" w:color="auto" w:fill="auto"/>
            <w:vAlign w:val="center"/>
          </w:tcPr>
          <w:p w14:paraId="19091C0D">
            <w:pPr>
              <w:pStyle w:val="31"/>
              <w:bidi w:val="0"/>
              <w:rPr>
                <w:color w:val="auto"/>
              </w:rPr>
            </w:pPr>
            <w:r>
              <w:rPr>
                <w:color w:val="auto"/>
              </w:rPr>
              <w:t>三级</w:t>
            </w:r>
          </w:p>
        </w:tc>
        <w:tc>
          <w:tcPr>
            <w:tcW w:w="2943" w:type="pct"/>
            <w:shd w:val="clear" w:color="auto" w:fill="auto"/>
            <w:vAlign w:val="center"/>
          </w:tcPr>
          <w:p w14:paraId="7AAAD1A4">
            <w:pPr>
              <w:pStyle w:val="31"/>
              <w:bidi w:val="0"/>
              <w:rPr>
                <w:color w:val="auto"/>
              </w:rPr>
            </w:pPr>
            <w:r>
              <w:rPr>
                <w:color w:val="auto"/>
                <w:lang w:val="zh-CN"/>
              </w:rPr>
              <w:t>工程施工区边界两侧向外延伸200m</w:t>
            </w:r>
          </w:p>
        </w:tc>
      </w:tr>
      <w:tr w14:paraId="351C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5B0E49D6">
            <w:pPr>
              <w:pStyle w:val="31"/>
              <w:bidi w:val="0"/>
              <w:rPr>
                <w:rFonts w:hint="eastAsia" w:eastAsia="宋体"/>
                <w:color w:val="auto"/>
                <w:lang w:eastAsia="zh-CN"/>
              </w:rPr>
            </w:pPr>
            <w:r>
              <w:rPr>
                <w:rFonts w:hint="eastAsia"/>
                <w:color w:val="auto"/>
                <w:lang w:val="en-US" w:eastAsia="zh-CN"/>
              </w:rPr>
              <w:t>2</w:t>
            </w:r>
          </w:p>
        </w:tc>
        <w:tc>
          <w:tcPr>
            <w:tcW w:w="762" w:type="pct"/>
            <w:shd w:val="clear" w:color="auto" w:fill="auto"/>
            <w:vAlign w:val="center"/>
          </w:tcPr>
          <w:p w14:paraId="666B03F2">
            <w:pPr>
              <w:pStyle w:val="31"/>
              <w:bidi w:val="0"/>
              <w:rPr>
                <w:color w:val="auto"/>
              </w:rPr>
            </w:pPr>
            <w:r>
              <w:rPr>
                <w:color w:val="auto"/>
              </w:rPr>
              <w:t>地下水</w:t>
            </w:r>
          </w:p>
        </w:tc>
        <w:tc>
          <w:tcPr>
            <w:tcW w:w="875" w:type="pct"/>
            <w:shd w:val="clear" w:color="auto" w:fill="auto"/>
            <w:vAlign w:val="center"/>
          </w:tcPr>
          <w:p w14:paraId="430181E5">
            <w:pPr>
              <w:pStyle w:val="31"/>
              <w:bidi w:val="0"/>
              <w:rPr>
                <w:color w:val="auto"/>
              </w:rPr>
            </w:pPr>
            <w:r>
              <w:rPr>
                <w:rFonts w:hint="eastAsia"/>
                <w:color w:val="auto"/>
              </w:rPr>
              <w:t>三</w:t>
            </w:r>
            <w:r>
              <w:rPr>
                <w:color w:val="auto"/>
              </w:rPr>
              <w:t>级</w:t>
            </w:r>
          </w:p>
        </w:tc>
        <w:tc>
          <w:tcPr>
            <w:tcW w:w="2943" w:type="pct"/>
            <w:shd w:val="clear" w:color="auto" w:fill="auto"/>
            <w:vAlign w:val="center"/>
          </w:tcPr>
          <w:p w14:paraId="0A1D0100">
            <w:pPr>
              <w:pStyle w:val="31"/>
              <w:bidi w:val="0"/>
              <w:rPr>
                <w:rFonts w:hint="default" w:eastAsia="宋体"/>
                <w:color w:val="auto"/>
                <w:lang w:val="en-US" w:eastAsia="zh-CN"/>
              </w:rPr>
            </w:pPr>
            <w:r>
              <w:rPr>
                <w:rFonts w:hint="eastAsia"/>
                <w:color w:val="auto"/>
              </w:rPr>
              <w:t>工程边界分别向外延伸</w:t>
            </w:r>
            <w:r>
              <w:rPr>
                <w:rFonts w:hint="eastAsia"/>
                <w:color w:val="auto"/>
                <w:lang w:eastAsia="zh-CN"/>
              </w:rPr>
              <w:t>，</w:t>
            </w:r>
            <w:r>
              <w:rPr>
                <w:rFonts w:hint="eastAsia"/>
                <w:color w:val="auto"/>
                <w:lang w:val="en-US" w:eastAsia="zh-CN"/>
              </w:rPr>
              <w:t>面积为不小于6km</w:t>
            </w:r>
            <w:r>
              <w:rPr>
                <w:rFonts w:hint="eastAsia"/>
                <w:color w:val="auto"/>
                <w:vertAlign w:val="superscript"/>
                <w:lang w:val="en-US" w:eastAsia="zh-CN"/>
              </w:rPr>
              <w:t>2</w:t>
            </w:r>
          </w:p>
        </w:tc>
      </w:tr>
      <w:tr w14:paraId="0E15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522BF9EB">
            <w:pPr>
              <w:pStyle w:val="31"/>
              <w:bidi w:val="0"/>
              <w:rPr>
                <w:rFonts w:hint="eastAsia" w:eastAsia="宋体"/>
                <w:color w:val="auto"/>
                <w:lang w:eastAsia="zh-CN"/>
              </w:rPr>
            </w:pPr>
            <w:r>
              <w:rPr>
                <w:rFonts w:hint="eastAsia"/>
                <w:color w:val="auto"/>
                <w:lang w:val="en-US" w:eastAsia="zh-CN"/>
              </w:rPr>
              <w:t>3</w:t>
            </w:r>
          </w:p>
        </w:tc>
        <w:tc>
          <w:tcPr>
            <w:tcW w:w="762" w:type="pct"/>
            <w:shd w:val="clear" w:color="auto" w:fill="auto"/>
            <w:vAlign w:val="center"/>
          </w:tcPr>
          <w:p w14:paraId="3F0CB93F">
            <w:pPr>
              <w:pStyle w:val="31"/>
              <w:bidi w:val="0"/>
              <w:rPr>
                <w:color w:val="auto"/>
              </w:rPr>
            </w:pPr>
            <w:r>
              <w:rPr>
                <w:color w:val="auto"/>
              </w:rPr>
              <w:t>声环境</w:t>
            </w:r>
          </w:p>
        </w:tc>
        <w:tc>
          <w:tcPr>
            <w:tcW w:w="875" w:type="pct"/>
            <w:shd w:val="clear" w:color="auto" w:fill="auto"/>
            <w:vAlign w:val="center"/>
          </w:tcPr>
          <w:p w14:paraId="04AE5720">
            <w:pPr>
              <w:pStyle w:val="31"/>
              <w:bidi w:val="0"/>
              <w:rPr>
                <w:color w:val="auto"/>
              </w:rPr>
            </w:pPr>
            <w:r>
              <w:rPr>
                <w:color w:val="auto"/>
              </w:rPr>
              <w:t>二级</w:t>
            </w:r>
          </w:p>
        </w:tc>
        <w:tc>
          <w:tcPr>
            <w:tcW w:w="2943" w:type="pct"/>
            <w:shd w:val="clear" w:color="auto" w:fill="auto"/>
            <w:vAlign w:val="center"/>
          </w:tcPr>
          <w:p w14:paraId="24C8FCEA">
            <w:pPr>
              <w:pStyle w:val="31"/>
              <w:bidi w:val="0"/>
              <w:rPr>
                <w:color w:val="auto"/>
              </w:rPr>
            </w:pPr>
            <w:r>
              <w:rPr>
                <w:color w:val="auto"/>
                <w:lang w:val="zh-CN"/>
              </w:rPr>
              <w:t>工程施工区边界向外延伸200m</w:t>
            </w:r>
          </w:p>
        </w:tc>
      </w:tr>
      <w:tr w14:paraId="0DC1B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3C0D963B">
            <w:pPr>
              <w:pStyle w:val="31"/>
              <w:bidi w:val="0"/>
              <w:rPr>
                <w:rFonts w:hint="eastAsia" w:eastAsia="宋体"/>
                <w:color w:val="auto"/>
                <w:lang w:eastAsia="zh-CN"/>
              </w:rPr>
            </w:pPr>
            <w:r>
              <w:rPr>
                <w:rFonts w:hint="eastAsia"/>
                <w:color w:val="auto"/>
                <w:lang w:val="en-US" w:eastAsia="zh-CN"/>
              </w:rPr>
              <w:t>4</w:t>
            </w:r>
          </w:p>
        </w:tc>
        <w:tc>
          <w:tcPr>
            <w:tcW w:w="762" w:type="pct"/>
            <w:shd w:val="clear" w:color="auto" w:fill="auto"/>
            <w:vAlign w:val="center"/>
          </w:tcPr>
          <w:p w14:paraId="71DF3B62">
            <w:pPr>
              <w:pStyle w:val="31"/>
              <w:bidi w:val="0"/>
              <w:rPr>
                <w:color w:val="auto"/>
              </w:rPr>
            </w:pPr>
            <w:r>
              <w:rPr>
                <w:color w:val="auto"/>
              </w:rPr>
              <w:t>生态环境</w:t>
            </w:r>
          </w:p>
        </w:tc>
        <w:tc>
          <w:tcPr>
            <w:tcW w:w="875" w:type="pct"/>
            <w:shd w:val="clear" w:color="auto" w:fill="auto"/>
            <w:vAlign w:val="center"/>
          </w:tcPr>
          <w:p w14:paraId="599DF4B2">
            <w:pPr>
              <w:pStyle w:val="31"/>
              <w:bidi w:val="0"/>
              <w:rPr>
                <w:color w:val="auto"/>
              </w:rPr>
            </w:pPr>
            <w:r>
              <w:rPr>
                <w:rFonts w:hint="eastAsia"/>
                <w:color w:val="auto"/>
                <w:lang w:val="en-US" w:eastAsia="zh-CN"/>
              </w:rPr>
              <w:t>二</w:t>
            </w:r>
            <w:r>
              <w:rPr>
                <w:color w:val="auto"/>
              </w:rPr>
              <w:t>级</w:t>
            </w:r>
          </w:p>
        </w:tc>
        <w:tc>
          <w:tcPr>
            <w:tcW w:w="2943" w:type="pct"/>
            <w:shd w:val="clear" w:color="auto" w:fill="auto"/>
            <w:vAlign w:val="center"/>
          </w:tcPr>
          <w:p w14:paraId="1004DF59">
            <w:pPr>
              <w:pStyle w:val="31"/>
              <w:bidi w:val="0"/>
              <w:rPr>
                <w:color w:val="auto"/>
                <w:lang w:val="zh-CN"/>
              </w:rPr>
            </w:pPr>
            <w:r>
              <w:rPr>
                <w:rFonts w:hint="eastAsia"/>
                <w:color w:val="auto"/>
              </w:rPr>
              <w:t>工程</w:t>
            </w:r>
            <w:r>
              <w:rPr>
                <w:rFonts w:hint="eastAsia"/>
                <w:color w:val="auto"/>
                <w:lang w:val="en-US" w:eastAsia="zh-CN"/>
              </w:rPr>
              <w:t>施工</w:t>
            </w:r>
            <w:r>
              <w:rPr>
                <w:rFonts w:hint="eastAsia"/>
                <w:color w:val="auto"/>
              </w:rPr>
              <w:t>边界向外延伸</w:t>
            </w:r>
            <w:r>
              <w:rPr>
                <w:rFonts w:hint="eastAsia"/>
                <w:color w:val="auto"/>
                <w:lang w:val="en-US" w:eastAsia="zh-CN"/>
              </w:rPr>
              <w:t>1000</w:t>
            </w:r>
            <w:r>
              <w:rPr>
                <w:rFonts w:hint="eastAsia"/>
                <w:color w:val="auto"/>
              </w:rPr>
              <w:t>m</w:t>
            </w:r>
          </w:p>
        </w:tc>
      </w:tr>
      <w:tr w14:paraId="110A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7160D4AF">
            <w:pPr>
              <w:pStyle w:val="31"/>
              <w:bidi w:val="0"/>
              <w:ind w:firstLine="0" w:firstLineChars="0"/>
              <w:rPr>
                <w:rFonts w:hint="eastAsia" w:eastAsia="宋体"/>
                <w:color w:val="auto"/>
                <w:lang w:eastAsia="zh-CN"/>
              </w:rPr>
            </w:pPr>
            <w:r>
              <w:rPr>
                <w:rFonts w:hint="eastAsia"/>
                <w:color w:val="auto"/>
                <w:lang w:val="en-US" w:eastAsia="zh-CN"/>
              </w:rPr>
              <w:t>5</w:t>
            </w:r>
          </w:p>
        </w:tc>
        <w:tc>
          <w:tcPr>
            <w:tcW w:w="762" w:type="pct"/>
            <w:shd w:val="clear" w:color="auto" w:fill="auto"/>
            <w:vAlign w:val="center"/>
          </w:tcPr>
          <w:p w14:paraId="5C741CFA">
            <w:pPr>
              <w:pStyle w:val="31"/>
              <w:bidi w:val="0"/>
              <w:ind w:firstLine="0" w:firstLineChars="0"/>
              <w:rPr>
                <w:color w:val="auto"/>
              </w:rPr>
            </w:pPr>
            <w:r>
              <w:rPr>
                <w:color w:val="auto"/>
              </w:rPr>
              <w:t>地表水</w:t>
            </w:r>
          </w:p>
        </w:tc>
        <w:tc>
          <w:tcPr>
            <w:tcW w:w="875" w:type="pct"/>
            <w:shd w:val="clear" w:color="auto" w:fill="auto"/>
            <w:vAlign w:val="center"/>
          </w:tcPr>
          <w:p w14:paraId="6E7BD906">
            <w:pPr>
              <w:pStyle w:val="31"/>
              <w:bidi w:val="0"/>
              <w:ind w:firstLine="0" w:firstLineChars="0"/>
              <w:rPr>
                <w:rFonts w:hint="eastAsia"/>
                <w:color w:val="auto"/>
                <w:lang w:val="en-US" w:eastAsia="zh-CN"/>
              </w:rPr>
            </w:pPr>
            <w:r>
              <w:rPr>
                <w:rFonts w:hint="eastAsia"/>
                <w:color w:val="auto"/>
                <w:lang w:val="en-US" w:eastAsia="zh-CN"/>
              </w:rPr>
              <w:t>三级B</w:t>
            </w:r>
          </w:p>
        </w:tc>
        <w:tc>
          <w:tcPr>
            <w:tcW w:w="2943" w:type="pct"/>
            <w:shd w:val="clear" w:color="auto" w:fill="auto"/>
            <w:vAlign w:val="center"/>
          </w:tcPr>
          <w:p w14:paraId="4F7961E7">
            <w:pPr>
              <w:pStyle w:val="31"/>
              <w:bidi w:val="0"/>
              <w:ind w:firstLine="0" w:firstLineChars="0"/>
              <w:rPr>
                <w:rFonts w:hint="eastAsia"/>
                <w:color w:val="auto"/>
              </w:rPr>
            </w:pPr>
            <w:r>
              <w:rPr>
                <w:rFonts w:hint="eastAsia"/>
                <w:color w:val="auto"/>
                <w:lang w:val="en-US" w:eastAsia="zh-CN"/>
              </w:rPr>
              <w:t>/</w:t>
            </w:r>
          </w:p>
        </w:tc>
      </w:tr>
      <w:tr w14:paraId="5174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406301D4">
            <w:pPr>
              <w:pStyle w:val="31"/>
              <w:bidi w:val="0"/>
              <w:rPr>
                <w:color w:val="auto"/>
              </w:rPr>
            </w:pPr>
            <w:r>
              <w:rPr>
                <w:color w:val="auto"/>
              </w:rPr>
              <w:t>6</w:t>
            </w:r>
          </w:p>
        </w:tc>
        <w:tc>
          <w:tcPr>
            <w:tcW w:w="762" w:type="pct"/>
            <w:shd w:val="clear" w:color="auto" w:fill="auto"/>
            <w:vAlign w:val="center"/>
          </w:tcPr>
          <w:p w14:paraId="14DDCA8E">
            <w:pPr>
              <w:pStyle w:val="31"/>
              <w:bidi w:val="0"/>
              <w:rPr>
                <w:color w:val="auto"/>
              </w:rPr>
            </w:pPr>
            <w:r>
              <w:rPr>
                <w:color w:val="auto"/>
              </w:rPr>
              <w:t>土壤环境</w:t>
            </w:r>
          </w:p>
        </w:tc>
        <w:tc>
          <w:tcPr>
            <w:tcW w:w="875" w:type="pct"/>
            <w:shd w:val="clear" w:color="auto" w:fill="auto"/>
            <w:vAlign w:val="center"/>
          </w:tcPr>
          <w:p w14:paraId="515F07E8">
            <w:pPr>
              <w:pStyle w:val="31"/>
              <w:bidi w:val="0"/>
              <w:rPr>
                <w:color w:val="auto"/>
              </w:rPr>
            </w:pPr>
            <w:r>
              <w:rPr>
                <w:color w:val="auto"/>
              </w:rPr>
              <w:t>不需评价</w:t>
            </w:r>
          </w:p>
        </w:tc>
        <w:tc>
          <w:tcPr>
            <w:tcW w:w="2943" w:type="pct"/>
            <w:shd w:val="clear" w:color="auto" w:fill="auto"/>
            <w:vAlign w:val="center"/>
          </w:tcPr>
          <w:p w14:paraId="76D343F1">
            <w:pPr>
              <w:pStyle w:val="31"/>
              <w:bidi w:val="0"/>
              <w:rPr>
                <w:color w:val="auto"/>
                <w:lang w:val="zh-CN"/>
              </w:rPr>
            </w:pPr>
            <w:r>
              <w:rPr>
                <w:color w:val="auto"/>
                <w:lang w:val="zh-CN"/>
              </w:rPr>
              <w:t>/</w:t>
            </w:r>
          </w:p>
        </w:tc>
      </w:tr>
      <w:tr w14:paraId="44FA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8" w:type="pct"/>
            <w:shd w:val="clear" w:color="auto" w:fill="auto"/>
            <w:vAlign w:val="center"/>
          </w:tcPr>
          <w:p w14:paraId="0BD1FDBC">
            <w:pPr>
              <w:pStyle w:val="31"/>
              <w:bidi w:val="0"/>
              <w:rPr>
                <w:color w:val="auto"/>
              </w:rPr>
            </w:pPr>
            <w:r>
              <w:rPr>
                <w:color w:val="auto"/>
              </w:rPr>
              <w:t>7</w:t>
            </w:r>
          </w:p>
        </w:tc>
        <w:tc>
          <w:tcPr>
            <w:tcW w:w="762" w:type="pct"/>
            <w:shd w:val="clear" w:color="auto" w:fill="auto"/>
            <w:vAlign w:val="center"/>
          </w:tcPr>
          <w:p w14:paraId="4199B93C">
            <w:pPr>
              <w:pStyle w:val="31"/>
              <w:bidi w:val="0"/>
              <w:rPr>
                <w:color w:val="auto"/>
              </w:rPr>
            </w:pPr>
            <w:r>
              <w:rPr>
                <w:color w:val="auto"/>
              </w:rPr>
              <w:t>环境风险</w:t>
            </w:r>
          </w:p>
        </w:tc>
        <w:tc>
          <w:tcPr>
            <w:tcW w:w="875" w:type="pct"/>
            <w:shd w:val="clear" w:color="auto" w:fill="auto"/>
            <w:vAlign w:val="center"/>
          </w:tcPr>
          <w:p w14:paraId="7FA347F7">
            <w:pPr>
              <w:pStyle w:val="31"/>
              <w:bidi w:val="0"/>
              <w:rPr>
                <w:color w:val="auto"/>
              </w:rPr>
            </w:pPr>
            <w:r>
              <w:rPr>
                <w:color w:val="auto"/>
              </w:rPr>
              <w:t>简单分析</w:t>
            </w:r>
          </w:p>
        </w:tc>
        <w:tc>
          <w:tcPr>
            <w:tcW w:w="2943" w:type="pct"/>
            <w:shd w:val="clear" w:color="auto" w:fill="auto"/>
            <w:vAlign w:val="center"/>
          </w:tcPr>
          <w:p w14:paraId="1E84FAD5">
            <w:pPr>
              <w:pStyle w:val="31"/>
              <w:bidi w:val="0"/>
              <w:rPr>
                <w:color w:val="auto"/>
              </w:rPr>
            </w:pPr>
            <w:r>
              <w:rPr>
                <w:color w:val="auto"/>
              </w:rPr>
              <w:t>/</w:t>
            </w:r>
          </w:p>
        </w:tc>
      </w:tr>
    </w:tbl>
    <w:p w14:paraId="515B9B2E">
      <w:pPr>
        <w:pStyle w:val="3"/>
        <w:bidi w:val="0"/>
        <w:ind w:left="480" w:leftChars="0" w:firstLineChars="0"/>
        <w:rPr>
          <w:rFonts w:hint="eastAsia"/>
          <w:color w:val="auto"/>
        </w:rPr>
      </w:pPr>
      <w:bookmarkStart w:id="70" w:name="_Toc14153"/>
      <w:r>
        <w:rPr>
          <w:rFonts w:hint="eastAsia"/>
          <w:color w:val="auto"/>
        </w:rPr>
        <w:t>工程与相关法律、政策、规划符合性分析</w:t>
      </w:r>
      <w:bookmarkEnd w:id="70"/>
    </w:p>
    <w:p w14:paraId="74490C41">
      <w:pPr>
        <w:pStyle w:val="4"/>
        <w:bidi w:val="0"/>
        <w:rPr>
          <w:rFonts w:hint="default"/>
          <w:color w:val="auto"/>
          <w:lang w:val="en-US" w:eastAsia="zh-CN"/>
        </w:rPr>
      </w:pPr>
      <w:bookmarkStart w:id="71" w:name="_Toc20118"/>
      <w:r>
        <w:rPr>
          <w:rFonts w:hint="eastAsia"/>
          <w:color w:val="auto"/>
          <w:lang w:val="en-US" w:eastAsia="zh-CN"/>
        </w:rPr>
        <w:t>产业政策相符性分析</w:t>
      </w:r>
      <w:bookmarkEnd w:id="71"/>
    </w:p>
    <w:p w14:paraId="64EF86E2">
      <w:pPr>
        <w:bidi w:val="0"/>
        <w:rPr>
          <w:rFonts w:hint="default"/>
          <w:color w:val="auto"/>
        </w:rPr>
      </w:pPr>
      <w:r>
        <w:rPr>
          <w:rFonts w:hint="default"/>
          <w:color w:val="auto"/>
        </w:rPr>
        <w:t>根据《产业结构调整指导目录》（20</w:t>
      </w:r>
      <w:r>
        <w:rPr>
          <w:rFonts w:hint="eastAsia"/>
          <w:color w:val="auto"/>
          <w:lang w:val="en-US" w:eastAsia="zh-CN"/>
        </w:rPr>
        <w:t>24</w:t>
      </w:r>
      <w:r>
        <w:rPr>
          <w:rFonts w:hint="default"/>
          <w:color w:val="auto"/>
        </w:rPr>
        <w:t>年本）中对于</w:t>
      </w:r>
      <w:r>
        <w:rPr>
          <w:rFonts w:hint="eastAsia"/>
          <w:color w:val="auto"/>
          <w:lang w:val="en-US" w:eastAsia="zh-CN"/>
        </w:rPr>
        <w:t>山洪沟防洪治理工程项目</w:t>
      </w:r>
      <w:r>
        <w:rPr>
          <w:rFonts w:hint="default"/>
          <w:color w:val="auto"/>
        </w:rPr>
        <w:t>的相关内容符合性分析见下表所示。</w:t>
      </w:r>
    </w:p>
    <w:p w14:paraId="2219CB6C">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hint="default" w:ascii="Times New Roman" w:hAnsi="Times New Roman" w:eastAsia="宋体" w:cs="Times New Roman"/>
          <w:b/>
          <w:bCs/>
          <w:color w:val="auto"/>
          <w:sz w:val="21"/>
          <w:szCs w:val="21"/>
        </w:rPr>
        <w:t>项目与</w:t>
      </w:r>
      <w:r>
        <w:rPr>
          <w:rFonts w:hint="eastAsia" w:ascii="Times New Roman" w:hAnsi="Times New Roman" w:eastAsia="宋体" w:cs="Times New Roman"/>
          <w:b/>
          <w:bCs/>
          <w:color w:val="auto"/>
          <w:sz w:val="21"/>
          <w:szCs w:val="21"/>
          <w:lang w:val="en-US" w:eastAsia="zh-CN"/>
        </w:rPr>
        <w:t>《产业结构调整指导目录》</w:t>
      </w:r>
      <w:r>
        <w:rPr>
          <w:rFonts w:hint="default" w:ascii="Times New Roman" w:hAnsi="Times New Roman" w:eastAsia="宋体" w:cs="Times New Roman"/>
          <w:b/>
          <w:bCs/>
          <w:color w:val="auto"/>
          <w:sz w:val="21"/>
          <w:szCs w:val="21"/>
        </w:rPr>
        <w:t>相符性分析</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762"/>
        <w:gridCol w:w="568"/>
        <w:gridCol w:w="1959"/>
        <w:gridCol w:w="3136"/>
        <w:gridCol w:w="918"/>
      </w:tblGrid>
      <w:tr w14:paraId="274A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dxa"/>
            <w:vAlign w:val="center"/>
          </w:tcPr>
          <w:p w14:paraId="2FEB809C">
            <w:pPr>
              <w:pStyle w:val="31"/>
              <w:widowControl w:val="0"/>
              <w:bidi w:val="0"/>
              <w:rPr>
                <w:rFonts w:hint="default"/>
                <w:color w:val="auto"/>
                <w:lang w:val="en-US" w:eastAsia="zh-CN"/>
              </w:rPr>
            </w:pPr>
            <w:r>
              <w:rPr>
                <w:rFonts w:hint="eastAsia"/>
                <w:color w:val="auto"/>
                <w:lang w:val="en-US" w:eastAsia="zh-CN"/>
              </w:rPr>
              <w:t>文件名称</w:t>
            </w:r>
          </w:p>
        </w:tc>
        <w:tc>
          <w:tcPr>
            <w:tcW w:w="3289" w:type="dxa"/>
            <w:gridSpan w:val="3"/>
            <w:vAlign w:val="center"/>
          </w:tcPr>
          <w:p w14:paraId="7A244298">
            <w:pPr>
              <w:pStyle w:val="31"/>
              <w:widowControl w:val="0"/>
              <w:bidi w:val="0"/>
              <w:rPr>
                <w:rFonts w:hint="default"/>
                <w:color w:val="auto"/>
                <w:lang w:val="en-US" w:eastAsia="zh-CN"/>
              </w:rPr>
            </w:pPr>
            <w:r>
              <w:rPr>
                <w:rFonts w:hint="eastAsia"/>
                <w:color w:val="auto"/>
                <w:lang w:val="en-US" w:eastAsia="zh-CN"/>
              </w:rPr>
              <w:t>文件相关内容</w:t>
            </w:r>
          </w:p>
        </w:tc>
        <w:tc>
          <w:tcPr>
            <w:tcW w:w="3136" w:type="dxa"/>
            <w:vAlign w:val="center"/>
          </w:tcPr>
          <w:p w14:paraId="72FF4617">
            <w:pPr>
              <w:pStyle w:val="31"/>
              <w:widowControl w:val="0"/>
              <w:bidi w:val="0"/>
              <w:rPr>
                <w:rFonts w:hint="default"/>
                <w:color w:val="auto"/>
                <w:lang w:val="en-US" w:eastAsia="zh-CN"/>
              </w:rPr>
            </w:pPr>
            <w:r>
              <w:rPr>
                <w:rFonts w:hint="eastAsia"/>
                <w:color w:val="auto"/>
                <w:lang w:val="en-US" w:eastAsia="zh-CN"/>
              </w:rPr>
              <w:t>项目情况</w:t>
            </w:r>
          </w:p>
        </w:tc>
        <w:tc>
          <w:tcPr>
            <w:tcW w:w="918" w:type="dxa"/>
            <w:vAlign w:val="center"/>
          </w:tcPr>
          <w:p w14:paraId="1DFB09C6">
            <w:pPr>
              <w:pStyle w:val="31"/>
              <w:widowControl w:val="0"/>
              <w:bidi w:val="0"/>
              <w:rPr>
                <w:rFonts w:hint="default"/>
                <w:color w:val="auto"/>
                <w:lang w:val="en-US" w:eastAsia="zh-CN"/>
              </w:rPr>
            </w:pPr>
            <w:r>
              <w:rPr>
                <w:rFonts w:hint="eastAsia"/>
                <w:color w:val="auto"/>
                <w:lang w:val="en-US" w:eastAsia="zh-CN"/>
              </w:rPr>
              <w:t>符合性</w:t>
            </w:r>
          </w:p>
        </w:tc>
      </w:tr>
      <w:tr w14:paraId="3A6E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1" w:type="dxa"/>
            <w:vAlign w:val="center"/>
          </w:tcPr>
          <w:p w14:paraId="462251C3">
            <w:pPr>
              <w:pStyle w:val="31"/>
              <w:widowControl w:val="0"/>
              <w:bidi w:val="0"/>
              <w:rPr>
                <w:color w:val="auto"/>
              </w:rPr>
            </w:pPr>
            <w:r>
              <w:rPr>
                <w:rFonts w:hint="eastAsia"/>
                <w:color w:val="auto"/>
                <w:lang w:val="en-US" w:eastAsia="zh-CN"/>
              </w:rPr>
              <w:t>《产业结构调整指导目录》（2024年本）</w:t>
            </w:r>
          </w:p>
        </w:tc>
        <w:tc>
          <w:tcPr>
            <w:tcW w:w="762" w:type="dxa"/>
            <w:vAlign w:val="center"/>
          </w:tcPr>
          <w:p w14:paraId="6F4125E3">
            <w:pPr>
              <w:pStyle w:val="31"/>
              <w:widowControl w:val="0"/>
              <w:bidi w:val="0"/>
              <w:rPr>
                <w:color w:val="auto"/>
              </w:rPr>
            </w:pPr>
            <w:r>
              <w:rPr>
                <w:rFonts w:hint="eastAsia"/>
                <w:color w:val="auto"/>
              </w:rPr>
              <w:t>第一类鼓励类</w:t>
            </w:r>
          </w:p>
        </w:tc>
        <w:tc>
          <w:tcPr>
            <w:tcW w:w="568" w:type="dxa"/>
            <w:vAlign w:val="center"/>
          </w:tcPr>
          <w:p w14:paraId="7FEF1A9E">
            <w:pPr>
              <w:pStyle w:val="31"/>
              <w:widowControl w:val="0"/>
              <w:bidi w:val="0"/>
              <w:rPr>
                <w:color w:val="auto"/>
              </w:rPr>
            </w:pPr>
            <w:r>
              <w:rPr>
                <w:rFonts w:hint="eastAsia"/>
                <w:color w:val="auto"/>
              </w:rPr>
              <w:t>二、水利</w:t>
            </w:r>
          </w:p>
        </w:tc>
        <w:tc>
          <w:tcPr>
            <w:tcW w:w="1959" w:type="dxa"/>
            <w:vAlign w:val="center"/>
          </w:tcPr>
          <w:p w14:paraId="42B6C5A9">
            <w:pPr>
              <w:pStyle w:val="31"/>
              <w:widowControl w:val="0"/>
              <w:bidi w:val="0"/>
              <w:rPr>
                <w:rFonts w:hint="default"/>
                <w:color w:val="auto"/>
                <w:lang w:val="en-US" w:eastAsia="zh-CN"/>
              </w:rPr>
            </w:pPr>
            <w:r>
              <w:rPr>
                <w:rFonts w:hint="eastAsia"/>
                <w:color w:val="auto"/>
              </w:rPr>
              <w:t>1、防洪提升工程</w:t>
            </w:r>
            <w:r>
              <w:rPr>
                <w:rFonts w:hint="eastAsia"/>
                <w:color w:val="auto"/>
                <w:lang w:val="en-US" w:eastAsia="zh-CN"/>
              </w:rPr>
              <w:t>中江河湖库清淤疏浚工程</w:t>
            </w:r>
          </w:p>
        </w:tc>
        <w:tc>
          <w:tcPr>
            <w:tcW w:w="3136" w:type="dxa"/>
            <w:vAlign w:val="center"/>
          </w:tcPr>
          <w:p w14:paraId="6F34227D">
            <w:pPr>
              <w:pStyle w:val="31"/>
              <w:widowControl w:val="0"/>
              <w:bidi w:val="0"/>
              <w:rPr>
                <w:rFonts w:hint="default"/>
                <w:color w:val="auto"/>
                <w:lang w:val="en-US" w:eastAsia="zh-CN"/>
              </w:rPr>
            </w:pPr>
            <w:r>
              <w:rPr>
                <w:rFonts w:hint="eastAsia"/>
                <w:color w:val="auto"/>
                <w:lang w:val="en-US" w:eastAsia="zh-CN"/>
              </w:rPr>
              <w:t>本工程对秋浦河航道整治工程5号、6号抛泥区抛泥清除恢复。</w:t>
            </w:r>
          </w:p>
        </w:tc>
        <w:tc>
          <w:tcPr>
            <w:tcW w:w="918" w:type="dxa"/>
            <w:vAlign w:val="center"/>
          </w:tcPr>
          <w:p w14:paraId="47FF77E5">
            <w:pPr>
              <w:pStyle w:val="31"/>
              <w:widowControl w:val="0"/>
              <w:bidi w:val="0"/>
              <w:rPr>
                <w:rFonts w:hint="eastAsia"/>
                <w:color w:val="auto"/>
                <w:lang w:val="en-US" w:eastAsia="zh-CN"/>
              </w:rPr>
            </w:pPr>
            <w:r>
              <w:rPr>
                <w:rFonts w:hint="eastAsia"/>
                <w:color w:val="auto"/>
                <w:lang w:val="en-US" w:eastAsia="zh-CN"/>
              </w:rPr>
              <w:t>属于</w:t>
            </w:r>
          </w:p>
        </w:tc>
      </w:tr>
    </w:tbl>
    <w:p w14:paraId="52BFA95C">
      <w:pPr>
        <w:rPr>
          <w:rFonts w:hint="eastAsia"/>
          <w:color w:val="auto"/>
        </w:rPr>
      </w:pPr>
      <w:r>
        <w:rPr>
          <w:rFonts w:hint="eastAsia"/>
          <w:color w:val="auto"/>
          <w:lang w:val="en-US" w:eastAsia="zh-CN"/>
        </w:rPr>
        <w:t>由上表可知，</w:t>
      </w:r>
      <w:r>
        <w:rPr>
          <w:rFonts w:hint="eastAsia"/>
          <w:color w:val="auto"/>
        </w:rPr>
        <w:t>本项目属于</w:t>
      </w:r>
      <w:r>
        <w:rPr>
          <w:rFonts w:hint="default"/>
          <w:color w:val="auto"/>
        </w:rPr>
        <w:t>《产业结构调整指导目录（20</w:t>
      </w:r>
      <w:r>
        <w:rPr>
          <w:rFonts w:hint="eastAsia"/>
          <w:color w:val="auto"/>
          <w:lang w:val="en-US" w:eastAsia="zh-CN"/>
        </w:rPr>
        <w:t>24</w:t>
      </w:r>
      <w:r>
        <w:rPr>
          <w:rFonts w:hint="default"/>
          <w:color w:val="auto"/>
        </w:rPr>
        <w:t>年本）》中规定的</w:t>
      </w:r>
      <w:r>
        <w:rPr>
          <w:rFonts w:hint="eastAsia"/>
          <w:color w:val="auto"/>
        </w:rPr>
        <w:t>“鼓励类”项目。且本项目于2024年12月13日通过池州市贵池区发展有政革委员会备案，项目编码为：2412-341702-04-05-939258。因此，本次项目符合国家产业政策要求。</w:t>
      </w:r>
    </w:p>
    <w:p w14:paraId="6BB9BDA8">
      <w:pPr>
        <w:pStyle w:val="4"/>
        <w:bidi w:val="0"/>
        <w:rPr>
          <w:rFonts w:hint="eastAsia"/>
          <w:color w:val="auto"/>
        </w:rPr>
      </w:pPr>
      <w:bookmarkStart w:id="72" w:name="_Toc16256"/>
      <w:r>
        <w:rPr>
          <w:rFonts w:hint="eastAsia"/>
          <w:color w:val="auto"/>
        </w:rPr>
        <w:t>相关规划相符性分析</w:t>
      </w:r>
      <w:bookmarkEnd w:id="72"/>
    </w:p>
    <w:p w14:paraId="42C9B185">
      <w:pPr>
        <w:pStyle w:val="5"/>
        <w:bidi w:val="0"/>
        <w:rPr>
          <w:rFonts w:hint="eastAsia"/>
          <w:color w:val="auto"/>
          <w:lang w:val="en-US" w:eastAsia="zh-CN"/>
        </w:rPr>
      </w:pPr>
      <w:r>
        <w:rPr>
          <w:rFonts w:hint="eastAsia"/>
          <w:color w:val="auto"/>
          <w:lang w:val="en-US" w:eastAsia="zh-CN"/>
        </w:rPr>
        <w:t>与《池州市国土空间总体规划（2021-2035年）》相符性分析</w:t>
      </w:r>
    </w:p>
    <w:p w14:paraId="6724D03C">
      <w:pPr>
        <w:bidi w:val="0"/>
        <w:rPr>
          <w:rFonts w:hint="eastAsia"/>
          <w:b/>
          <w:bCs/>
          <w:color w:val="auto"/>
          <w:lang w:val="en-US" w:eastAsia="zh-CN"/>
        </w:rPr>
      </w:pPr>
      <w:r>
        <w:rPr>
          <w:rFonts w:hint="eastAsia"/>
          <w:b/>
          <w:bCs/>
          <w:color w:val="auto"/>
          <w:lang w:val="en-US" w:eastAsia="zh-CN"/>
        </w:rPr>
        <w:t>（1）文件要求</w:t>
      </w:r>
    </w:p>
    <w:p w14:paraId="5AC3193E">
      <w:pPr>
        <w:bidi w:val="0"/>
        <w:rPr>
          <w:rFonts w:hint="eastAsia"/>
          <w:color w:val="auto"/>
          <w:lang w:val="en-US" w:eastAsia="zh-CN"/>
        </w:rPr>
      </w:pPr>
      <w:r>
        <w:rPr>
          <w:rFonts w:hint="eastAsia"/>
          <w:color w:val="auto"/>
          <w:lang w:val="en-US" w:eastAsia="zh-CN"/>
        </w:rPr>
        <w:t>“分类实施生态修复。统筹考虑自然生态各要素、山上山下、地上地下、流域上下游和左右岸，细化长江沿线和皖南山地生态修复区的生态修复任务和工程部署，划定森林质量提升、水土流失治理、河湖湿地修复、矿山生态修复和土壤环境修复五大重点区域。实施生态修复重大工程。坚持以自然修复为主，人工修复为辅，部署“山水林田湖草沙一体化”修复治理、生态屏障保护和修复、全域土地综合整治、生物多样性保护、地质灾害防治、生态支撑体系建设6大工程。”</w:t>
      </w:r>
    </w:p>
    <w:p w14:paraId="254354E1">
      <w:pPr>
        <w:bidi w:val="0"/>
        <w:rPr>
          <w:rFonts w:hint="eastAsia"/>
          <w:b/>
          <w:bCs/>
          <w:color w:val="auto"/>
          <w:lang w:val="en-US" w:eastAsia="zh-CN"/>
        </w:rPr>
      </w:pPr>
      <w:r>
        <w:rPr>
          <w:rFonts w:hint="eastAsia"/>
          <w:b/>
          <w:bCs/>
          <w:color w:val="auto"/>
          <w:lang w:val="en-US" w:eastAsia="zh-CN"/>
        </w:rPr>
        <w:t>（2）符合性分析：</w:t>
      </w:r>
    </w:p>
    <w:p w14:paraId="69281045">
      <w:pPr>
        <w:bidi w:val="0"/>
        <w:rPr>
          <w:rFonts w:hint="eastAsia"/>
          <w:color w:val="auto"/>
          <w:lang w:val="en-US" w:eastAsia="zh-CN"/>
        </w:rPr>
      </w:pPr>
      <w:r>
        <w:rPr>
          <w:rFonts w:hint="eastAsia"/>
          <w:color w:val="auto"/>
          <w:lang w:val="en-US" w:eastAsia="zh-CN"/>
        </w:rPr>
        <w:t>本项目位于安徽省池州市贵池区涓桥镇，项目重点对池州市贵池区杏花村省级湿地公园内谷潭湖滩地现有抛泥区抛泥进行清除，开展河湖湿地修复工作，符合《池州市国土空间总体规划（2021-2035年）》要求。</w:t>
      </w:r>
    </w:p>
    <w:p w14:paraId="2D3AB0C6">
      <w:pPr>
        <w:pStyle w:val="5"/>
        <w:bidi w:val="0"/>
        <w:rPr>
          <w:rFonts w:hint="eastAsia"/>
          <w:color w:val="auto"/>
          <w:lang w:val="en-US" w:eastAsia="zh-CN"/>
        </w:rPr>
      </w:pPr>
      <w:r>
        <w:rPr>
          <w:rFonts w:hint="eastAsia"/>
          <w:color w:val="auto"/>
          <w:lang w:val="en-US" w:eastAsia="zh-CN"/>
        </w:rPr>
        <w:t>与《池州市水利发展“十四五”规划》相符性分析</w:t>
      </w:r>
    </w:p>
    <w:p w14:paraId="2CC252B5">
      <w:pPr>
        <w:bidi w:val="0"/>
        <w:rPr>
          <w:rFonts w:hint="eastAsia"/>
          <w:color w:val="auto"/>
          <w:lang w:val="en-US" w:eastAsia="zh-CN"/>
        </w:rPr>
      </w:pPr>
      <w:r>
        <w:rPr>
          <w:rFonts w:hint="eastAsia"/>
          <w:b/>
          <w:bCs/>
          <w:color w:val="auto"/>
          <w:lang w:val="en-US" w:eastAsia="zh-CN"/>
        </w:rPr>
        <w:t>（1）文件要求</w:t>
      </w:r>
    </w:p>
    <w:p w14:paraId="7D2BDEAD">
      <w:pPr>
        <w:bidi w:val="0"/>
        <w:rPr>
          <w:rFonts w:hint="eastAsia"/>
          <w:color w:val="auto"/>
          <w:lang w:val="en-US" w:eastAsia="zh-CN"/>
        </w:rPr>
      </w:pPr>
      <w:r>
        <w:rPr>
          <w:rFonts w:hint="eastAsia"/>
          <w:color w:val="auto"/>
          <w:lang w:val="en-US" w:eastAsia="zh-CN"/>
        </w:rPr>
        <w:t>（三）实施水生态环境修复工程</w:t>
      </w:r>
    </w:p>
    <w:p w14:paraId="65154F5A">
      <w:pPr>
        <w:bidi w:val="0"/>
        <w:rPr>
          <w:rFonts w:hint="eastAsia"/>
          <w:color w:val="auto"/>
          <w:lang w:val="en-US" w:eastAsia="zh-CN"/>
        </w:rPr>
      </w:pPr>
      <w:r>
        <w:rPr>
          <w:rFonts w:hint="eastAsia"/>
          <w:color w:val="auto"/>
          <w:lang w:val="en-US" w:eastAsia="zh-CN"/>
        </w:rPr>
        <w:t>1.重点河湖生态保护修复工程。实施池州市“三河五湖”综合治理及生态修复工程以及升金湖、秋浦河、九华河等重点河湖生态修复工程11个。</w:t>
      </w:r>
    </w:p>
    <w:p w14:paraId="35466C3D">
      <w:pPr>
        <w:bidi w:val="0"/>
        <w:rPr>
          <w:rFonts w:hint="eastAsia"/>
          <w:color w:val="auto"/>
          <w:lang w:val="en-US" w:eastAsia="zh-CN"/>
        </w:rPr>
      </w:pPr>
      <w:r>
        <w:rPr>
          <w:rFonts w:hint="eastAsia"/>
          <w:color w:val="auto"/>
          <w:lang w:val="en-US" w:eastAsia="zh-CN"/>
        </w:rPr>
        <w:t>2.水系连通及农村水系综合整治工程。实施贵池区、东至县、石台县、青阳县水系连通及农村水系综合整治工程。</w:t>
      </w:r>
    </w:p>
    <w:p w14:paraId="645DCF3B">
      <w:pPr>
        <w:bidi w:val="0"/>
        <w:rPr>
          <w:rFonts w:hint="eastAsia"/>
          <w:color w:val="auto"/>
          <w:lang w:val="en-US" w:eastAsia="zh-CN"/>
        </w:rPr>
      </w:pPr>
      <w:r>
        <w:rPr>
          <w:rFonts w:hint="eastAsia"/>
          <w:color w:val="auto"/>
          <w:lang w:val="en-US" w:eastAsia="zh-CN"/>
        </w:rPr>
        <w:t>3.水土保持及清洁小流域治理工程。实施17个小流域综合治理工程。</w:t>
      </w:r>
    </w:p>
    <w:p w14:paraId="04AABF41">
      <w:pPr>
        <w:bidi w:val="0"/>
        <w:rPr>
          <w:rFonts w:hint="eastAsia"/>
          <w:color w:val="auto"/>
          <w:lang w:val="en-US" w:eastAsia="zh-CN"/>
        </w:rPr>
      </w:pPr>
      <w:r>
        <w:rPr>
          <w:rFonts w:hint="eastAsia"/>
          <w:b/>
          <w:bCs/>
          <w:color w:val="auto"/>
          <w:lang w:val="en-US" w:eastAsia="zh-CN"/>
        </w:rPr>
        <w:t>（2）符合性分析：</w:t>
      </w:r>
    </w:p>
    <w:p w14:paraId="620A08B1">
      <w:pPr>
        <w:bidi w:val="0"/>
        <w:rPr>
          <w:rFonts w:hint="eastAsia"/>
          <w:color w:val="auto"/>
          <w:lang w:val="en-US" w:eastAsia="zh-CN"/>
        </w:rPr>
      </w:pPr>
      <w:r>
        <w:rPr>
          <w:rFonts w:hint="eastAsia"/>
          <w:color w:val="auto"/>
          <w:lang w:val="en-US" w:eastAsia="zh-CN"/>
        </w:rPr>
        <w:t>本项目为秋浦河航道整治工程5号、6号抛泥区抛泥清除恢复工程，属于池州市重点河湖生态保护修复工程。</w:t>
      </w:r>
    </w:p>
    <w:p w14:paraId="7F7897C1">
      <w:pPr>
        <w:pStyle w:val="5"/>
        <w:bidi w:val="0"/>
        <w:rPr>
          <w:rFonts w:hint="eastAsia"/>
          <w:color w:val="auto"/>
          <w:lang w:val="en-US" w:eastAsia="zh-CN"/>
        </w:rPr>
      </w:pPr>
      <w:r>
        <w:rPr>
          <w:rFonts w:hint="eastAsia"/>
          <w:color w:val="auto"/>
          <w:lang w:val="en-US" w:eastAsia="zh-CN"/>
        </w:rPr>
        <w:t>与《安徽贵池杏花村省级湿地公园总体规划》相符性分析</w:t>
      </w:r>
    </w:p>
    <w:p w14:paraId="6740DB15">
      <w:pPr>
        <w:bidi w:val="0"/>
        <w:rPr>
          <w:rFonts w:hint="eastAsia"/>
          <w:color w:val="auto"/>
          <w:lang w:val="en-US" w:eastAsia="zh-CN"/>
        </w:rPr>
      </w:pPr>
      <w:r>
        <w:rPr>
          <w:rFonts w:hint="eastAsia"/>
          <w:b/>
          <w:bCs/>
          <w:color w:val="auto"/>
          <w:lang w:val="en-US" w:eastAsia="zh-CN"/>
        </w:rPr>
        <w:t>（1）文件要求</w:t>
      </w:r>
    </w:p>
    <w:p w14:paraId="1588C137">
      <w:pPr>
        <w:bidi w:val="0"/>
        <w:rPr>
          <w:rFonts w:hint="eastAsia"/>
          <w:color w:val="auto"/>
          <w:lang w:val="en-US" w:eastAsia="zh-CN"/>
        </w:rPr>
      </w:pPr>
      <w:r>
        <w:rPr>
          <w:rFonts w:hint="eastAsia"/>
          <w:color w:val="auto"/>
          <w:lang w:val="en-US" w:eastAsia="zh-CN"/>
        </w:rPr>
        <w:t>根据对湿地公园资源分布和开发价值的分析，从地理环境特点与功能组合的实际出发，综合考虑区内空间体系、现状交通及未来建设规划，将杏花村湿地公园区划为湿地保育区、湿地恢复区和合理利用区三个功能分区。</w:t>
      </w:r>
    </w:p>
    <w:p w14:paraId="4EDBA958">
      <w:pPr>
        <w:bidi w:val="0"/>
        <w:rPr>
          <w:rFonts w:hint="eastAsia"/>
          <w:color w:val="auto"/>
          <w:lang w:val="en-US" w:eastAsia="zh-CN"/>
        </w:rPr>
      </w:pPr>
      <w:r>
        <w:rPr>
          <w:rFonts w:hint="eastAsia"/>
          <w:color w:val="auto"/>
          <w:lang w:val="en-US" w:eastAsia="zh-CN"/>
        </w:rPr>
        <w:t>二、湿地恢复区</w:t>
      </w:r>
    </w:p>
    <w:p w14:paraId="356BD6F6">
      <w:pPr>
        <w:bidi w:val="0"/>
        <w:rPr>
          <w:rFonts w:hint="eastAsia"/>
          <w:color w:val="auto"/>
          <w:lang w:val="en-US" w:eastAsia="zh-CN"/>
        </w:rPr>
      </w:pPr>
      <w:r>
        <w:rPr>
          <w:rFonts w:hint="eastAsia"/>
          <w:color w:val="auto"/>
          <w:lang w:val="en-US" w:eastAsia="zh-CN"/>
        </w:rPr>
        <w:t>1.范围与现状</w:t>
      </w:r>
    </w:p>
    <w:p w14:paraId="2A15EB2A">
      <w:pPr>
        <w:bidi w:val="0"/>
        <w:rPr>
          <w:rFonts w:hint="eastAsia"/>
          <w:color w:val="auto"/>
          <w:lang w:val="en-US" w:eastAsia="zh-CN"/>
        </w:rPr>
      </w:pPr>
      <w:r>
        <w:rPr>
          <w:rFonts w:hint="eastAsia"/>
          <w:color w:val="auto"/>
          <w:lang w:val="en-US" w:eastAsia="zh-CN"/>
        </w:rPr>
        <w:t>湿地恢复区位于湿地公园西部，为25.2公里的秋浦河段，北至入江口2公里处，南至普丰圩，总面积为1376.76公顷，占公园总面积的62.66%。，河内水质良好，河滩涂较多，有众多的水鸟在此栖息停歇。</w:t>
      </w:r>
    </w:p>
    <w:p w14:paraId="3AE24339">
      <w:pPr>
        <w:bidi w:val="0"/>
        <w:rPr>
          <w:rFonts w:hint="eastAsia"/>
          <w:color w:val="auto"/>
          <w:lang w:val="en-US" w:eastAsia="zh-CN"/>
        </w:rPr>
      </w:pPr>
      <w:r>
        <w:rPr>
          <w:rFonts w:hint="eastAsia"/>
          <w:color w:val="auto"/>
          <w:lang w:val="en-US" w:eastAsia="zh-CN"/>
        </w:rPr>
        <w:t>2.建设目标</w:t>
      </w:r>
    </w:p>
    <w:p w14:paraId="299798C0">
      <w:pPr>
        <w:bidi w:val="0"/>
        <w:rPr>
          <w:rFonts w:hint="eastAsia"/>
          <w:color w:val="auto"/>
          <w:lang w:val="en-US" w:eastAsia="zh-CN"/>
        </w:rPr>
      </w:pPr>
      <w:r>
        <w:rPr>
          <w:rFonts w:hint="eastAsia"/>
          <w:color w:val="auto"/>
          <w:lang w:val="en-US" w:eastAsia="zh-CN"/>
        </w:rPr>
        <w:t>构建良好的湿地生境，以恢复湿地生态系统多样性为目标，采取自然和人工促进恢复相结合的措施，构建类型多样的湿地景观和发挥森林生态系统城市之肺功能，涵养水源，并为林鸟提供栖息地。</w:t>
      </w:r>
    </w:p>
    <w:p w14:paraId="19C77DA7">
      <w:pPr>
        <w:bidi w:val="0"/>
        <w:rPr>
          <w:rFonts w:hint="eastAsia"/>
          <w:color w:val="auto"/>
          <w:lang w:val="en-US" w:eastAsia="zh-CN"/>
        </w:rPr>
      </w:pPr>
      <w:r>
        <w:rPr>
          <w:rFonts w:hint="eastAsia"/>
          <w:color w:val="auto"/>
          <w:lang w:val="en-US" w:eastAsia="zh-CN"/>
        </w:rPr>
        <w:t>3.措施</w:t>
      </w:r>
    </w:p>
    <w:p w14:paraId="4FB333A5">
      <w:pPr>
        <w:bidi w:val="0"/>
        <w:rPr>
          <w:rFonts w:hint="eastAsia"/>
          <w:color w:val="auto"/>
          <w:lang w:val="en-US" w:eastAsia="zh-CN"/>
        </w:rPr>
      </w:pPr>
      <w:r>
        <w:rPr>
          <w:rFonts w:hint="eastAsia"/>
          <w:color w:val="auto"/>
          <w:lang w:val="en-US" w:eastAsia="zh-CN"/>
        </w:rPr>
        <w:t>对白洋河河岸进行保护，进行水质保护和水土保持项目；对部分生态系统不好的河滩地进行恢复，通过人为干预措施，人工恢复植被重建栖息地，以适应不同季节不同种鸟类栖息。对围堰鱼塘进行退养还湿工程，与秋浦河进行水系连通。改造后的栖息地吸引主要的鸟类为雁鸭类和鸻鹬类。建设原则是自然纯朴的风格，只设置必要的服务设施。这些栖息地是供业余观鸟爱好者、团队游客及专业人士科考使用，布置观鸟墙、观鸟屋等近距离观鸟设施。</w:t>
      </w:r>
    </w:p>
    <w:p w14:paraId="615A6112">
      <w:pPr>
        <w:bidi w:val="0"/>
        <w:rPr>
          <w:rFonts w:hint="eastAsia"/>
          <w:color w:val="auto"/>
          <w:lang w:val="en-US" w:eastAsia="zh-CN"/>
        </w:rPr>
      </w:pPr>
      <w:r>
        <w:rPr>
          <w:rFonts w:hint="eastAsia"/>
          <w:color w:val="auto"/>
          <w:lang w:val="en-US" w:eastAsia="zh-CN"/>
        </w:rPr>
        <w:t>4.建设内容</w:t>
      </w:r>
    </w:p>
    <w:p w14:paraId="63981E18">
      <w:pPr>
        <w:bidi w:val="0"/>
        <w:rPr>
          <w:rFonts w:hint="eastAsia"/>
          <w:color w:val="auto"/>
          <w:lang w:val="en-US" w:eastAsia="zh-CN"/>
        </w:rPr>
      </w:pPr>
      <w:r>
        <w:rPr>
          <w:rFonts w:hint="eastAsia"/>
          <w:color w:val="auto"/>
          <w:lang w:val="en-US" w:eastAsia="zh-CN"/>
        </w:rPr>
        <w:t>该区主要建设内容包括：湿地生境和物种栖息地的恢复，地带性植被恢复工程，水质水岸保护和湿地科研监测、湿地普及宣传教育、退养还湿工程、水系连通工程。</w:t>
      </w:r>
    </w:p>
    <w:p w14:paraId="26C88195">
      <w:pPr>
        <w:bidi w:val="0"/>
        <w:rPr>
          <w:rFonts w:hint="eastAsia"/>
          <w:color w:val="auto"/>
          <w:lang w:val="en-US" w:eastAsia="zh-CN"/>
        </w:rPr>
      </w:pPr>
      <w:r>
        <w:rPr>
          <w:rFonts w:hint="eastAsia"/>
          <w:b/>
          <w:bCs/>
          <w:color w:val="auto"/>
          <w:lang w:val="en-US" w:eastAsia="zh-CN"/>
        </w:rPr>
        <w:t>（2）符合性分析：</w:t>
      </w:r>
    </w:p>
    <w:p w14:paraId="4F6847B4">
      <w:pPr>
        <w:bidi w:val="0"/>
        <w:rPr>
          <w:rFonts w:hint="eastAsia"/>
          <w:color w:val="auto"/>
          <w:lang w:val="en-US" w:eastAsia="zh-CN"/>
        </w:rPr>
      </w:pPr>
      <w:r>
        <w:rPr>
          <w:rFonts w:hint="eastAsia"/>
          <w:color w:val="auto"/>
          <w:lang w:val="en-US" w:eastAsia="zh-CN"/>
        </w:rPr>
        <w:t>本项目位于安徽贵池杏花村省级湿地公园湿地恢复区，项目实施清除湿地恢复区内抛泥区底泥，对湿地生境进行恢复，符合湿地恢复区的建设目标及建设内容。</w:t>
      </w:r>
    </w:p>
    <w:p w14:paraId="4F8197C9">
      <w:pPr>
        <w:pStyle w:val="5"/>
        <w:bidi w:val="0"/>
        <w:rPr>
          <w:rFonts w:hint="eastAsia"/>
          <w:color w:val="auto"/>
          <w:lang w:val="en-US" w:eastAsia="zh-CN"/>
        </w:rPr>
      </w:pPr>
      <w:r>
        <w:rPr>
          <w:rFonts w:hint="eastAsia"/>
          <w:color w:val="auto"/>
          <w:lang w:val="en-US" w:eastAsia="zh-CN"/>
        </w:rPr>
        <w:t>与《秋浦仙境风景名胜区总体规划(2017-2030)》相符性分析</w:t>
      </w:r>
    </w:p>
    <w:p w14:paraId="4EBF2349">
      <w:pPr>
        <w:bidi w:val="0"/>
        <w:rPr>
          <w:rFonts w:hint="eastAsia"/>
          <w:color w:val="auto"/>
          <w:lang w:val="en-US" w:eastAsia="zh-CN"/>
        </w:rPr>
      </w:pPr>
      <w:r>
        <w:rPr>
          <w:rFonts w:hint="eastAsia"/>
          <w:b/>
          <w:bCs/>
          <w:color w:val="auto"/>
          <w:lang w:val="en-US" w:eastAsia="zh-CN"/>
        </w:rPr>
        <w:t>（1）文件要求</w:t>
      </w:r>
    </w:p>
    <w:p w14:paraId="3CA386DC">
      <w:pPr>
        <w:bidi w:val="0"/>
        <w:rPr>
          <w:rFonts w:hint="eastAsia"/>
          <w:color w:val="auto"/>
          <w:lang w:val="en-US" w:eastAsia="zh-CN"/>
        </w:rPr>
      </w:pPr>
      <w:r>
        <w:rPr>
          <w:rFonts w:hint="eastAsia"/>
          <w:color w:val="auto"/>
          <w:lang w:val="en-US" w:eastAsia="zh-CN"/>
        </w:rPr>
        <w:t>（一）总规概况</w:t>
      </w:r>
    </w:p>
    <w:p w14:paraId="4D44326F">
      <w:pPr>
        <w:bidi w:val="0"/>
        <w:rPr>
          <w:rFonts w:hint="eastAsia"/>
          <w:color w:val="auto"/>
          <w:lang w:val="en-US" w:eastAsia="zh-CN"/>
        </w:rPr>
      </w:pPr>
      <w:r>
        <w:rPr>
          <w:rFonts w:hint="eastAsia"/>
          <w:color w:val="auto"/>
          <w:lang w:val="en-US" w:eastAsia="zh-CN"/>
        </w:rPr>
        <w:t>1、风景区范围</w:t>
      </w:r>
    </w:p>
    <w:p w14:paraId="095E0C58">
      <w:pPr>
        <w:bidi w:val="0"/>
        <w:rPr>
          <w:rFonts w:hint="eastAsia"/>
          <w:color w:val="auto"/>
          <w:lang w:val="en-US" w:eastAsia="zh-CN"/>
        </w:rPr>
      </w:pPr>
      <w:r>
        <w:rPr>
          <w:rFonts w:hint="eastAsia"/>
          <w:color w:val="auto"/>
          <w:lang w:val="en-US" w:eastAsia="zh-CN"/>
        </w:rPr>
        <w:t>秋浦仙境风景名胜区包含万罗山、九华天池、秋浦河、大王洞四个景区，其规划面积56.83平方公里。核心景区包括：万罗山景区的景点主要集中区域面积1.09平方公里、九华天池景区河谷两侧面积5.36平方公里、秋浦河景区景点主要集中区域面积7.74平方公里、以及大王洞景区的景点集中区域面积2.86平方公里。核心景区面积总计为17.05平方公里。</w:t>
      </w:r>
    </w:p>
    <w:p w14:paraId="4CE54BBC">
      <w:pPr>
        <w:bidi w:val="0"/>
        <w:rPr>
          <w:rFonts w:hint="eastAsia"/>
          <w:color w:val="auto"/>
          <w:lang w:val="en-US" w:eastAsia="zh-CN"/>
        </w:rPr>
      </w:pPr>
      <w:r>
        <w:rPr>
          <w:rFonts w:hint="eastAsia"/>
          <w:color w:val="auto"/>
          <w:lang w:val="en-US" w:eastAsia="zh-CN"/>
        </w:rPr>
        <w:t>2、景区范围</w:t>
      </w:r>
    </w:p>
    <w:p w14:paraId="70C47F94">
      <w:pPr>
        <w:bidi w:val="0"/>
        <w:rPr>
          <w:rFonts w:hint="eastAsia"/>
          <w:color w:val="auto"/>
          <w:lang w:val="en-US" w:eastAsia="zh-CN"/>
        </w:rPr>
      </w:pPr>
      <w:r>
        <w:rPr>
          <w:rFonts w:hint="eastAsia"/>
          <w:color w:val="auto"/>
          <w:lang w:val="en-US" w:eastAsia="zh-CN"/>
        </w:rPr>
        <w:t>秋浦河景区以贵池区段秋浦河河岸线退让30米-200米为界。主要由秋浦河、昭明钓台等景点组成。</w:t>
      </w:r>
    </w:p>
    <w:p w14:paraId="4C0182FA">
      <w:pPr>
        <w:bidi w:val="0"/>
        <w:rPr>
          <w:rFonts w:hint="eastAsia"/>
          <w:color w:val="auto"/>
          <w:lang w:val="en-US" w:eastAsia="zh-CN"/>
        </w:rPr>
      </w:pPr>
      <w:r>
        <w:rPr>
          <w:rFonts w:hint="eastAsia"/>
          <w:color w:val="auto"/>
          <w:lang w:val="en-US" w:eastAsia="zh-CN"/>
        </w:rPr>
        <w:t>3、外围保护带范围</w:t>
      </w:r>
    </w:p>
    <w:p w14:paraId="578F8344">
      <w:pPr>
        <w:bidi w:val="0"/>
        <w:rPr>
          <w:rFonts w:hint="eastAsia"/>
          <w:color w:val="auto"/>
          <w:lang w:val="en-US" w:eastAsia="zh-CN"/>
        </w:rPr>
      </w:pPr>
      <w:r>
        <w:rPr>
          <w:rFonts w:hint="eastAsia"/>
          <w:color w:val="auto"/>
          <w:lang w:val="en-US" w:eastAsia="zh-CN"/>
        </w:rPr>
        <w:t>按照各区域实际情况，以风景区界线外扩200-1700米作为外围保护带界线，其中，九华天池、万罗山、大王洞景区依据实际情况外扩500米左右作为外围保护带界线；秋浦河景区将水岸线外扩30-200米范围作为外围保护地带，在风景区四周适度扩大原有外围保护带范围，面积共计127.62平方公里。</w:t>
      </w:r>
    </w:p>
    <w:p w14:paraId="2F1D5FFE">
      <w:pPr>
        <w:bidi w:val="0"/>
        <w:rPr>
          <w:rFonts w:hint="eastAsia"/>
          <w:color w:val="auto"/>
          <w:lang w:val="en-US" w:eastAsia="zh-CN"/>
        </w:rPr>
      </w:pPr>
      <w:r>
        <w:rPr>
          <w:rFonts w:hint="eastAsia"/>
          <w:color w:val="auto"/>
          <w:lang w:val="en-US" w:eastAsia="zh-CN"/>
        </w:rPr>
        <w:t>（二）风景区性质</w:t>
      </w:r>
    </w:p>
    <w:p w14:paraId="2ED828D2">
      <w:pPr>
        <w:bidi w:val="0"/>
        <w:rPr>
          <w:rFonts w:hint="eastAsia"/>
          <w:color w:val="auto"/>
          <w:lang w:val="en-US" w:eastAsia="zh-CN"/>
        </w:rPr>
      </w:pPr>
      <w:r>
        <w:rPr>
          <w:rFonts w:hint="eastAsia"/>
          <w:color w:val="auto"/>
          <w:lang w:val="en-US" w:eastAsia="zh-CN"/>
        </w:rPr>
        <w:t>秋浦仙境风景区的性质为：以优越良好的生态环境为依托，融圣山、文水为一体，具有游览、休闲、养生、度假功能的分散型风景名胜区。</w:t>
      </w:r>
    </w:p>
    <w:p w14:paraId="583BBEC0">
      <w:pPr>
        <w:bidi w:val="0"/>
        <w:rPr>
          <w:rFonts w:hint="eastAsia"/>
          <w:color w:val="auto"/>
          <w:lang w:val="en-US" w:eastAsia="zh-CN"/>
        </w:rPr>
      </w:pPr>
      <w:r>
        <w:rPr>
          <w:rFonts w:hint="eastAsia"/>
          <w:color w:val="auto"/>
          <w:lang w:val="en-US" w:eastAsia="zh-CN"/>
        </w:rPr>
        <w:t>（三）功能定位</w:t>
      </w:r>
    </w:p>
    <w:p w14:paraId="11067DBE">
      <w:pPr>
        <w:bidi w:val="0"/>
        <w:rPr>
          <w:rFonts w:hint="eastAsia"/>
          <w:color w:val="auto"/>
          <w:lang w:val="en-US" w:eastAsia="zh-CN"/>
        </w:rPr>
      </w:pPr>
      <w:r>
        <w:rPr>
          <w:rFonts w:hint="eastAsia"/>
          <w:color w:val="auto"/>
          <w:lang w:val="en-US" w:eastAsia="zh-CN"/>
        </w:rPr>
        <w:t>秋浦河景区是以李白游秋浦、唐宋诗词文化及秋浦水道游览观光功能为主。</w:t>
      </w:r>
    </w:p>
    <w:p w14:paraId="3FC40235">
      <w:pPr>
        <w:bidi w:val="0"/>
        <w:rPr>
          <w:rFonts w:hint="eastAsia"/>
          <w:color w:val="auto"/>
          <w:lang w:val="en-US" w:eastAsia="zh-CN"/>
        </w:rPr>
      </w:pPr>
      <w:r>
        <w:rPr>
          <w:rFonts w:hint="eastAsia"/>
          <w:b/>
          <w:bCs/>
          <w:color w:val="auto"/>
          <w:lang w:val="en-US" w:eastAsia="zh-CN"/>
        </w:rPr>
        <w:t>（2）符合性分析：</w:t>
      </w:r>
    </w:p>
    <w:p w14:paraId="01DC326C">
      <w:pPr>
        <w:bidi w:val="0"/>
        <w:rPr>
          <w:rFonts w:hint="eastAsia"/>
          <w:color w:val="auto"/>
          <w:lang w:val="en-US" w:eastAsia="zh-CN"/>
        </w:rPr>
        <w:sectPr>
          <w:footerReference r:id="rId9" w:type="default"/>
          <w:pgSz w:w="11906" w:h="16838"/>
          <w:pgMar w:top="1400" w:right="1803" w:bottom="1440" w:left="1803" w:header="935" w:footer="992" w:gutter="0"/>
          <w:pgBorders>
            <w:top w:val="none" w:sz="0" w:space="0"/>
            <w:left w:val="none" w:sz="0" w:space="0"/>
            <w:bottom w:val="none" w:sz="0" w:space="0"/>
            <w:right w:val="none" w:sz="0" w:space="0"/>
          </w:pgBorders>
          <w:pgNumType w:fmt="upperRoman" w:start="1"/>
          <w:cols w:space="0" w:num="1"/>
          <w:rtlGutter w:val="0"/>
          <w:docGrid w:linePitch="312" w:charSpace="0"/>
        </w:sectPr>
      </w:pPr>
      <w:r>
        <w:rPr>
          <w:rFonts w:hint="eastAsia"/>
          <w:color w:val="auto"/>
          <w:lang w:val="en-US" w:eastAsia="zh-CN"/>
        </w:rPr>
        <w:t>本项目评价范围涉及秋浦仙境风景名胜区中秋浦河景区，项目对秋浦河现有抛泥区底泥进行清除，对景区风景进行恢复优化，符合《秋浦仙境风景名胜区总体规划(2017-2030)》要求。</w:t>
      </w:r>
    </w:p>
    <w:p w14:paraId="0BBCD5F1">
      <w:pPr>
        <w:pStyle w:val="5"/>
        <w:bidi w:val="0"/>
        <w:rPr>
          <w:rFonts w:hint="eastAsia"/>
          <w:color w:val="auto"/>
          <w:lang w:val="en-US" w:eastAsia="zh-CN"/>
        </w:rPr>
      </w:pPr>
      <w:r>
        <w:rPr>
          <w:rFonts w:hint="eastAsia"/>
          <w:color w:val="auto"/>
          <w:lang w:val="en-US" w:eastAsia="zh-CN"/>
        </w:rPr>
        <w:t>与相关环境保护规划相符性分析</w:t>
      </w:r>
    </w:p>
    <w:p w14:paraId="32C04BA8">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hint="default" w:ascii="Times New Roman" w:hAnsi="Times New Roman" w:eastAsia="宋体" w:cs="Times New Roman"/>
          <w:b/>
          <w:bCs/>
          <w:color w:val="auto"/>
          <w:sz w:val="21"/>
          <w:szCs w:val="21"/>
        </w:rPr>
        <w:t>项目与相关环境保护规划相符性分析</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8959"/>
        <w:gridCol w:w="2933"/>
        <w:gridCol w:w="646"/>
      </w:tblGrid>
      <w:tr w14:paraId="4425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vAlign w:val="center"/>
          </w:tcPr>
          <w:p w14:paraId="12152CCC">
            <w:pPr>
              <w:pStyle w:val="31"/>
              <w:widowControl w:val="0"/>
              <w:bidi w:val="0"/>
              <w:rPr>
                <w:rFonts w:hint="default"/>
                <w:color w:val="auto"/>
                <w:lang w:val="en-US" w:eastAsia="zh-CN"/>
              </w:rPr>
            </w:pPr>
            <w:r>
              <w:rPr>
                <w:rFonts w:hint="eastAsia"/>
                <w:color w:val="auto"/>
                <w:lang w:val="en-US" w:eastAsia="zh-CN"/>
              </w:rPr>
              <w:t>规划名称</w:t>
            </w:r>
          </w:p>
        </w:tc>
        <w:tc>
          <w:tcPr>
            <w:tcW w:w="3151" w:type="pct"/>
            <w:vAlign w:val="center"/>
          </w:tcPr>
          <w:p w14:paraId="0922D850">
            <w:pPr>
              <w:pStyle w:val="31"/>
              <w:widowControl w:val="0"/>
              <w:bidi w:val="0"/>
              <w:rPr>
                <w:rFonts w:hint="default"/>
                <w:color w:val="auto"/>
                <w:lang w:val="en-US" w:eastAsia="zh-CN"/>
              </w:rPr>
            </w:pPr>
            <w:r>
              <w:rPr>
                <w:rFonts w:hint="eastAsia"/>
                <w:color w:val="auto"/>
                <w:lang w:val="en-US" w:eastAsia="zh-CN"/>
              </w:rPr>
              <w:t>规划相关内容（仅摘录相关内容）</w:t>
            </w:r>
          </w:p>
        </w:tc>
        <w:tc>
          <w:tcPr>
            <w:tcW w:w="1258" w:type="pct"/>
            <w:gridSpan w:val="2"/>
            <w:vAlign w:val="center"/>
          </w:tcPr>
          <w:p w14:paraId="5EDB1513">
            <w:pPr>
              <w:pStyle w:val="31"/>
              <w:widowControl w:val="0"/>
              <w:bidi w:val="0"/>
              <w:rPr>
                <w:rFonts w:hint="eastAsia"/>
                <w:color w:val="auto"/>
                <w:lang w:val="en-US" w:eastAsia="zh-CN"/>
              </w:rPr>
            </w:pPr>
            <w:r>
              <w:rPr>
                <w:rFonts w:hint="default"/>
                <w:color w:val="auto"/>
              </w:rPr>
              <w:t>相符性</w:t>
            </w:r>
            <w:r>
              <w:rPr>
                <w:rFonts w:hint="eastAsia"/>
                <w:color w:val="auto"/>
                <w:lang w:val="en-US" w:eastAsia="zh-CN"/>
              </w:rPr>
              <w:t>判定</w:t>
            </w:r>
          </w:p>
        </w:tc>
      </w:tr>
      <w:tr w14:paraId="7BBF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vAlign w:val="center"/>
          </w:tcPr>
          <w:p w14:paraId="3F6E7336">
            <w:pPr>
              <w:pStyle w:val="31"/>
              <w:widowControl w:val="0"/>
              <w:bidi w:val="0"/>
              <w:ind w:firstLine="0" w:firstLineChars="0"/>
              <w:rPr>
                <w:rFonts w:hint="eastAsia"/>
                <w:color w:val="auto"/>
                <w:lang w:val="en-US" w:eastAsia="zh-CN"/>
              </w:rPr>
            </w:pPr>
            <w:r>
              <w:rPr>
                <w:rFonts w:hint="eastAsia"/>
                <w:color w:val="auto"/>
                <w:lang w:val="en-US" w:eastAsia="zh-CN"/>
              </w:rPr>
              <w:t>《“十四五”重点流域水环境综合治理规划》</w:t>
            </w:r>
          </w:p>
        </w:tc>
        <w:tc>
          <w:tcPr>
            <w:tcW w:w="3151" w:type="pct"/>
            <w:vAlign w:val="center"/>
          </w:tcPr>
          <w:p w14:paraId="68D8F442">
            <w:pPr>
              <w:pStyle w:val="31"/>
              <w:widowControl w:val="0"/>
              <w:bidi w:val="0"/>
              <w:ind w:firstLine="0" w:firstLineChars="0"/>
              <w:jc w:val="left"/>
              <w:rPr>
                <w:rFonts w:hint="eastAsia"/>
                <w:color w:val="auto"/>
                <w:lang w:val="en-US" w:eastAsia="zh-CN"/>
              </w:rPr>
            </w:pPr>
            <w:r>
              <w:rPr>
                <w:rFonts w:hint="eastAsia"/>
                <w:color w:val="auto"/>
                <w:lang w:val="en-US" w:eastAsia="zh-CN"/>
              </w:rPr>
              <w:t>河道水环境综合整治工程。以重点流域主要干支流的重污染河段、重要湖库主要入库河流为重点，以削减内源等污染负荷为目标，因地制宜建设河道（湖库）截污工程，开展污染底泥清淤，加强清淤底泥无害化、资源化处理。以提升水体自净能力、增加水环境容量为目标，开展河道（湖库）沿岸生态护坡、生产缓冲带建设。</w:t>
            </w:r>
          </w:p>
        </w:tc>
        <w:tc>
          <w:tcPr>
            <w:tcW w:w="1031" w:type="pct"/>
            <w:vAlign w:val="center"/>
          </w:tcPr>
          <w:p w14:paraId="35C35E86">
            <w:pPr>
              <w:pStyle w:val="31"/>
              <w:widowControl w:val="0"/>
              <w:bidi w:val="0"/>
              <w:ind w:firstLine="0" w:firstLineChars="0"/>
              <w:jc w:val="left"/>
              <w:rPr>
                <w:rFonts w:hint="eastAsia"/>
                <w:color w:val="auto"/>
                <w:lang w:val="en-US" w:eastAsia="zh-CN"/>
              </w:rPr>
            </w:pPr>
            <w:r>
              <w:rPr>
                <w:rFonts w:hint="default"/>
                <w:color w:val="auto"/>
                <w:lang w:val="en-US" w:eastAsia="zh-CN"/>
              </w:rPr>
              <w:t>本项目清理的底泥</w:t>
            </w:r>
            <w:r>
              <w:rPr>
                <w:rFonts w:hint="eastAsia"/>
                <w:color w:val="auto"/>
                <w:lang w:val="en-US" w:eastAsia="zh-CN"/>
              </w:rPr>
              <w:t>弃土</w:t>
            </w:r>
            <w:r>
              <w:rPr>
                <w:rFonts w:hint="default"/>
                <w:color w:val="auto"/>
                <w:lang w:val="en-US" w:eastAsia="zh-CN"/>
              </w:rPr>
              <w:t>运至废弃矿坑弃土区填埋，有助于加强底泥</w:t>
            </w:r>
            <w:r>
              <w:rPr>
                <w:rFonts w:hint="eastAsia"/>
                <w:color w:val="auto"/>
                <w:lang w:val="en-US" w:eastAsia="zh-CN"/>
              </w:rPr>
              <w:t>弃土</w:t>
            </w:r>
            <w:r>
              <w:rPr>
                <w:rFonts w:hint="default"/>
                <w:color w:val="auto"/>
                <w:lang w:val="en-US" w:eastAsia="zh-CN"/>
              </w:rPr>
              <w:t>无害化、资源化处理。</w:t>
            </w:r>
          </w:p>
        </w:tc>
        <w:tc>
          <w:tcPr>
            <w:tcW w:w="227" w:type="pct"/>
            <w:vAlign w:val="center"/>
          </w:tcPr>
          <w:p w14:paraId="4394F9A9">
            <w:pPr>
              <w:pStyle w:val="31"/>
              <w:widowControl w:val="0"/>
              <w:bidi w:val="0"/>
              <w:ind w:firstLine="0" w:firstLineChars="0"/>
              <w:rPr>
                <w:rFonts w:hint="eastAsia"/>
                <w:color w:val="auto"/>
                <w:lang w:val="en-US" w:eastAsia="zh-CN"/>
              </w:rPr>
            </w:pPr>
            <w:r>
              <w:rPr>
                <w:rFonts w:hint="eastAsia"/>
                <w:color w:val="auto"/>
                <w:lang w:val="en-US" w:eastAsia="zh-CN"/>
              </w:rPr>
              <w:t>符合</w:t>
            </w:r>
          </w:p>
        </w:tc>
      </w:tr>
      <w:tr w14:paraId="00C62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vAlign w:val="center"/>
          </w:tcPr>
          <w:p w14:paraId="23AE140E">
            <w:pPr>
              <w:pStyle w:val="31"/>
              <w:widowControl w:val="0"/>
              <w:bidi w:val="0"/>
              <w:ind w:firstLine="0" w:firstLineChars="0"/>
              <w:rPr>
                <w:rFonts w:hint="eastAsia"/>
                <w:color w:val="auto"/>
                <w:lang w:val="en-US" w:eastAsia="zh-CN"/>
              </w:rPr>
            </w:pPr>
            <w:r>
              <w:rPr>
                <w:rFonts w:hint="eastAsia"/>
                <w:color w:val="auto"/>
                <w:highlight w:val="none"/>
                <w:lang w:val="en-US" w:eastAsia="zh-CN"/>
              </w:rPr>
              <w:t>《长江经济带生态环境保护规划》</w:t>
            </w:r>
          </w:p>
        </w:tc>
        <w:tc>
          <w:tcPr>
            <w:tcW w:w="3151" w:type="pct"/>
            <w:vAlign w:val="center"/>
          </w:tcPr>
          <w:p w14:paraId="075DD349">
            <w:pPr>
              <w:pStyle w:val="31"/>
              <w:widowControl w:val="0"/>
              <w:bidi w:val="0"/>
              <w:ind w:firstLine="0" w:firstLineChars="0"/>
              <w:jc w:val="left"/>
              <w:rPr>
                <w:rFonts w:hint="eastAsia"/>
                <w:color w:val="auto"/>
                <w:lang w:val="en-US" w:eastAsia="zh-CN"/>
              </w:rPr>
            </w:pPr>
            <w:r>
              <w:rPr>
                <w:rFonts w:hint="eastAsia"/>
                <w:color w:val="auto"/>
                <w:highlight w:val="none"/>
                <w:lang w:val="en-US" w:eastAsia="zh-CN"/>
              </w:rPr>
              <w:t>加大河湖、湿地生态保护与修复。加强河湖、湿地保护，严禁围垦湖泊，强化高原湿地生态系统保护，提高自然湿地面积、保护率。组织开展长江经济带河湖生态调查、健康评估，加强洞庭湖鄱阳湖、三峡水库等重点湖库生态安全体系建设。继续实施退田还湖还湿，采取水量调度、湖滨带生态修复、生态补水、河湖水系连通、重要生境修复等措施，修复湖泊、湿地生态系统。通过退耕(牧)还湿、河岸带水生态保护与修复、湿地植被恢复、有害生物防控等措施，实施湿地综合治理，提高湿地生态功能。以南水北调东线清水廊道及周边湖泊、湿地为重点，建设江淮生态大走廊。</w:t>
            </w:r>
          </w:p>
        </w:tc>
        <w:tc>
          <w:tcPr>
            <w:tcW w:w="1031" w:type="pct"/>
            <w:vAlign w:val="center"/>
          </w:tcPr>
          <w:p w14:paraId="79D258C9">
            <w:pPr>
              <w:pStyle w:val="31"/>
              <w:widowControl w:val="0"/>
              <w:bidi w:val="0"/>
              <w:ind w:firstLine="0" w:firstLineChars="0"/>
              <w:jc w:val="left"/>
              <w:rPr>
                <w:rFonts w:hint="eastAsia"/>
                <w:color w:val="auto"/>
                <w:lang w:val="en-US" w:eastAsia="zh-CN"/>
              </w:rPr>
            </w:pPr>
            <w:r>
              <w:rPr>
                <w:rFonts w:hint="eastAsia"/>
                <w:color w:val="auto"/>
                <w:highlight w:val="none"/>
                <w:lang w:val="en-US" w:eastAsia="zh-CN"/>
              </w:rPr>
              <w:t>本项目秋浦河航道整治工程5号、6号抛泥区抛泥清除恢复工程，项目重点对池州市贵池区杏花村省级湿地公园内现有抛泥区抛泥进行清除，修复湿地生态系统。</w:t>
            </w:r>
          </w:p>
        </w:tc>
        <w:tc>
          <w:tcPr>
            <w:tcW w:w="227" w:type="pct"/>
            <w:vAlign w:val="center"/>
          </w:tcPr>
          <w:p w14:paraId="7B99C32D">
            <w:pPr>
              <w:pStyle w:val="31"/>
              <w:widowControl w:val="0"/>
              <w:bidi w:val="0"/>
              <w:ind w:firstLine="0" w:firstLineChars="0"/>
              <w:rPr>
                <w:rFonts w:hint="eastAsia"/>
                <w:color w:val="auto"/>
                <w:lang w:val="en-US" w:eastAsia="zh-CN"/>
              </w:rPr>
            </w:pPr>
            <w:r>
              <w:rPr>
                <w:rFonts w:hint="eastAsia"/>
                <w:color w:val="auto"/>
                <w:highlight w:val="none"/>
                <w:lang w:val="en-US" w:eastAsia="zh-CN"/>
              </w:rPr>
              <w:t>符合</w:t>
            </w:r>
          </w:p>
        </w:tc>
      </w:tr>
      <w:tr w14:paraId="1999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vAlign w:val="center"/>
          </w:tcPr>
          <w:p w14:paraId="7FC2ED72">
            <w:pPr>
              <w:pStyle w:val="31"/>
              <w:widowControl w:val="0"/>
              <w:bidi w:val="0"/>
              <w:ind w:firstLine="0" w:firstLineChars="0"/>
              <w:rPr>
                <w:rFonts w:hint="eastAsia"/>
                <w:color w:val="auto"/>
                <w:highlight w:val="none"/>
                <w:lang w:val="en-US" w:eastAsia="zh-CN"/>
              </w:rPr>
            </w:pPr>
            <w:r>
              <w:rPr>
                <w:rFonts w:hint="eastAsia"/>
                <w:color w:val="auto"/>
                <w:highlight w:val="none"/>
                <w:lang w:val="en-US" w:eastAsia="zh-CN"/>
              </w:rPr>
              <w:t>《池州市“十四五”生态环境保护规划》</w:t>
            </w:r>
          </w:p>
        </w:tc>
        <w:tc>
          <w:tcPr>
            <w:tcW w:w="3151" w:type="pct"/>
            <w:vAlign w:val="center"/>
          </w:tcPr>
          <w:p w14:paraId="37934C52">
            <w:pPr>
              <w:pStyle w:val="31"/>
              <w:widowControl w:val="0"/>
              <w:bidi w:val="0"/>
              <w:ind w:firstLine="0" w:firstLineChars="0"/>
              <w:jc w:val="left"/>
              <w:rPr>
                <w:rFonts w:hint="eastAsia"/>
                <w:color w:val="auto"/>
                <w:highlight w:val="none"/>
                <w:lang w:val="en-US" w:eastAsia="zh-CN"/>
              </w:rPr>
            </w:pPr>
            <w:r>
              <w:rPr>
                <w:rFonts w:hint="eastAsia"/>
                <w:color w:val="auto"/>
                <w:highlight w:val="none"/>
                <w:lang w:val="en-US" w:eastAsia="zh-CN"/>
              </w:rPr>
              <w:t>5．加强湿地资源保护。实施湿地生态红线精准管控和分级管理，开展退耕还湿、生态疏浚，提高湿地系统初级生产力水平。改善升金湖鸟类的栖息环境和食物链结构，维持生态系统平衡。开展湿地生物多样性监管能力建设，实施湿地公园的生物多样性本底综合调查，构建重要物种数据库。建立外来物种的早期预警体系，完善湿地引种、检验检疫等机制。</w:t>
            </w:r>
          </w:p>
        </w:tc>
        <w:tc>
          <w:tcPr>
            <w:tcW w:w="1031" w:type="pct"/>
            <w:vAlign w:val="center"/>
          </w:tcPr>
          <w:p w14:paraId="2D34AEB3">
            <w:pPr>
              <w:pStyle w:val="31"/>
              <w:widowControl w:val="0"/>
              <w:bidi w:val="0"/>
              <w:ind w:firstLine="0" w:firstLineChars="0"/>
              <w:jc w:val="left"/>
              <w:rPr>
                <w:rFonts w:hint="eastAsia"/>
                <w:color w:val="auto"/>
                <w:highlight w:val="none"/>
                <w:lang w:val="en-US" w:eastAsia="zh-CN"/>
              </w:rPr>
            </w:pPr>
            <w:r>
              <w:rPr>
                <w:rFonts w:hint="eastAsia"/>
                <w:color w:val="auto"/>
                <w:highlight w:val="none"/>
                <w:lang w:val="en-US" w:eastAsia="zh-CN"/>
              </w:rPr>
              <w:t>本项目对杏花村省级湿地公园内的抛泥区开展清理工作，属于湿地生态疏浚，可有效提高湿地系统初级生产力水平。</w:t>
            </w:r>
          </w:p>
        </w:tc>
        <w:tc>
          <w:tcPr>
            <w:tcW w:w="227" w:type="pct"/>
            <w:vAlign w:val="center"/>
          </w:tcPr>
          <w:p w14:paraId="4AB6B68F">
            <w:pPr>
              <w:pStyle w:val="31"/>
              <w:widowControl w:val="0"/>
              <w:bidi w:val="0"/>
              <w:ind w:firstLine="0" w:firstLineChars="0"/>
              <w:rPr>
                <w:rFonts w:hint="eastAsia"/>
                <w:color w:val="auto"/>
                <w:highlight w:val="none"/>
                <w:lang w:val="en-US" w:eastAsia="zh-CN"/>
              </w:rPr>
            </w:pPr>
            <w:r>
              <w:rPr>
                <w:rFonts w:hint="eastAsia"/>
                <w:color w:val="auto"/>
                <w:highlight w:val="none"/>
                <w:lang w:val="en-US" w:eastAsia="zh-CN"/>
              </w:rPr>
              <w:t>符合</w:t>
            </w:r>
          </w:p>
        </w:tc>
      </w:tr>
      <w:tr w14:paraId="0A4E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vAlign w:val="center"/>
          </w:tcPr>
          <w:p w14:paraId="604E3782">
            <w:pPr>
              <w:pStyle w:val="31"/>
              <w:widowControl w:val="0"/>
              <w:bidi w:val="0"/>
              <w:rPr>
                <w:rFonts w:hint="eastAsia"/>
                <w:color w:val="auto"/>
                <w:lang w:val="en-US" w:eastAsia="zh-CN"/>
              </w:rPr>
            </w:pPr>
            <w:r>
              <w:rPr>
                <w:rFonts w:hint="eastAsia"/>
                <w:color w:val="auto"/>
                <w:lang w:val="en-US" w:eastAsia="zh-CN"/>
              </w:rPr>
              <w:t>《池州市“十四五”水生态环境保护规</w:t>
            </w:r>
          </w:p>
          <w:p w14:paraId="6818CBDA">
            <w:pPr>
              <w:pStyle w:val="31"/>
              <w:widowControl w:val="0"/>
              <w:bidi w:val="0"/>
              <w:rPr>
                <w:rFonts w:hint="eastAsia"/>
                <w:color w:val="auto"/>
                <w:lang w:val="en-US" w:eastAsia="zh-CN"/>
              </w:rPr>
            </w:pPr>
            <w:r>
              <w:rPr>
                <w:rFonts w:hint="eastAsia"/>
                <w:color w:val="auto"/>
                <w:lang w:val="en-US" w:eastAsia="zh-CN"/>
              </w:rPr>
              <w:t>划》</w:t>
            </w:r>
          </w:p>
        </w:tc>
        <w:tc>
          <w:tcPr>
            <w:tcW w:w="3151" w:type="pct"/>
            <w:vAlign w:val="center"/>
          </w:tcPr>
          <w:p w14:paraId="52A45FD8">
            <w:pPr>
              <w:pStyle w:val="31"/>
              <w:widowControl w:val="0"/>
              <w:bidi w:val="0"/>
              <w:jc w:val="left"/>
              <w:rPr>
                <w:rFonts w:hint="eastAsia"/>
                <w:color w:val="auto"/>
                <w:lang w:val="en-US" w:eastAsia="zh-CN"/>
              </w:rPr>
            </w:pPr>
            <w:r>
              <w:rPr>
                <w:rFonts w:hint="eastAsia"/>
                <w:color w:val="auto"/>
                <w:lang w:val="en-US" w:eastAsia="zh-CN"/>
              </w:rPr>
              <w:t>2.推进秋浦河源头水生态保护修复，加强区域水环境综合治理</w:t>
            </w:r>
          </w:p>
          <w:p w14:paraId="0E9DE6AF">
            <w:pPr>
              <w:pStyle w:val="31"/>
              <w:widowControl w:val="0"/>
              <w:bidi w:val="0"/>
              <w:jc w:val="left"/>
              <w:rPr>
                <w:rFonts w:hint="eastAsia"/>
                <w:color w:val="auto"/>
                <w:lang w:val="en-US" w:eastAsia="zh-CN"/>
              </w:rPr>
            </w:pPr>
            <w:r>
              <w:rPr>
                <w:rFonts w:hint="eastAsia"/>
                <w:color w:val="auto"/>
                <w:lang w:val="en-US" w:eastAsia="zh-CN"/>
              </w:rPr>
              <w:t>开展秋浦河上游水源涵养林建设和河道湿地植被恢复。重点保护秋浦河源头、公信河、鸿陵河、官渡河河段，建设水源涵养林，恢复河岸植被群落和河滩湿地生态环境，助力打造秋浦河源国家湿地公园。实施秋浦河干流河段水环境综合整治，疏浚淤塞的河床，恢复河岸植被群落，促进城镇径流面源污染物的截留。加强秋浦河（涓桥镇段和梅村镇段）水环境综合治理，清理河道内淤积的垃圾，在重要河湾区构建挺水-沉水植被带，实施生态护岸，构建乔灌草相结合的绿色生态廊道，着力提高秋浦河流域生态恢复水平。</w:t>
            </w:r>
          </w:p>
          <w:p w14:paraId="3A2C7142">
            <w:pPr>
              <w:pStyle w:val="31"/>
              <w:widowControl w:val="0"/>
              <w:bidi w:val="0"/>
              <w:jc w:val="left"/>
              <w:rPr>
                <w:rFonts w:hint="eastAsia"/>
                <w:color w:val="auto"/>
                <w:lang w:val="en-US" w:eastAsia="zh-CN"/>
              </w:rPr>
            </w:pPr>
            <w:r>
              <w:rPr>
                <w:rFonts w:hint="eastAsia"/>
                <w:color w:val="auto"/>
                <w:lang w:val="en-US" w:eastAsia="zh-CN"/>
              </w:rPr>
              <w:t>专栏五：秋浦河控制单元</w:t>
            </w:r>
          </w:p>
          <w:p w14:paraId="5E5F4E06">
            <w:pPr>
              <w:pStyle w:val="31"/>
              <w:widowControl w:val="0"/>
              <w:bidi w:val="0"/>
              <w:jc w:val="left"/>
              <w:rPr>
                <w:rFonts w:hint="eastAsia"/>
                <w:color w:val="auto"/>
                <w:lang w:val="en-US" w:eastAsia="zh-CN"/>
              </w:rPr>
            </w:pPr>
            <w:r>
              <w:rPr>
                <w:rFonts w:hint="eastAsia"/>
                <w:color w:val="auto"/>
                <w:lang w:val="en-US" w:eastAsia="zh-CN"/>
              </w:rPr>
              <w:t>1.水环境质量改善:支持石台县秋浦河沿线县城老旧小区污水支管网改造工程、石台县城乡污水厂管网一体PPP项目。</w:t>
            </w:r>
          </w:p>
          <w:p w14:paraId="46C34406">
            <w:pPr>
              <w:pStyle w:val="31"/>
              <w:widowControl w:val="0"/>
              <w:bidi w:val="0"/>
              <w:jc w:val="left"/>
              <w:rPr>
                <w:rFonts w:hint="eastAsia"/>
                <w:color w:val="auto"/>
                <w:lang w:val="en-US" w:eastAsia="zh-CN"/>
              </w:rPr>
            </w:pPr>
            <w:r>
              <w:rPr>
                <w:rFonts w:hint="eastAsia"/>
                <w:color w:val="auto"/>
                <w:lang w:val="en-US" w:eastAsia="zh-CN"/>
              </w:rPr>
              <w:t>2.水生态保护与修复：支持石台县相关乡镇及支流小流域整治及修复治理工程、秋浦河水环境综合治理及水生态修复工程、安徽秋浦河源国家湿地公园湿地保护与恢复工程、秋浦河贵池区梅村镇段生态修复工程、石台县大演乡剡溪河小流域工程。</w:t>
            </w:r>
          </w:p>
        </w:tc>
        <w:tc>
          <w:tcPr>
            <w:tcW w:w="1031" w:type="pct"/>
            <w:vAlign w:val="center"/>
          </w:tcPr>
          <w:p w14:paraId="43A4F676">
            <w:pPr>
              <w:pStyle w:val="31"/>
              <w:widowControl w:val="0"/>
              <w:bidi w:val="0"/>
              <w:jc w:val="left"/>
              <w:rPr>
                <w:rFonts w:hint="default"/>
                <w:color w:val="auto"/>
                <w:lang w:val="en-US" w:eastAsia="zh-CN"/>
              </w:rPr>
            </w:pPr>
            <w:r>
              <w:rPr>
                <w:rFonts w:hint="eastAsia"/>
                <w:color w:val="auto"/>
                <w:lang w:val="en-US" w:eastAsia="zh-CN"/>
              </w:rPr>
              <w:t>本项目为秋浦河航道整治工程5号、6号抛泥区抛泥清除恢复工程，属于安徽秋浦河源国家湿地公园湿地保护与恢复工程，有助于提高秋浦河流域生态恢复水平。</w:t>
            </w:r>
          </w:p>
        </w:tc>
        <w:tc>
          <w:tcPr>
            <w:tcW w:w="227" w:type="pct"/>
            <w:vAlign w:val="center"/>
          </w:tcPr>
          <w:p w14:paraId="7BEAB866">
            <w:pPr>
              <w:pStyle w:val="31"/>
              <w:widowControl w:val="0"/>
              <w:bidi w:val="0"/>
              <w:rPr>
                <w:rFonts w:hint="default"/>
                <w:color w:val="auto"/>
                <w:lang w:val="en-US" w:eastAsia="zh-CN"/>
              </w:rPr>
            </w:pPr>
            <w:r>
              <w:rPr>
                <w:rFonts w:hint="eastAsia"/>
                <w:color w:val="auto"/>
                <w:lang w:val="en-US" w:eastAsia="zh-CN"/>
              </w:rPr>
              <w:t>符合</w:t>
            </w:r>
          </w:p>
        </w:tc>
      </w:tr>
      <w:tr w14:paraId="3BFB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vAlign w:val="center"/>
          </w:tcPr>
          <w:p w14:paraId="51480F63">
            <w:pPr>
              <w:pStyle w:val="31"/>
              <w:widowControl w:val="0"/>
              <w:bidi w:val="0"/>
              <w:rPr>
                <w:rFonts w:hint="eastAsia"/>
                <w:color w:val="auto"/>
                <w:highlight w:val="none"/>
                <w:lang w:val="en-US" w:eastAsia="zh-CN"/>
              </w:rPr>
            </w:pPr>
            <w:r>
              <w:rPr>
                <w:rFonts w:hint="eastAsia"/>
                <w:color w:val="auto"/>
                <w:highlight w:val="none"/>
                <w:lang w:val="en-US" w:eastAsia="zh-CN"/>
              </w:rPr>
              <w:t>《贵池区“十四五”生态环境保护规划》</w:t>
            </w:r>
          </w:p>
        </w:tc>
        <w:tc>
          <w:tcPr>
            <w:tcW w:w="3151" w:type="pct"/>
            <w:vAlign w:val="center"/>
          </w:tcPr>
          <w:p w14:paraId="27E82F54">
            <w:pPr>
              <w:pStyle w:val="31"/>
              <w:widowControl w:val="0"/>
              <w:bidi w:val="0"/>
              <w:jc w:val="left"/>
              <w:rPr>
                <w:rFonts w:hint="eastAsia"/>
                <w:color w:val="auto"/>
                <w:highlight w:val="none"/>
                <w:lang w:val="en-US" w:eastAsia="zh-CN"/>
              </w:rPr>
            </w:pPr>
            <w:r>
              <w:rPr>
                <w:rFonts w:hint="eastAsia"/>
                <w:color w:val="auto"/>
                <w:highlight w:val="none"/>
                <w:lang w:val="en-US" w:eastAsia="zh-CN"/>
              </w:rPr>
              <w:t>全面提升生态系统质量</w:t>
            </w:r>
          </w:p>
          <w:p w14:paraId="3579B7F0">
            <w:pPr>
              <w:pStyle w:val="31"/>
              <w:widowControl w:val="0"/>
              <w:bidi w:val="0"/>
              <w:jc w:val="left"/>
              <w:rPr>
                <w:rFonts w:hint="eastAsia"/>
                <w:color w:val="auto"/>
                <w:highlight w:val="none"/>
                <w:lang w:val="en-US" w:eastAsia="zh-CN"/>
              </w:rPr>
            </w:pPr>
            <w:r>
              <w:rPr>
                <w:rFonts w:hint="eastAsia"/>
                <w:color w:val="auto"/>
                <w:highlight w:val="none"/>
                <w:lang w:val="en-US" w:eastAsia="zh-CN"/>
              </w:rPr>
              <w:t>开展生态修复工程。开展全区国土空间生态修复规划编制工作，实施全区山水林田湖草一体化保护和修复工程项目。加快项目实施方案编制工作进度，积极推进项目申报工作，争取列入省级山水林田湖草项目库。开展丘陵岗地森林植被恢复和森林抚育改造工程，实施开展废弃矿山生态修复工作。清理自然保护地管控区内矿渣，恢复森林植被。科学合理地规划林地保护与利用，保障林业的生态安全和可持续发展。确保“十四五”期间，自然生态系统更加完备，生态产品供给能力显著增强。</w:t>
            </w:r>
          </w:p>
        </w:tc>
        <w:tc>
          <w:tcPr>
            <w:tcW w:w="1031" w:type="pct"/>
            <w:vAlign w:val="center"/>
          </w:tcPr>
          <w:p w14:paraId="120D54C9">
            <w:pPr>
              <w:pStyle w:val="31"/>
              <w:widowControl w:val="0"/>
              <w:bidi w:val="0"/>
              <w:jc w:val="left"/>
              <w:rPr>
                <w:rFonts w:hint="default"/>
                <w:color w:val="auto"/>
                <w:highlight w:val="none"/>
                <w:lang w:val="en-US" w:eastAsia="zh-CN"/>
              </w:rPr>
            </w:pPr>
            <w:r>
              <w:rPr>
                <w:rFonts w:hint="eastAsia"/>
                <w:color w:val="auto"/>
                <w:highlight w:val="none"/>
                <w:lang w:val="en-US" w:eastAsia="zh-CN"/>
              </w:rPr>
              <w:t>本项目对杏花村省级湿地公园内的抛泥区开展清理工作，为山水林田湖草一体化保护和修复工程项目，保障杏花村省级湿地公园内业的生态安全和可持续发展</w:t>
            </w:r>
          </w:p>
        </w:tc>
        <w:tc>
          <w:tcPr>
            <w:tcW w:w="227" w:type="pct"/>
            <w:vAlign w:val="center"/>
          </w:tcPr>
          <w:p w14:paraId="3D12B715">
            <w:pPr>
              <w:pStyle w:val="31"/>
              <w:widowControl w:val="0"/>
              <w:bidi w:val="0"/>
              <w:rPr>
                <w:rFonts w:hint="default"/>
                <w:color w:val="auto"/>
                <w:highlight w:val="none"/>
                <w:lang w:val="en-US" w:eastAsia="zh-CN"/>
              </w:rPr>
            </w:pPr>
            <w:r>
              <w:rPr>
                <w:rFonts w:hint="eastAsia"/>
                <w:color w:val="auto"/>
                <w:highlight w:val="none"/>
                <w:lang w:val="en-US" w:eastAsia="zh-CN"/>
              </w:rPr>
              <w:t>符合</w:t>
            </w:r>
          </w:p>
        </w:tc>
      </w:tr>
    </w:tbl>
    <w:p w14:paraId="5AFF06E9">
      <w:pPr>
        <w:bidi w:val="0"/>
        <w:rPr>
          <w:rFonts w:hint="eastAsia"/>
          <w:color w:val="auto"/>
        </w:rPr>
        <w:sectPr>
          <w:pgSz w:w="16838" w:h="11906" w:orient="landscape"/>
          <w:pgMar w:top="1803" w:right="1400" w:bottom="1803" w:left="1440" w:header="935" w:footer="992" w:gutter="0"/>
          <w:pgBorders>
            <w:top w:val="none" w:sz="0" w:space="0"/>
            <w:left w:val="none" w:sz="0" w:space="0"/>
            <w:bottom w:val="none" w:sz="0" w:space="0"/>
            <w:right w:val="none" w:sz="0" w:space="0"/>
          </w:pgBorders>
          <w:pgNumType w:fmt="upperRoman"/>
          <w:cols w:space="0" w:num="1"/>
          <w:rtlGutter w:val="0"/>
          <w:docGrid w:linePitch="312" w:charSpace="0"/>
        </w:sectPr>
      </w:pPr>
      <w:bookmarkStart w:id="73" w:name="_Toc20465"/>
    </w:p>
    <w:p w14:paraId="133B49A9">
      <w:pPr>
        <w:pStyle w:val="4"/>
        <w:bidi w:val="0"/>
        <w:rPr>
          <w:rFonts w:hint="eastAsia"/>
          <w:color w:val="auto"/>
        </w:rPr>
      </w:pPr>
      <w:bookmarkStart w:id="74" w:name="_Toc19520"/>
      <w:r>
        <w:rPr>
          <w:rFonts w:hint="eastAsia"/>
          <w:color w:val="auto"/>
          <w:lang w:val="en-US" w:eastAsia="zh-CN"/>
        </w:rPr>
        <w:t>与相关政策相符性分析</w:t>
      </w:r>
      <w:bookmarkEnd w:id="73"/>
      <w:bookmarkEnd w:id="74"/>
    </w:p>
    <w:p w14:paraId="52F46F0F">
      <w:pPr>
        <w:pStyle w:val="5"/>
        <w:bidi w:val="0"/>
        <w:rPr>
          <w:rFonts w:hint="eastAsia"/>
          <w:color w:val="auto"/>
          <w:lang w:val="en-US" w:eastAsia="zh-CN"/>
        </w:rPr>
      </w:pPr>
      <w:r>
        <w:rPr>
          <w:rFonts w:hint="eastAsia"/>
          <w:color w:val="auto"/>
          <w:lang w:val="en-US" w:eastAsia="zh-CN"/>
        </w:rPr>
        <w:t>与《中华人民共和国长江保护法》相符性分析</w:t>
      </w:r>
    </w:p>
    <w:p w14:paraId="0ED10B10">
      <w:pPr>
        <w:bidi w:val="0"/>
        <w:rPr>
          <w:rFonts w:hint="eastAsia"/>
          <w:color w:val="auto"/>
          <w:lang w:val="en-US" w:eastAsia="zh-CN"/>
        </w:rPr>
      </w:pPr>
      <w:r>
        <w:rPr>
          <w:rFonts w:hint="eastAsia"/>
          <w:b/>
          <w:bCs/>
          <w:color w:val="auto"/>
          <w:lang w:val="en-US" w:eastAsia="zh-CN"/>
        </w:rPr>
        <w:t>（1）文件要求</w:t>
      </w:r>
    </w:p>
    <w:p w14:paraId="1DF6A565">
      <w:pPr>
        <w:bidi w:val="0"/>
        <w:rPr>
          <w:rFonts w:hint="eastAsia"/>
          <w:color w:val="auto"/>
          <w:lang w:val="en-US" w:eastAsia="zh-CN"/>
        </w:rPr>
      </w:pPr>
      <w:r>
        <w:rPr>
          <w:rFonts w:hint="eastAsia"/>
          <w:color w:val="auto"/>
          <w:lang w:val="en-US" w:eastAsia="zh-CN"/>
        </w:rPr>
        <w:t>第五条：国务院有关部门和长江流域省级人民政府负责落实国家长江流域协调机制的决策，按照职责分工负责长江保护相关工作。长江流域地方各级人民政府应当落实本行政区域的生态环境保护和修复、促进资源合理高效利用、优化产业结构和布局、维护长江流域生态安全的责任。</w:t>
      </w:r>
    </w:p>
    <w:p w14:paraId="7CC97D44">
      <w:pPr>
        <w:bidi w:val="0"/>
        <w:rPr>
          <w:rFonts w:hint="eastAsia"/>
          <w:color w:val="auto"/>
          <w:lang w:val="en-US" w:eastAsia="zh-CN"/>
        </w:rPr>
      </w:pPr>
      <w:r>
        <w:rPr>
          <w:rFonts w:hint="eastAsia"/>
          <w:color w:val="auto"/>
          <w:lang w:val="en-US" w:eastAsia="zh-CN"/>
        </w:rPr>
        <w:t>第十六条：国家鼓励、支持单位和个人参与长江流域生态环境保护和修复、资源合理利用、促进绿色发展的活动。</w:t>
      </w:r>
    </w:p>
    <w:p w14:paraId="5FD02B5F">
      <w:pPr>
        <w:bidi w:val="0"/>
        <w:rPr>
          <w:rFonts w:hint="eastAsia"/>
          <w:color w:val="auto"/>
          <w:lang w:val="en-US" w:eastAsia="zh-CN"/>
        </w:rPr>
      </w:pPr>
      <w:r>
        <w:rPr>
          <w:rFonts w:hint="eastAsia"/>
          <w:b/>
          <w:bCs/>
          <w:color w:val="auto"/>
          <w:lang w:val="en-US" w:eastAsia="zh-CN"/>
        </w:rPr>
        <w:t>（2）符合性分析：</w:t>
      </w:r>
    </w:p>
    <w:p w14:paraId="7CC5648F">
      <w:pPr>
        <w:bidi w:val="0"/>
        <w:rPr>
          <w:rFonts w:hint="eastAsia"/>
          <w:color w:val="auto"/>
        </w:rPr>
      </w:pPr>
      <w:r>
        <w:rPr>
          <w:rFonts w:hint="eastAsia"/>
          <w:color w:val="auto"/>
          <w:lang w:val="en-US" w:eastAsia="zh-CN"/>
        </w:rPr>
        <w:t>本项目位于长江流域秋浦河流杏花村省级湿地公园内，属于《关于进一步规范安徽省自然保护区生态环境问题整改销号工作的通知》（安环委办[2024]34号）文件中的生态修复整改项目，符合《中华人民共和国长江保护法》要求。</w:t>
      </w:r>
    </w:p>
    <w:p w14:paraId="01EE0398">
      <w:pPr>
        <w:pStyle w:val="5"/>
        <w:bidi w:val="0"/>
        <w:rPr>
          <w:rFonts w:hint="eastAsia"/>
          <w:color w:val="auto"/>
          <w:lang w:val="en-US" w:eastAsia="zh-CN"/>
        </w:rPr>
      </w:pPr>
      <w:r>
        <w:rPr>
          <w:rFonts w:hint="eastAsia"/>
          <w:color w:val="auto"/>
          <w:lang w:val="en-US" w:eastAsia="zh-CN"/>
        </w:rPr>
        <w:t>与《风景名胜区条例》相符性分析</w:t>
      </w:r>
    </w:p>
    <w:p w14:paraId="468806A4">
      <w:pPr>
        <w:bidi w:val="0"/>
        <w:rPr>
          <w:rFonts w:hint="eastAsia"/>
          <w:color w:val="auto"/>
          <w:lang w:val="en-US" w:eastAsia="zh-CN"/>
        </w:rPr>
      </w:pPr>
      <w:r>
        <w:rPr>
          <w:rFonts w:hint="eastAsia"/>
          <w:b/>
          <w:bCs/>
          <w:color w:val="auto"/>
          <w:lang w:val="en-US" w:eastAsia="zh-CN"/>
        </w:rPr>
        <w:t>（1）文件要求</w:t>
      </w:r>
    </w:p>
    <w:p w14:paraId="23D27D1C">
      <w:pPr>
        <w:bidi w:val="0"/>
        <w:rPr>
          <w:rFonts w:hint="eastAsia"/>
          <w:color w:val="auto"/>
          <w:lang w:val="en-US" w:eastAsia="zh-CN"/>
        </w:rPr>
      </w:pPr>
      <w:r>
        <w:rPr>
          <w:rFonts w:hint="eastAsia"/>
          <w:color w:val="auto"/>
          <w:lang w:val="en-US" w:eastAsia="zh-CN"/>
        </w:rPr>
        <w:t>第二十六条 在风景名胜区内禁止进行下列活动：</w:t>
      </w:r>
    </w:p>
    <w:p w14:paraId="672D8EE2">
      <w:pPr>
        <w:bidi w:val="0"/>
        <w:rPr>
          <w:rFonts w:hint="eastAsia"/>
          <w:color w:val="auto"/>
          <w:lang w:val="en-US" w:eastAsia="zh-CN"/>
        </w:rPr>
      </w:pPr>
      <w:r>
        <w:rPr>
          <w:rFonts w:hint="eastAsia"/>
          <w:color w:val="auto"/>
          <w:lang w:val="en-US" w:eastAsia="zh-CN"/>
        </w:rPr>
        <w:t>（一）开山、采石、开矿、开荒、修坟立碑等破坏景观、植被和地形地貌的活动；</w:t>
      </w:r>
    </w:p>
    <w:p w14:paraId="0C0F6C14">
      <w:pPr>
        <w:bidi w:val="0"/>
        <w:rPr>
          <w:rFonts w:hint="eastAsia"/>
          <w:color w:val="auto"/>
          <w:lang w:val="en-US" w:eastAsia="zh-CN"/>
        </w:rPr>
      </w:pPr>
      <w:r>
        <w:rPr>
          <w:rFonts w:hint="eastAsia"/>
          <w:color w:val="auto"/>
          <w:lang w:val="en-US" w:eastAsia="zh-CN"/>
        </w:rPr>
        <w:t>（二）修建储存爆炸性、易燃性、放射性、毒害性、腐蚀性物品的设施；</w:t>
      </w:r>
    </w:p>
    <w:p w14:paraId="0A24C09D">
      <w:pPr>
        <w:bidi w:val="0"/>
        <w:rPr>
          <w:rFonts w:hint="eastAsia"/>
          <w:color w:val="auto"/>
          <w:lang w:val="en-US" w:eastAsia="zh-CN"/>
        </w:rPr>
      </w:pPr>
      <w:r>
        <w:rPr>
          <w:rFonts w:hint="eastAsia"/>
          <w:color w:val="auto"/>
          <w:lang w:val="en-US" w:eastAsia="zh-CN"/>
        </w:rPr>
        <w:t>（三）在景物或者设施上刻划、涂污；</w:t>
      </w:r>
    </w:p>
    <w:p w14:paraId="5B8F04DB">
      <w:pPr>
        <w:bidi w:val="0"/>
        <w:rPr>
          <w:rFonts w:hint="eastAsia"/>
          <w:color w:val="auto"/>
          <w:lang w:val="en-US" w:eastAsia="zh-CN"/>
        </w:rPr>
      </w:pPr>
      <w:r>
        <w:rPr>
          <w:rFonts w:hint="eastAsia"/>
          <w:color w:val="auto"/>
          <w:lang w:val="en-US" w:eastAsia="zh-CN"/>
        </w:rPr>
        <w:t>（四）乱扔垃圾。</w:t>
      </w:r>
    </w:p>
    <w:p w14:paraId="091CE1D9">
      <w:pPr>
        <w:bidi w:val="0"/>
        <w:rPr>
          <w:rFonts w:hint="eastAsia"/>
          <w:color w:val="auto"/>
          <w:lang w:val="en-US" w:eastAsia="zh-CN"/>
        </w:rPr>
      </w:pPr>
      <w:r>
        <w:rPr>
          <w:rFonts w:hint="eastAsia"/>
          <w:color w:val="auto"/>
          <w:lang w:val="en-US" w:eastAsia="zh-CN"/>
        </w:rPr>
        <w:t>第二十七条 禁止违反风景名胜区规划，在风景名胜区内设立各类开发区和在核心景区内建设宾馆、招待所、培训中心、疗养院以及与风景名胜资源保护无关的其他建筑物；已经建设的，应当按照风景名胜区规划，逐步迁出。</w:t>
      </w:r>
    </w:p>
    <w:p w14:paraId="0BC8048C">
      <w:pPr>
        <w:bidi w:val="0"/>
        <w:rPr>
          <w:rFonts w:hint="eastAsia"/>
          <w:color w:val="auto"/>
          <w:lang w:val="en-US" w:eastAsia="zh-CN"/>
        </w:rPr>
      </w:pPr>
      <w:r>
        <w:rPr>
          <w:rFonts w:hint="eastAsia"/>
          <w:color w:val="auto"/>
          <w:lang w:val="en-US" w:eastAsia="zh-CN"/>
        </w:rPr>
        <w:t>第二十八条 在风景名胜区内从事本条例第二十六条、第二十七条禁止范围以外的建设活动，应当经风景名胜区管理机构审核后，依照有关法律、法规的规定办理审批手续。</w:t>
      </w:r>
    </w:p>
    <w:p w14:paraId="3D2B253E">
      <w:pPr>
        <w:bidi w:val="0"/>
        <w:rPr>
          <w:rFonts w:hint="eastAsia"/>
          <w:color w:val="auto"/>
          <w:lang w:val="en-US" w:eastAsia="zh-CN"/>
        </w:rPr>
      </w:pPr>
      <w:r>
        <w:rPr>
          <w:rFonts w:hint="eastAsia"/>
          <w:color w:val="auto"/>
          <w:lang w:val="en-US" w:eastAsia="zh-CN"/>
        </w:rPr>
        <w:t>在国家级风景名胜区内修建缆车、索道等重大建设工程，项目的选址方案应当报省、自治区人民政府建设主管部门和直辖市人民政府风景名胜区主管部门核准。</w:t>
      </w:r>
    </w:p>
    <w:p w14:paraId="0A298EAA">
      <w:pPr>
        <w:bidi w:val="0"/>
        <w:rPr>
          <w:rFonts w:hint="eastAsia"/>
          <w:color w:val="auto"/>
          <w:lang w:val="en-US" w:eastAsia="zh-CN"/>
        </w:rPr>
      </w:pPr>
      <w:r>
        <w:rPr>
          <w:rFonts w:hint="eastAsia"/>
          <w:color w:val="auto"/>
          <w:lang w:val="en-US" w:eastAsia="zh-CN"/>
        </w:rPr>
        <w:t>第二十九条 在风景名胜区内进行下列活动，应当经风景名胜区管理机构审核后，依照有关法律、法规的规定报有关主管部门批准：</w:t>
      </w:r>
    </w:p>
    <w:p w14:paraId="6EBE06EE">
      <w:pPr>
        <w:bidi w:val="0"/>
        <w:rPr>
          <w:rFonts w:hint="eastAsia"/>
          <w:color w:val="auto"/>
          <w:lang w:val="en-US" w:eastAsia="zh-CN"/>
        </w:rPr>
      </w:pPr>
      <w:r>
        <w:rPr>
          <w:rFonts w:hint="eastAsia"/>
          <w:color w:val="auto"/>
          <w:lang w:val="en-US" w:eastAsia="zh-CN"/>
        </w:rPr>
        <w:t>（一）设置、张贴商业广告；</w:t>
      </w:r>
    </w:p>
    <w:p w14:paraId="5EB37572">
      <w:pPr>
        <w:bidi w:val="0"/>
        <w:rPr>
          <w:rFonts w:hint="eastAsia"/>
          <w:color w:val="auto"/>
          <w:lang w:val="en-US" w:eastAsia="zh-CN"/>
        </w:rPr>
      </w:pPr>
      <w:r>
        <w:rPr>
          <w:rFonts w:hint="eastAsia"/>
          <w:color w:val="auto"/>
          <w:lang w:val="en-US" w:eastAsia="zh-CN"/>
        </w:rPr>
        <w:t>（二）举办大型游乐等活动；</w:t>
      </w:r>
    </w:p>
    <w:p w14:paraId="7435B127">
      <w:pPr>
        <w:bidi w:val="0"/>
        <w:rPr>
          <w:rFonts w:hint="eastAsia"/>
          <w:color w:val="auto"/>
          <w:lang w:val="en-US" w:eastAsia="zh-CN"/>
        </w:rPr>
      </w:pPr>
      <w:r>
        <w:rPr>
          <w:rFonts w:hint="eastAsia"/>
          <w:color w:val="auto"/>
          <w:lang w:val="en-US" w:eastAsia="zh-CN"/>
        </w:rPr>
        <w:t>（三）改变水资源、水环境自然状态的活动；</w:t>
      </w:r>
    </w:p>
    <w:p w14:paraId="435B974F">
      <w:pPr>
        <w:bidi w:val="0"/>
        <w:rPr>
          <w:rFonts w:hint="eastAsia"/>
          <w:color w:val="auto"/>
          <w:lang w:val="en-US" w:eastAsia="zh-CN"/>
        </w:rPr>
      </w:pPr>
      <w:r>
        <w:rPr>
          <w:rFonts w:hint="eastAsia"/>
          <w:color w:val="auto"/>
          <w:lang w:val="en-US" w:eastAsia="zh-CN"/>
        </w:rPr>
        <w:t>（四）其他影响生态和景观的活动。</w:t>
      </w:r>
    </w:p>
    <w:p w14:paraId="38F036D8">
      <w:pPr>
        <w:bidi w:val="0"/>
        <w:rPr>
          <w:rFonts w:hint="eastAsia"/>
          <w:color w:val="auto"/>
          <w:lang w:val="en-US" w:eastAsia="zh-CN"/>
        </w:rPr>
      </w:pPr>
      <w:r>
        <w:rPr>
          <w:rFonts w:hint="eastAsia"/>
          <w:color w:val="auto"/>
          <w:lang w:val="en-US" w:eastAsia="zh-CN"/>
        </w:rPr>
        <w:t>第三十条 风景名胜区内的建设项目应当符合风景名胜区规划，并与景观相协调，不得破坏景观、污染环境、妨碍游览。</w:t>
      </w:r>
    </w:p>
    <w:p w14:paraId="6F76F4EC">
      <w:pPr>
        <w:bidi w:val="0"/>
        <w:rPr>
          <w:rFonts w:hint="eastAsia"/>
          <w:color w:val="auto"/>
          <w:lang w:val="en-US" w:eastAsia="zh-CN"/>
        </w:rPr>
      </w:pPr>
      <w:r>
        <w:rPr>
          <w:rFonts w:hint="eastAsia"/>
          <w:color w:val="auto"/>
          <w:lang w:val="en-US" w:eastAsia="zh-CN"/>
        </w:rPr>
        <w:t>在风景名胜区内进行建设活动的，建设单位、施工单位应当制定污染防治和水土保持方案，并采取有效措施，保护好周围景物、水体、林草植被、野生动物资源和地形地貌。</w:t>
      </w:r>
    </w:p>
    <w:p w14:paraId="2A1690A8">
      <w:pPr>
        <w:bidi w:val="0"/>
        <w:rPr>
          <w:rFonts w:hint="eastAsia"/>
          <w:color w:val="auto"/>
          <w:lang w:val="en-US" w:eastAsia="zh-CN"/>
        </w:rPr>
      </w:pPr>
      <w:r>
        <w:rPr>
          <w:rFonts w:hint="eastAsia"/>
          <w:b/>
          <w:bCs/>
          <w:color w:val="auto"/>
          <w:lang w:val="en-US" w:eastAsia="zh-CN"/>
        </w:rPr>
        <w:t>（2）符合性分析：</w:t>
      </w:r>
    </w:p>
    <w:p w14:paraId="72D21AB3">
      <w:pPr>
        <w:bidi w:val="0"/>
        <w:rPr>
          <w:rFonts w:hint="default"/>
          <w:color w:val="auto"/>
          <w:lang w:val="en-US" w:eastAsia="zh-CN"/>
        </w:rPr>
      </w:pPr>
      <w:r>
        <w:rPr>
          <w:rFonts w:hint="eastAsia"/>
          <w:color w:val="auto"/>
          <w:lang w:val="en-US" w:eastAsia="zh-CN"/>
        </w:rPr>
        <w:t>工程不占用秋浦仙境风景名胜区，评价范围涉及秋浦仙境风景名胜区，加强施工期环境管理，施工期严禁对秋浦仙境风景名胜区造生态环境成破坏。</w:t>
      </w:r>
    </w:p>
    <w:p w14:paraId="5CB0FC70">
      <w:pPr>
        <w:pStyle w:val="5"/>
        <w:bidi w:val="0"/>
        <w:rPr>
          <w:rFonts w:hint="eastAsia"/>
          <w:color w:val="auto"/>
          <w:lang w:val="en-US" w:eastAsia="zh-CN"/>
        </w:rPr>
      </w:pPr>
      <w:r>
        <w:rPr>
          <w:rFonts w:hint="eastAsia"/>
          <w:color w:val="auto"/>
          <w:lang w:val="en-US" w:eastAsia="zh-CN"/>
        </w:rPr>
        <w:t>与《中华人民共和国湿地保护法》相符性分析</w:t>
      </w:r>
    </w:p>
    <w:p w14:paraId="49DF9208">
      <w:pPr>
        <w:bidi w:val="0"/>
        <w:rPr>
          <w:rFonts w:hint="eastAsia"/>
          <w:color w:val="auto"/>
          <w:lang w:val="en-US" w:eastAsia="zh-CN"/>
        </w:rPr>
      </w:pPr>
      <w:r>
        <w:rPr>
          <w:rFonts w:hint="eastAsia"/>
          <w:b/>
          <w:bCs/>
          <w:color w:val="auto"/>
          <w:lang w:val="en-US" w:eastAsia="zh-CN"/>
        </w:rPr>
        <w:t>（1）文件要求</w:t>
      </w:r>
    </w:p>
    <w:p w14:paraId="59BF20E7">
      <w:pPr>
        <w:bidi w:val="0"/>
        <w:rPr>
          <w:rFonts w:hint="eastAsia"/>
          <w:color w:val="auto"/>
          <w:lang w:val="en-US" w:eastAsia="zh-CN"/>
        </w:rPr>
      </w:pPr>
      <w:r>
        <w:rPr>
          <w:rFonts w:hint="eastAsia"/>
          <w:color w:val="auto"/>
          <w:lang w:val="en-US" w:eastAsia="zh-CN"/>
        </w:rPr>
        <w:t>第十九条：国家严格控制占用湿地。</w:t>
      </w:r>
    </w:p>
    <w:p w14:paraId="2B708FC7">
      <w:pPr>
        <w:bidi w:val="0"/>
        <w:rPr>
          <w:rFonts w:hint="eastAsia"/>
          <w:color w:val="auto"/>
          <w:lang w:val="en-US" w:eastAsia="zh-CN"/>
        </w:rPr>
      </w:pPr>
      <w:r>
        <w:rPr>
          <w:rFonts w:hint="eastAsia"/>
          <w:color w:val="auto"/>
          <w:lang w:val="en-US" w:eastAsia="zh-CN"/>
        </w:rPr>
        <w:t>禁止占用国家重要湿地，国家重大项目、防灾减灾项目、重要水利及保护设施项目、湿地保护项目等除外。</w:t>
      </w:r>
    </w:p>
    <w:p w14:paraId="467F86A0">
      <w:pPr>
        <w:bidi w:val="0"/>
        <w:rPr>
          <w:rFonts w:hint="eastAsia"/>
          <w:color w:val="auto"/>
          <w:lang w:val="en-US" w:eastAsia="zh-CN"/>
        </w:rPr>
      </w:pPr>
      <w:r>
        <w:rPr>
          <w:rFonts w:hint="eastAsia"/>
          <w:color w:val="auto"/>
          <w:lang w:val="en-US" w:eastAsia="zh-CN"/>
        </w:rPr>
        <w:t>建设项目选址、选线应当避让湿地，无法避让的应当尽量减少占用，并采取必要措施减轻对湿地生态功能的不利影响。</w:t>
      </w:r>
    </w:p>
    <w:p w14:paraId="1CCFF62D">
      <w:pPr>
        <w:bidi w:val="0"/>
        <w:rPr>
          <w:rFonts w:hint="eastAsia"/>
          <w:color w:val="auto"/>
          <w:lang w:val="en-US" w:eastAsia="zh-CN"/>
        </w:rPr>
      </w:pPr>
      <w:r>
        <w:rPr>
          <w:rFonts w:hint="eastAsia"/>
          <w:color w:val="auto"/>
          <w:lang w:val="en-US" w:eastAsia="zh-CN"/>
        </w:rPr>
        <w:t>建设项目规划选址、选线审批或者核准时，涉及国家重要湿地的，应当征求国务院林业草原主管部门的意见；涉及省级重要湿地或者一般湿地的，应当按照管理权限，征求县级以上地方人民政府授权的部门的意见。</w:t>
      </w:r>
    </w:p>
    <w:p w14:paraId="64B0F900">
      <w:pPr>
        <w:bidi w:val="0"/>
        <w:rPr>
          <w:rFonts w:hint="eastAsia"/>
          <w:color w:val="auto"/>
          <w:lang w:val="en-US" w:eastAsia="zh-CN"/>
        </w:rPr>
      </w:pPr>
      <w:r>
        <w:rPr>
          <w:rFonts w:hint="eastAsia"/>
          <w:color w:val="auto"/>
          <w:lang w:val="en-US" w:eastAsia="zh-CN"/>
        </w:rPr>
        <w:t>第二十条：建设项目确需临时占用湿地的，应当依照《中华人民共和国土地管理法》、《中华人民共和国水法》、《中华人民共和国森林法》、《中华人民共和国草原法》、《中华人民共和国海域使用管理法》等有关法律法规的规定办理。临时占用湿地的期限一般不得超过二年，并不得在临时占用的湿地上修建永久性建筑物。</w:t>
      </w:r>
    </w:p>
    <w:p w14:paraId="023694FC">
      <w:pPr>
        <w:bidi w:val="0"/>
        <w:rPr>
          <w:rFonts w:hint="eastAsia"/>
          <w:color w:val="auto"/>
          <w:lang w:val="en-US" w:eastAsia="zh-CN"/>
        </w:rPr>
      </w:pPr>
      <w:r>
        <w:rPr>
          <w:rFonts w:hint="eastAsia"/>
          <w:color w:val="auto"/>
          <w:lang w:val="en-US" w:eastAsia="zh-CN"/>
        </w:rPr>
        <w:t>临时占用湿地期满后一年内，用地单位或者个人应当恢复湿地面积和生态条件。</w:t>
      </w:r>
    </w:p>
    <w:p w14:paraId="55815FE1">
      <w:pPr>
        <w:bidi w:val="0"/>
        <w:rPr>
          <w:rFonts w:hint="eastAsia"/>
          <w:color w:val="auto"/>
          <w:lang w:val="en-US" w:eastAsia="zh-CN"/>
        </w:rPr>
      </w:pPr>
      <w:r>
        <w:rPr>
          <w:rFonts w:hint="eastAsia"/>
          <w:color w:val="auto"/>
          <w:lang w:val="en-US" w:eastAsia="zh-CN"/>
        </w:rPr>
        <w:t>第二十八条：禁止下列破坏湿地及其生态功能的行为：</w:t>
      </w:r>
    </w:p>
    <w:p w14:paraId="47C3303C">
      <w:pPr>
        <w:bidi w:val="0"/>
        <w:rPr>
          <w:rFonts w:hint="eastAsia"/>
          <w:color w:val="auto"/>
          <w:lang w:val="en-US" w:eastAsia="zh-CN"/>
        </w:rPr>
      </w:pPr>
      <w:r>
        <w:rPr>
          <w:rFonts w:hint="eastAsia"/>
          <w:color w:val="auto"/>
          <w:lang w:val="en-US" w:eastAsia="zh-CN"/>
        </w:rPr>
        <w:t>（一）开（围）垦、排干自然湿地，永久性截断自然湿地水源；</w:t>
      </w:r>
    </w:p>
    <w:p w14:paraId="3929C73A">
      <w:pPr>
        <w:bidi w:val="0"/>
        <w:rPr>
          <w:rFonts w:hint="eastAsia"/>
          <w:color w:val="auto"/>
          <w:lang w:val="en-US" w:eastAsia="zh-CN"/>
        </w:rPr>
      </w:pPr>
      <w:r>
        <w:rPr>
          <w:rFonts w:hint="eastAsia"/>
          <w:color w:val="auto"/>
          <w:lang w:val="en-US" w:eastAsia="zh-CN"/>
        </w:rPr>
        <w:t>（二）擅自填埋自然湿地，擅自采砂、采矿、取土；</w:t>
      </w:r>
    </w:p>
    <w:p w14:paraId="0BD6D7B7">
      <w:pPr>
        <w:bidi w:val="0"/>
        <w:rPr>
          <w:rFonts w:hint="eastAsia"/>
          <w:color w:val="auto"/>
          <w:lang w:val="en-US" w:eastAsia="zh-CN"/>
        </w:rPr>
      </w:pPr>
      <w:r>
        <w:rPr>
          <w:rFonts w:hint="eastAsia"/>
          <w:color w:val="auto"/>
          <w:lang w:val="en-US" w:eastAsia="zh-CN"/>
        </w:rPr>
        <w:t>（三）排放不符合水污染物排放标准的工业废水、生活污水及其他污染湿地的废水、污水，倾倒、堆放、丢弃、遗撒固体废物；</w:t>
      </w:r>
    </w:p>
    <w:p w14:paraId="2AF7EB47">
      <w:pPr>
        <w:bidi w:val="0"/>
        <w:rPr>
          <w:rFonts w:hint="eastAsia"/>
          <w:color w:val="auto"/>
          <w:lang w:val="en-US" w:eastAsia="zh-CN"/>
        </w:rPr>
      </w:pPr>
      <w:r>
        <w:rPr>
          <w:rFonts w:hint="eastAsia"/>
          <w:color w:val="auto"/>
          <w:lang w:val="en-US" w:eastAsia="zh-CN"/>
        </w:rPr>
        <w:t>（四）过度放牧或者滥采野生植物，过度捕捞或者灭绝式捕捞，过度施肥、投药、投放饵料等污染湿地的种植养殖行为；</w:t>
      </w:r>
    </w:p>
    <w:p w14:paraId="22910C5F">
      <w:pPr>
        <w:bidi w:val="0"/>
        <w:rPr>
          <w:rFonts w:hint="eastAsia"/>
          <w:color w:val="auto"/>
          <w:lang w:val="en-US" w:eastAsia="zh-CN"/>
        </w:rPr>
      </w:pPr>
      <w:r>
        <w:rPr>
          <w:rFonts w:hint="eastAsia"/>
          <w:color w:val="auto"/>
          <w:lang w:val="en-US" w:eastAsia="zh-CN"/>
        </w:rPr>
        <w:t>（五）其他破坏湿地及其生态功能的行为。</w:t>
      </w:r>
    </w:p>
    <w:p w14:paraId="2D2A99C5">
      <w:pPr>
        <w:bidi w:val="0"/>
        <w:rPr>
          <w:rFonts w:hint="eastAsia"/>
          <w:color w:val="auto"/>
          <w:lang w:val="en-US" w:eastAsia="zh-CN"/>
        </w:rPr>
      </w:pPr>
      <w:r>
        <w:rPr>
          <w:rFonts w:hint="eastAsia"/>
          <w:b/>
          <w:bCs/>
          <w:color w:val="auto"/>
          <w:lang w:val="en-US" w:eastAsia="zh-CN"/>
        </w:rPr>
        <w:t>（2）符合性分析：</w:t>
      </w:r>
    </w:p>
    <w:p w14:paraId="04873328">
      <w:pPr>
        <w:bidi w:val="0"/>
        <w:rPr>
          <w:rFonts w:hint="eastAsia"/>
          <w:color w:val="auto"/>
          <w:lang w:val="en-US" w:eastAsia="zh-CN"/>
        </w:rPr>
        <w:sectPr>
          <w:pgSz w:w="11906" w:h="16838"/>
          <w:pgMar w:top="1400" w:right="1803" w:bottom="1440" w:left="1803" w:header="935" w:footer="992" w:gutter="0"/>
          <w:pgBorders>
            <w:top w:val="none" w:sz="0" w:space="0"/>
            <w:left w:val="none" w:sz="0" w:space="0"/>
            <w:bottom w:val="none" w:sz="0" w:space="0"/>
            <w:right w:val="none" w:sz="0" w:space="0"/>
          </w:pgBorders>
          <w:pgNumType w:fmt="upperRoman"/>
          <w:cols w:space="0" w:num="1"/>
          <w:rtlGutter w:val="0"/>
          <w:docGrid w:linePitch="312" w:charSpace="0"/>
        </w:sectPr>
      </w:pPr>
      <w:r>
        <w:rPr>
          <w:rFonts w:hint="eastAsia"/>
          <w:color w:val="auto"/>
          <w:lang w:val="en-US" w:eastAsia="zh-CN"/>
        </w:rPr>
        <w:t>本项目5号及6号抛泥区清理施工区域位于安徽贵池杏花村省级湿地公园内，项目属于池州市“绿盾”自然保护区问题整改销号工作内容，于2024年12月13日通过池州市贵池区发展和改革委员会备案，项目施工过程仅清理秋浦仙境风景名胜区内5号及6号抛泥区现有的底泥，且不建设永久性建筑物，项目施工完成后恢复原有生态湿地面积和生态条件，符合《中华人民共和国湿地保护法》要求。</w:t>
      </w:r>
    </w:p>
    <w:p w14:paraId="6ADAD43F">
      <w:pPr>
        <w:pStyle w:val="5"/>
        <w:bidi w:val="0"/>
        <w:rPr>
          <w:rFonts w:hint="eastAsia"/>
          <w:color w:val="auto"/>
          <w:lang w:val="en-US" w:eastAsia="zh-CN"/>
        </w:rPr>
      </w:pPr>
      <w:r>
        <w:rPr>
          <w:rFonts w:hint="eastAsia"/>
          <w:color w:val="auto"/>
          <w:lang w:val="en-US" w:eastAsia="zh-CN"/>
        </w:rPr>
        <w:t>与《水利建设项目（河湖整治与防护除涝工程）环境影响评价文件审批原则（试行）》相符性分析</w:t>
      </w:r>
    </w:p>
    <w:p w14:paraId="6F567E4F">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hint="eastAsia"/>
          <w:color w:val="auto"/>
        </w:rPr>
        <w:t>与《水利建设项目（河湖整治与防护除涝工程）环境影响评价文件审批原则（试行）》相符性分析表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0"/>
        <w:gridCol w:w="4575"/>
        <w:gridCol w:w="619"/>
      </w:tblGrid>
      <w:tr w14:paraId="33E4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16BB867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0"/>
                <w:sz w:val="21"/>
                <w:szCs w:val="21"/>
                <w:lang w:val="en-US" w:eastAsia="zh-CN"/>
              </w:rPr>
            </w:pPr>
            <w:r>
              <w:rPr>
                <w:rFonts w:hint="eastAsia" w:ascii="Times New Roman" w:hAnsi="Times New Roman" w:eastAsia="宋体" w:cs="Times New Roman"/>
                <w:b/>
                <w:bCs/>
                <w:color w:val="auto"/>
                <w:kern w:val="0"/>
                <w:sz w:val="21"/>
                <w:szCs w:val="21"/>
                <w:lang w:val="en-US" w:eastAsia="zh-CN"/>
              </w:rPr>
              <w:t>规划相关内容（仅摘录相关内容）</w:t>
            </w:r>
          </w:p>
        </w:tc>
        <w:tc>
          <w:tcPr>
            <w:tcW w:w="1827" w:type="pct"/>
            <w:gridSpan w:val="2"/>
            <w:vAlign w:val="center"/>
          </w:tcPr>
          <w:p w14:paraId="140CDAD7">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rPr>
              <w:t>相符性</w:t>
            </w:r>
            <w:r>
              <w:rPr>
                <w:rFonts w:hint="eastAsia" w:ascii="Times New Roman" w:hAnsi="Times New Roman" w:eastAsia="宋体" w:cs="Times New Roman"/>
                <w:b/>
                <w:bCs/>
                <w:color w:val="auto"/>
                <w:kern w:val="0"/>
                <w:sz w:val="21"/>
                <w:szCs w:val="21"/>
                <w:lang w:val="en-US" w:eastAsia="zh-CN"/>
              </w:rPr>
              <w:t>判定</w:t>
            </w:r>
          </w:p>
        </w:tc>
      </w:tr>
      <w:tr w14:paraId="2808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4319B4DF">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一条本原则适用于河湖整治与防洪除涝工程环境影响评价文件的审批，工程建设内容包括疏浚、堤防建设、闸坝闸站建设、岸线治理、水系连通、蓄（滞）洪区建设、排涝治理等（引调水、防洪水库等水利枢纽工程除外）。其他类似工程可参照执行。</w:t>
            </w:r>
          </w:p>
        </w:tc>
        <w:tc>
          <w:tcPr>
            <w:tcW w:w="1609" w:type="pct"/>
            <w:vAlign w:val="center"/>
          </w:tcPr>
          <w:p w14:paraId="10859376">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本项目为</w:t>
            </w:r>
            <w:r>
              <w:rPr>
                <w:rFonts w:hint="eastAsia"/>
                <w:color w:val="auto"/>
              </w:rPr>
              <w:t>河湖整治</w:t>
            </w:r>
            <w:r>
              <w:rPr>
                <w:rFonts w:hint="eastAsia"/>
                <w:color w:val="auto"/>
                <w:lang w:val="en-US" w:eastAsia="zh-CN"/>
              </w:rPr>
              <w:t>工程项目</w:t>
            </w:r>
            <w:r>
              <w:rPr>
                <w:color w:val="auto"/>
              </w:rPr>
              <w:t>，适用于本文件</w:t>
            </w:r>
          </w:p>
        </w:tc>
        <w:tc>
          <w:tcPr>
            <w:tcW w:w="217" w:type="pct"/>
            <w:vAlign w:val="center"/>
          </w:tcPr>
          <w:p w14:paraId="5C6DC19A">
            <w:pPr>
              <w:keepNext w:val="0"/>
              <w:keepLines w:val="0"/>
              <w:widowControl/>
              <w:suppressLineNumbers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符合</w:t>
            </w:r>
          </w:p>
        </w:tc>
      </w:tr>
      <w:tr w14:paraId="3F6D4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4EB8D62B">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二条项目符合环境保护相关法律法规和政策要求，与主体功能区规划、生态功能区划、水环境功能区划、水功能区划、生态环境保护规划、流域综合规划、防洪规划等相协调，满足相关规划环评要求。工程涉及岸线调整（治导线变化）、裁弯取直、围垦水面和占用河湖滩地等建设内容的，充分论证了方案环境可行性，最大程度保持了河湖自然形态，最大限度维护了河湖健康、生态系统功能和生物多样性。</w:t>
            </w:r>
          </w:p>
        </w:tc>
        <w:tc>
          <w:tcPr>
            <w:tcW w:w="1609" w:type="pct"/>
            <w:vAlign w:val="center"/>
          </w:tcPr>
          <w:p w14:paraId="11D9AA45">
            <w:pPr>
              <w:pStyle w:val="31"/>
              <w:widowControl w:val="0"/>
              <w:bidi w:val="0"/>
              <w:jc w:val="left"/>
              <w:rPr>
                <w:rFonts w:hint="eastAsia" w:ascii="Times New Roman" w:hAnsi="Times New Roman" w:eastAsia="宋体" w:cs="Times New Roman"/>
                <w:bCs/>
                <w:color w:val="auto"/>
                <w:sz w:val="21"/>
                <w:szCs w:val="21"/>
                <w:lang w:val="en-US" w:eastAsia="zh-CN"/>
              </w:rPr>
            </w:pPr>
            <w:r>
              <w:rPr>
                <w:color w:val="auto"/>
              </w:rPr>
              <w:t>本项目符合</w:t>
            </w:r>
            <w:r>
              <w:rPr>
                <w:rFonts w:hint="eastAsia"/>
                <w:color w:val="auto"/>
              </w:rPr>
              <w:t>《池州市国土空间总体规划（2021-2035年）》、《池州市水利发展“十四五”规划》、《贵池区“十四五”生态环境保护规划》、《池州市“十四五”生态环境保护规划》、《长江经济带生态环境保护规划》、《“十四五”重点流域水环境综合治理规划》</w:t>
            </w:r>
            <w:r>
              <w:rPr>
                <w:color w:val="auto"/>
              </w:rPr>
              <w:t>等相关</w:t>
            </w:r>
            <w:r>
              <w:rPr>
                <w:rFonts w:hint="eastAsia"/>
                <w:color w:val="auto"/>
                <w:lang w:val="en-US" w:eastAsia="zh-CN"/>
              </w:rPr>
              <w:t>规划</w:t>
            </w:r>
            <w:r>
              <w:rPr>
                <w:color w:val="auto"/>
              </w:rPr>
              <w:t>；本项目</w:t>
            </w:r>
            <w:r>
              <w:rPr>
                <w:rFonts w:hint="eastAsia"/>
                <w:color w:val="auto"/>
                <w:lang w:val="en-US" w:eastAsia="zh-CN"/>
              </w:rPr>
              <w:t>不涉及岸线调整（治导线变化）、裁弯取直、围垦水面和占用河湖滩地等建设内容；</w:t>
            </w:r>
          </w:p>
        </w:tc>
        <w:tc>
          <w:tcPr>
            <w:tcW w:w="217" w:type="pct"/>
            <w:vAlign w:val="center"/>
          </w:tcPr>
          <w:p w14:paraId="3EA61E07">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1375C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04175E91">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三条工程选址选线、施工布置原则上不占用自然保护区、风景名胜区、世界文化和自然遗产地以及其他生态保护红线等环境敏感区中法律法规禁止占用的区域，并与饮用水水源保护区的保护要求相协调。法律法规、政策另有规定的从其规定。</w:t>
            </w:r>
          </w:p>
        </w:tc>
        <w:tc>
          <w:tcPr>
            <w:tcW w:w="1609" w:type="pct"/>
            <w:vAlign w:val="center"/>
          </w:tcPr>
          <w:p w14:paraId="6EE9AD09">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rFonts w:hint="eastAsia"/>
                <w:color w:val="auto"/>
              </w:rPr>
              <w:t>工程</w:t>
            </w:r>
            <w:r>
              <w:rPr>
                <w:rFonts w:hint="eastAsia"/>
                <w:color w:val="auto"/>
                <w:lang w:val="en-US" w:eastAsia="zh-CN"/>
              </w:rPr>
              <w:t>为杏花村省级湿地公园治理项目，项目位于杏花村省级湿地公园，本项目实施为推进“绿盾”自然保护区问题整改销号工作，改善秋浦河沿线环境状况，符合相关</w:t>
            </w:r>
            <w:r>
              <w:rPr>
                <w:color w:val="auto"/>
              </w:rPr>
              <w:t>法律法规、政策</w:t>
            </w:r>
            <w:r>
              <w:rPr>
                <w:rFonts w:hint="eastAsia"/>
                <w:color w:val="auto"/>
                <w:lang w:val="en-US" w:eastAsia="zh-CN"/>
              </w:rPr>
              <w:t>要求</w:t>
            </w:r>
            <w:r>
              <w:rPr>
                <w:rFonts w:hint="eastAsia"/>
                <w:color w:val="auto"/>
                <w:lang w:eastAsia="zh-CN"/>
              </w:rPr>
              <w:t>。</w:t>
            </w:r>
          </w:p>
        </w:tc>
        <w:tc>
          <w:tcPr>
            <w:tcW w:w="217" w:type="pct"/>
            <w:vAlign w:val="center"/>
          </w:tcPr>
          <w:p w14:paraId="52CDEAFE">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5664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7C0587AB">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四条项目实施改变水动力条件或水文过程且对水质产生不利影响的，提出了工程优化调整、科学调度、实施区域流域水污染防治等措施。对地下水环境产生不利影响或次生环境影响的，提出了优化工程设计、导排、防护等针对性的防治措施。在采取上述措施后，对水环境的不利影响能够得到缓解和控制，居民用水安全能够得到保障，相关区域不会出现显著的土壤潜育化、沼泽化、盐碱化等次生环境问题。</w:t>
            </w:r>
          </w:p>
        </w:tc>
        <w:tc>
          <w:tcPr>
            <w:tcW w:w="1609" w:type="pct"/>
            <w:vAlign w:val="center"/>
          </w:tcPr>
          <w:p w14:paraId="0E890B7B">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本项目施工过程中</w:t>
            </w:r>
            <w:r>
              <w:rPr>
                <w:rFonts w:hint="eastAsia"/>
                <w:color w:val="auto"/>
                <w:lang w:val="en-US" w:eastAsia="zh-CN"/>
              </w:rPr>
              <w:t>不进行涉水作业，废水处理后回用不外排，运营期无废水产生</w:t>
            </w:r>
            <w:r>
              <w:rPr>
                <w:color w:val="auto"/>
              </w:rPr>
              <w:t>。项目严格执行各项污染防治措施，减少对水环境的影响；项目建成后有利于防洪能力的提升、水环境和生态环境的改善。</w:t>
            </w:r>
          </w:p>
        </w:tc>
        <w:tc>
          <w:tcPr>
            <w:tcW w:w="217" w:type="pct"/>
            <w:vAlign w:val="center"/>
          </w:tcPr>
          <w:p w14:paraId="7EB979C4">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1644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1409A11F">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五条项目对鱼类等水生生物的洄游通道及“三场”等重要生境、物种多样性及资源量等产生不利影响的，提出了下泄生态流量、恢复鱼类洄游通道、采用生态友好型护岸（坡、底）、生态修复、增殖放流等措施。在采取上述措施后，对水生生物的不利影响能够得到缓解和控，不会造成原有珍稀濒危保护、区域特有或重要经济水生生物在相关河段消失，不会对相关河段水生生态系统造成重大不利影响。</w:t>
            </w:r>
          </w:p>
        </w:tc>
        <w:tc>
          <w:tcPr>
            <w:tcW w:w="1609" w:type="pct"/>
            <w:vAlign w:val="center"/>
          </w:tcPr>
          <w:p w14:paraId="726665E6">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本项目不涉及鱼类等水生生物的洄游通道及“三场”。本环评提出了相应的生态保护、缓解、恢复和管理措施，建设过程中须严格执行，不会对</w:t>
            </w:r>
            <w:r>
              <w:rPr>
                <w:rFonts w:hint="eastAsia"/>
                <w:color w:val="auto"/>
                <w:lang w:val="en-US" w:eastAsia="zh-CN"/>
              </w:rPr>
              <w:t>涉及本项目河流</w:t>
            </w:r>
            <w:r>
              <w:rPr>
                <w:color w:val="auto"/>
              </w:rPr>
              <w:t>水生生态系统造成重大不利影响。</w:t>
            </w:r>
          </w:p>
        </w:tc>
        <w:tc>
          <w:tcPr>
            <w:tcW w:w="217" w:type="pct"/>
            <w:vAlign w:val="center"/>
          </w:tcPr>
          <w:p w14:paraId="25032616">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1B20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72EE7746">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六条项目对湿地生态系统结构和功能、河湖生态缓冲带造成不利影响的，提出了优化工程设计及调度运行方案、生态修复等措施。对珍稀濒危保护植物造成不利影响的，提出了避让、原位防护、移栽等措施。对陆生珍稀濒危保护动物及其生境造成不利影响的，提出了避让、救护、迁徙廊道构建、生境再造等措施。对景观产生不利影响的，提出了避让、优化设计、景观塑造等措施。在采取上述措施后，对湿地以及陆生动植物的不利影响能够得到缓解和控制，与区域景观相协调，不会造成原有珍稀濒危保护动。植物在相关区域消失，不会对陆生生态系统造成重大不利影响。</w:t>
            </w:r>
          </w:p>
        </w:tc>
        <w:tc>
          <w:tcPr>
            <w:tcW w:w="1609" w:type="pct"/>
            <w:vAlign w:val="center"/>
          </w:tcPr>
          <w:p w14:paraId="1456A174">
            <w:pPr>
              <w:pStyle w:val="31"/>
              <w:widowControl w:val="0"/>
              <w:bidi w:val="0"/>
              <w:ind w:firstLine="0" w:firstLineChars="0"/>
              <w:jc w:val="left"/>
              <w:rPr>
                <w:rFonts w:hint="default" w:ascii="Times New Roman" w:hAnsi="Times New Roman" w:eastAsia="宋体" w:cs="Times New Roman"/>
                <w:bCs/>
                <w:color w:val="auto"/>
                <w:sz w:val="21"/>
                <w:szCs w:val="21"/>
                <w:lang w:val="en-US" w:eastAsia="zh-CN"/>
              </w:rPr>
            </w:pPr>
            <w:r>
              <w:rPr>
                <w:color w:val="auto"/>
              </w:rPr>
              <w:t>本项目</w:t>
            </w:r>
            <w:r>
              <w:rPr>
                <w:rFonts w:hint="eastAsia"/>
                <w:color w:val="auto"/>
                <w:lang w:val="en-US" w:eastAsia="zh-CN"/>
              </w:rPr>
              <w:t>属于河湖整治项目</w:t>
            </w:r>
            <w:r>
              <w:rPr>
                <w:color w:val="auto"/>
              </w:rPr>
              <w:t>，</w:t>
            </w:r>
            <w:r>
              <w:rPr>
                <w:rFonts w:hint="eastAsia"/>
                <w:color w:val="auto"/>
                <w:lang w:val="en-US" w:eastAsia="zh-CN"/>
              </w:rPr>
              <w:t>项目实施有助于改善湿地生态系统结构和功能。</w:t>
            </w:r>
          </w:p>
        </w:tc>
        <w:tc>
          <w:tcPr>
            <w:tcW w:w="217" w:type="pct"/>
            <w:vAlign w:val="center"/>
          </w:tcPr>
          <w:p w14:paraId="743BE7B7">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029E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5B99360C">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七条项目施工组织方案具有环境合理性，对料场、弃土（渣）场等施工场地提出了水土流失防治和生态修复等措施。根据环境保护相关标准和要求，对施工期各类废（污）水、扬尘、废气、噪声、固体废物等提出了防治或处置措施。其中，涉水施工涉及饮用水水源保护区或取水口并可能对水质造成不利影响的，提出了避让、施工方案优化、污染物控制等措施；涉水施工对鱼类等水生生物及其重要生境造成不利影响的，提出了避让、施工方案优化、控制施工噪声等措施；针对清淤、疏浚等产生的淤泥，提出了符合相关规定的处置或综合利用方案。在采取上述措施后，施工期的不利环境影响能够得到缓解和控制，不会对周围环境和敏感保护目标造成重大不利影响。</w:t>
            </w:r>
          </w:p>
        </w:tc>
        <w:tc>
          <w:tcPr>
            <w:tcW w:w="1609" w:type="pct"/>
            <w:vAlign w:val="center"/>
          </w:tcPr>
          <w:p w14:paraId="3FBE5F05">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本项目针对弃土</w:t>
            </w:r>
            <w:r>
              <w:rPr>
                <w:rFonts w:hint="eastAsia"/>
                <w:color w:val="auto"/>
                <w:lang w:val="en-US" w:eastAsia="zh-CN"/>
              </w:rPr>
              <w:t>区</w:t>
            </w:r>
            <w:r>
              <w:rPr>
                <w:color w:val="auto"/>
              </w:rPr>
              <w:t>等临时设施提出了水土流失防治和生态修复等措施。环评已根据环境保护相关标准和要求，对施工期各类废（污）水、扬尘、废气、噪声、固体废物等提出了防治或处置措施。本项目不涉及鱼类等水生生物重要生境。</w:t>
            </w:r>
            <w:r>
              <w:rPr>
                <w:rFonts w:hint="eastAsia"/>
                <w:color w:val="auto"/>
                <w:lang w:val="en-US" w:eastAsia="zh-CN"/>
              </w:rPr>
              <w:t>抛泥区清理</w:t>
            </w:r>
            <w:r>
              <w:rPr>
                <w:color w:val="auto"/>
              </w:rPr>
              <w:t>等产生的</w:t>
            </w:r>
            <w:r>
              <w:rPr>
                <w:rFonts w:hint="eastAsia"/>
                <w:color w:val="auto"/>
                <w:lang w:val="en-US" w:eastAsia="zh-CN"/>
              </w:rPr>
              <w:t>弃土底泥</w:t>
            </w:r>
            <w:r>
              <w:rPr>
                <w:color w:val="auto"/>
              </w:rPr>
              <w:t>处置方案合理。本项目严格执行施工期各项污染防治措施，不会对周围环境和敏感保护目标造成重大不利影响。</w:t>
            </w:r>
          </w:p>
        </w:tc>
        <w:tc>
          <w:tcPr>
            <w:tcW w:w="217" w:type="pct"/>
            <w:vAlign w:val="center"/>
          </w:tcPr>
          <w:p w14:paraId="5270C193">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52F9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015005E6">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第八条项目移民安置的选址和建设方式具有环境合理性，提出了生态保护、污水处理、固体废物处置等措施。针对蓄滞洪区的环境污染、新增占地涉及污染场地等，提出了环境管理对策建议。</w:t>
            </w:r>
          </w:p>
        </w:tc>
        <w:tc>
          <w:tcPr>
            <w:tcW w:w="1609" w:type="pct"/>
            <w:vAlign w:val="center"/>
          </w:tcPr>
          <w:p w14:paraId="5029A5F8">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w:t>
            </w:r>
            <w:r>
              <w:rPr>
                <w:rFonts w:hint="eastAsia"/>
                <w:color w:val="auto"/>
              </w:rPr>
              <w:t>不涉及移民安置；不涉及</w:t>
            </w:r>
            <w:r>
              <w:rPr>
                <w:color w:val="auto"/>
              </w:rPr>
              <w:t>蓄滞洪区</w:t>
            </w:r>
          </w:p>
        </w:tc>
        <w:tc>
          <w:tcPr>
            <w:tcW w:w="217" w:type="pct"/>
            <w:vAlign w:val="center"/>
          </w:tcPr>
          <w:p w14:paraId="078B1357">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62C9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0F3151E2">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第九条项目存在河湖水质污染、富营养化或外来物种入侵等环境风险的，提出了针对性的风险防范措施以及环境应急预案编制、建立必要的应急联动机制等要求。</w:t>
            </w:r>
          </w:p>
        </w:tc>
        <w:tc>
          <w:tcPr>
            <w:tcW w:w="1609" w:type="pct"/>
            <w:vAlign w:val="center"/>
          </w:tcPr>
          <w:p w14:paraId="1FA0F519">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本项目提出了风险防范措施以及环境应急预案编制、建立必要的应急联动机制等要求。</w:t>
            </w:r>
          </w:p>
        </w:tc>
        <w:tc>
          <w:tcPr>
            <w:tcW w:w="217" w:type="pct"/>
            <w:vAlign w:val="center"/>
          </w:tcPr>
          <w:p w14:paraId="0FDC4DE0">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711F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363C6D9D">
            <w:pPr>
              <w:pStyle w:val="31"/>
              <w:widowControl w:val="0"/>
              <w:bidi w:val="0"/>
              <w:jc w:val="left"/>
              <w:rPr>
                <w:rFonts w:hint="eastAsia" w:ascii="Times New Roman" w:hAnsi="Times New Roman" w:eastAsia="宋体" w:cs="Times New Roman"/>
                <w:bCs/>
                <w:color w:val="auto"/>
                <w:sz w:val="21"/>
                <w:szCs w:val="21"/>
                <w:lang w:val="en-US" w:eastAsia="zh-CN"/>
              </w:rPr>
            </w:pPr>
            <w:r>
              <w:rPr>
                <w:color w:val="auto"/>
              </w:rPr>
              <w:t>第十条改、扩建项目在全面梳理了项目有关的现有工程环境问题基础上，提出了与项目相适应的“以新带老”措施。</w:t>
            </w:r>
          </w:p>
        </w:tc>
        <w:tc>
          <w:tcPr>
            <w:tcW w:w="1609" w:type="pct"/>
            <w:vAlign w:val="center"/>
          </w:tcPr>
          <w:p w14:paraId="7F3679AB">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w:t>
            </w:r>
            <w:r>
              <w:rPr>
                <w:rFonts w:hint="eastAsia"/>
                <w:color w:val="auto"/>
                <w:lang w:val="en-US" w:eastAsia="zh-CN"/>
              </w:rPr>
              <w:t>对秋浦河航道整治工程5号、6号抛泥区抛泥清除恢复，对已存在的湿地环境问题进行整改恢复</w:t>
            </w:r>
            <w:r>
              <w:rPr>
                <w:color w:val="auto"/>
              </w:rPr>
              <w:t>。</w:t>
            </w:r>
          </w:p>
        </w:tc>
        <w:tc>
          <w:tcPr>
            <w:tcW w:w="217" w:type="pct"/>
            <w:vAlign w:val="center"/>
          </w:tcPr>
          <w:p w14:paraId="5EF49E88">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75F4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26BE3F41">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十一条按相关导则及规定要求，制定了水环境、生态等环境监测计划，明确了监测网点、因子、频次等有关要求，提出了开展环境影响后评价及根据监测评估结果优化环境保护措施的要求。根据需要和相关规定，提出了环境保护设计、开展相关科学研究、环境管理等要求。</w:t>
            </w:r>
          </w:p>
        </w:tc>
        <w:tc>
          <w:tcPr>
            <w:tcW w:w="1609" w:type="pct"/>
            <w:vAlign w:val="center"/>
          </w:tcPr>
          <w:p w14:paraId="610D7942">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按要求编制相关监测计划、保护措施、管理要求。</w:t>
            </w:r>
          </w:p>
        </w:tc>
        <w:tc>
          <w:tcPr>
            <w:tcW w:w="217" w:type="pct"/>
            <w:vAlign w:val="center"/>
          </w:tcPr>
          <w:p w14:paraId="0F624744">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4A18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7DD53B49">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第十二条对环境保护措施进行了深入论证，建设单位主体责任、投资估算、时间节点、预期效果明确，确保科学有效、安全可行、绿色协调。</w:t>
            </w:r>
          </w:p>
        </w:tc>
        <w:tc>
          <w:tcPr>
            <w:tcW w:w="1609" w:type="pct"/>
            <w:vAlign w:val="center"/>
          </w:tcPr>
          <w:p w14:paraId="0AD2C8AD">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本项目对环境保护措施进行了论证，各项内容科学有效、安全科学。</w:t>
            </w:r>
          </w:p>
        </w:tc>
        <w:tc>
          <w:tcPr>
            <w:tcW w:w="217" w:type="pct"/>
            <w:vAlign w:val="center"/>
          </w:tcPr>
          <w:p w14:paraId="2DDCB264">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293CF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7B74EFD7">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第十三条按相关规定开展了信息公开和公众参与。</w:t>
            </w:r>
          </w:p>
        </w:tc>
        <w:tc>
          <w:tcPr>
            <w:tcW w:w="1609" w:type="pct"/>
            <w:vAlign w:val="center"/>
          </w:tcPr>
          <w:p w14:paraId="4DADB8AE">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本项目按照要求开展了信息公开和公众参与。</w:t>
            </w:r>
          </w:p>
        </w:tc>
        <w:tc>
          <w:tcPr>
            <w:tcW w:w="217" w:type="pct"/>
            <w:vAlign w:val="center"/>
          </w:tcPr>
          <w:p w14:paraId="7BAB6656">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r w14:paraId="0BB5D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2" w:type="pct"/>
            <w:vAlign w:val="center"/>
          </w:tcPr>
          <w:p w14:paraId="18C3B9B0">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第十四条环境影响评价文件编制规范，符合相关管理规定和环评技术标准要求。</w:t>
            </w:r>
          </w:p>
        </w:tc>
        <w:tc>
          <w:tcPr>
            <w:tcW w:w="1609" w:type="pct"/>
            <w:vAlign w:val="center"/>
          </w:tcPr>
          <w:p w14:paraId="2E8CE174">
            <w:pPr>
              <w:pStyle w:val="31"/>
              <w:widowControl w:val="0"/>
              <w:bidi w:val="0"/>
              <w:ind w:firstLine="0" w:firstLineChars="0"/>
              <w:jc w:val="left"/>
              <w:rPr>
                <w:rFonts w:hint="eastAsia" w:ascii="Times New Roman" w:hAnsi="Times New Roman" w:eastAsia="宋体" w:cs="Times New Roman"/>
                <w:bCs/>
                <w:color w:val="auto"/>
                <w:sz w:val="21"/>
                <w:szCs w:val="21"/>
                <w:lang w:val="en-US" w:eastAsia="zh-CN"/>
              </w:rPr>
            </w:pPr>
            <w:r>
              <w:rPr>
                <w:color w:val="auto"/>
              </w:rPr>
              <w:t>本环评按照相关导则和文件要求编制。</w:t>
            </w:r>
          </w:p>
        </w:tc>
        <w:tc>
          <w:tcPr>
            <w:tcW w:w="217" w:type="pct"/>
            <w:vAlign w:val="center"/>
          </w:tcPr>
          <w:p w14:paraId="1B2ACF70">
            <w:pPr>
              <w:pStyle w:val="31"/>
              <w:widowControl w:val="0"/>
              <w:bidi w:val="0"/>
              <w:ind w:firstLine="0" w:firstLineChars="0"/>
              <w:rPr>
                <w:rFonts w:hint="eastAsia" w:ascii="Times New Roman" w:hAnsi="Times New Roman" w:eastAsia="宋体" w:cs="Times New Roman"/>
                <w:bCs/>
                <w:color w:val="auto"/>
                <w:sz w:val="21"/>
                <w:szCs w:val="21"/>
                <w:lang w:val="en-US" w:eastAsia="zh-CN"/>
              </w:rPr>
            </w:pPr>
            <w:r>
              <w:rPr>
                <w:color w:val="auto"/>
              </w:rPr>
              <w:t>符合</w:t>
            </w:r>
          </w:p>
        </w:tc>
      </w:tr>
    </w:tbl>
    <w:p w14:paraId="3D525FC5">
      <w:pPr>
        <w:pStyle w:val="4"/>
        <w:bidi w:val="0"/>
        <w:rPr>
          <w:color w:val="auto"/>
        </w:rPr>
        <w:sectPr>
          <w:pgSz w:w="16838" w:h="11906" w:orient="landscape"/>
          <w:pgMar w:top="1803" w:right="1400" w:bottom="1803" w:left="1440" w:header="935" w:footer="992" w:gutter="0"/>
          <w:pgBorders>
            <w:top w:val="none" w:sz="0" w:space="0"/>
            <w:left w:val="none" w:sz="0" w:space="0"/>
            <w:bottom w:val="none" w:sz="0" w:space="0"/>
            <w:right w:val="none" w:sz="0" w:space="0"/>
          </w:pgBorders>
          <w:pgNumType w:fmt="upperRoman"/>
          <w:cols w:space="0" w:num="1"/>
          <w:rtlGutter w:val="0"/>
          <w:docGrid w:linePitch="312" w:charSpace="0"/>
        </w:sectPr>
      </w:pPr>
    </w:p>
    <w:p w14:paraId="6C1A3B3B">
      <w:pPr>
        <w:pStyle w:val="4"/>
        <w:bidi w:val="0"/>
        <w:rPr>
          <w:color w:val="auto"/>
        </w:rPr>
      </w:pPr>
      <w:bookmarkStart w:id="75" w:name="_Toc20407"/>
      <w:r>
        <w:rPr>
          <w:rFonts w:hint="eastAsia"/>
          <w:color w:val="auto"/>
        </w:rPr>
        <w:t>“</w:t>
      </w:r>
      <w:r>
        <w:rPr>
          <w:rFonts w:hint="eastAsia"/>
          <w:color w:val="auto"/>
          <w:lang w:eastAsia="zh-CN"/>
        </w:rPr>
        <w:t>池州市生态环境分区管控</w:t>
      </w:r>
      <w:r>
        <w:rPr>
          <w:rFonts w:hint="eastAsia"/>
          <w:color w:val="auto"/>
        </w:rPr>
        <w:t>”相符性分析</w:t>
      </w:r>
      <w:bookmarkEnd w:id="75"/>
    </w:p>
    <w:p w14:paraId="6E553421">
      <w:pPr>
        <w:spacing w:line="360" w:lineRule="auto"/>
        <w:ind w:firstLine="482" w:firstLineChars="200"/>
        <w:rPr>
          <w:rFonts w:hint="eastAsia" w:hAnsi="宋体"/>
          <w:color w:val="auto"/>
          <w:sz w:val="24"/>
        </w:rPr>
      </w:pPr>
      <w:r>
        <w:rPr>
          <w:rFonts w:hint="eastAsia"/>
          <w:b/>
          <w:bCs/>
          <w:color w:val="auto"/>
          <w:lang w:val="en-US" w:eastAsia="zh-CN"/>
        </w:rPr>
        <w:t>生态保护红线：</w:t>
      </w:r>
      <w:r>
        <w:rPr>
          <w:rFonts w:hint="eastAsia"/>
          <w:color w:val="auto"/>
          <w:lang w:val="en-US" w:eastAsia="zh-CN"/>
        </w:rPr>
        <w:t>对照《</w:t>
      </w:r>
      <w:r>
        <w:rPr>
          <w:rFonts w:hint="eastAsia"/>
          <w:color w:val="auto"/>
          <w:lang w:eastAsia="zh-CN"/>
        </w:rPr>
        <w:t>池州市生态环境分区管控</w:t>
      </w:r>
      <w:r>
        <w:rPr>
          <w:rFonts w:hint="eastAsia"/>
          <w:color w:val="auto"/>
          <w:lang w:val="en-US" w:eastAsia="zh-CN"/>
        </w:rPr>
        <w:t>》，项目现有抛泥区占用池州市生态保护红线，弃土区和临时道路等均不涉及生态保护红线，</w:t>
      </w:r>
      <w:r>
        <w:rPr>
          <w:rFonts w:hint="eastAsia" w:hAnsi="宋体"/>
          <w:color w:val="auto"/>
          <w:sz w:val="24"/>
          <w:lang w:val="en-US" w:eastAsia="zh-CN"/>
        </w:rPr>
        <w:t>本项目对5号及6号抛泥区清理后，开展湿地恢复</w:t>
      </w:r>
      <w:r>
        <w:rPr>
          <w:rFonts w:hint="eastAsia" w:hAnsi="宋体"/>
          <w:color w:val="auto"/>
          <w:sz w:val="24"/>
        </w:rPr>
        <w:t>，</w:t>
      </w:r>
      <w:r>
        <w:rPr>
          <w:rFonts w:hint="eastAsia" w:hAnsi="宋体"/>
          <w:color w:val="auto"/>
          <w:sz w:val="24"/>
          <w:lang w:val="en-US" w:eastAsia="zh-CN"/>
        </w:rPr>
        <w:t>有助于改善</w:t>
      </w:r>
      <w:r>
        <w:rPr>
          <w:rFonts w:hint="eastAsia" w:hAnsi="宋体"/>
          <w:color w:val="auto"/>
          <w:sz w:val="24"/>
        </w:rPr>
        <w:t>池州市生态保护红线</w:t>
      </w:r>
      <w:r>
        <w:rPr>
          <w:rFonts w:hint="eastAsia" w:hAnsi="宋体"/>
          <w:color w:val="auto"/>
          <w:sz w:val="24"/>
          <w:lang w:val="en-US" w:eastAsia="zh-CN"/>
        </w:rPr>
        <w:t>生态环境质量，</w:t>
      </w:r>
      <w:r>
        <w:rPr>
          <w:rFonts w:hint="eastAsia" w:hAnsi="宋体"/>
          <w:color w:val="auto"/>
          <w:sz w:val="24"/>
        </w:rPr>
        <w:t>符合池州市生态保护红线要求</w:t>
      </w:r>
      <w:r>
        <w:rPr>
          <w:rFonts w:hint="eastAsia" w:hAnsi="宋体"/>
          <w:color w:val="auto"/>
          <w:sz w:val="24"/>
          <w:shd w:val="clear" w:color="auto" w:fill="auto"/>
        </w:rPr>
        <w:t>。</w:t>
      </w:r>
    </w:p>
    <w:p w14:paraId="4553FEE3">
      <w:pPr>
        <w:spacing w:line="360" w:lineRule="auto"/>
        <w:ind w:firstLine="482" w:firstLineChars="200"/>
        <w:rPr>
          <w:rFonts w:hint="default" w:ascii="Times New Roman" w:hAnsi="宋体" w:eastAsia="宋体" w:cs="Times New Roman"/>
          <w:color w:val="auto"/>
          <w:sz w:val="24"/>
          <w:lang w:val="en-US" w:eastAsia="zh-CN"/>
        </w:rPr>
      </w:pPr>
      <w:r>
        <w:rPr>
          <w:rFonts w:hint="eastAsia"/>
          <w:b/>
          <w:bCs/>
          <w:color w:val="auto"/>
          <w:lang w:val="en-US" w:eastAsia="zh-CN"/>
        </w:rPr>
        <w:t>水</w:t>
      </w:r>
      <w:r>
        <w:rPr>
          <w:rFonts w:hint="eastAsia"/>
          <w:b/>
          <w:bCs/>
          <w:color w:val="auto"/>
        </w:rPr>
        <w:t>环境质量底线及分区管控</w:t>
      </w:r>
      <w:r>
        <w:rPr>
          <w:rFonts w:hint="eastAsia"/>
          <w:b/>
          <w:bCs/>
          <w:color w:val="auto"/>
          <w:lang w:eastAsia="zh-CN"/>
        </w:rPr>
        <w:t>：</w:t>
      </w:r>
      <w:r>
        <w:rPr>
          <w:rFonts w:hint="eastAsia" w:ascii="Times New Roman" w:hAnsi="宋体" w:eastAsia="宋体" w:cs="Times New Roman"/>
          <w:color w:val="auto"/>
          <w:sz w:val="24"/>
          <w:lang w:val="en-US" w:eastAsia="zh-CN"/>
        </w:rPr>
        <w:t>根据《池州市生态环境分区管控》中水环境分区管控划分，项目属于水环境优先保护区、水环境一般管控区，本项目施工废水主要为施工车辆及设备冲洗废水，生产废水经隔油沉淀处理后回用不外排。生活污水主要来自工程施工期间施工人员日常生活产生的废水。生活污水经租住的民宅内的化粪池或旱厕收集后用于农田灌溉，不外排。因此，本项目不会对周边水环境造成不利影响，满足水环境质量底线及分区管控的要求。</w:t>
      </w:r>
    </w:p>
    <w:p w14:paraId="6DDBACF3">
      <w:pPr>
        <w:spacing w:line="360" w:lineRule="auto"/>
        <w:ind w:firstLine="482" w:firstLineChars="200"/>
        <w:rPr>
          <w:rFonts w:hint="default" w:eastAsia="宋体"/>
          <w:color w:val="auto"/>
          <w:lang w:val="en-US" w:eastAsia="zh-CN"/>
        </w:rPr>
      </w:pPr>
      <w:r>
        <w:rPr>
          <w:rFonts w:hint="eastAsia" w:ascii="Times New Roman" w:hAnsi="宋体" w:eastAsia="宋体" w:cs="Times New Roman"/>
          <w:b/>
          <w:bCs/>
          <w:color w:val="auto"/>
          <w:sz w:val="24"/>
          <w:lang w:val="en-US" w:eastAsia="zh-CN"/>
        </w:rPr>
        <w:t>大气环境质量底线及分区管控：</w:t>
      </w:r>
      <w:r>
        <w:rPr>
          <w:rFonts w:hint="eastAsia" w:hAnsi="宋体"/>
          <w:color w:val="auto"/>
          <w:sz w:val="24"/>
        </w:rPr>
        <w:t>根据《池州市生态环境分区管控》，</w:t>
      </w:r>
      <w:r>
        <w:rPr>
          <w:rFonts w:hint="eastAsia"/>
          <w:color w:val="auto"/>
          <w:kern w:val="0"/>
          <w:sz w:val="24"/>
          <w:lang w:val="en-US" w:eastAsia="zh-CN"/>
        </w:rPr>
        <w:t>本项目所在区域属于大气环境优先保护区域、大气</w:t>
      </w:r>
      <w:r>
        <w:rPr>
          <w:rFonts w:hint="eastAsia" w:ascii="Times New Roman" w:hAnsi="宋体" w:eastAsia="宋体" w:cs="Times New Roman"/>
          <w:color w:val="auto"/>
          <w:sz w:val="24"/>
          <w:lang w:val="en-US" w:eastAsia="zh-CN"/>
        </w:rPr>
        <w:t>环境一般管控区</w:t>
      </w:r>
      <w:r>
        <w:rPr>
          <w:rFonts w:hint="eastAsia"/>
          <w:color w:val="auto"/>
          <w:kern w:val="0"/>
          <w:sz w:val="24"/>
          <w:lang w:val="en-US" w:eastAsia="zh-CN"/>
        </w:rPr>
        <w:t>。</w:t>
      </w:r>
      <w:r>
        <w:rPr>
          <w:rFonts w:hint="eastAsia"/>
          <w:color w:val="auto"/>
        </w:rPr>
        <w:t>本</w:t>
      </w:r>
      <w:r>
        <w:rPr>
          <w:rFonts w:hint="eastAsia"/>
          <w:color w:val="auto"/>
          <w:lang w:val="en-US" w:eastAsia="zh-CN"/>
        </w:rPr>
        <w:t>项目</w:t>
      </w:r>
      <w:r>
        <w:rPr>
          <w:rFonts w:hint="eastAsia"/>
          <w:color w:val="auto"/>
        </w:rPr>
        <w:t>施工活动对区域环境空气质量的影响主要源自施工过程和车辆交通运输过程中产生的扬尘；施工机械和运输车辆运行时排放的燃油机械废气、底泥</w:t>
      </w:r>
      <w:r>
        <w:rPr>
          <w:rFonts w:hint="eastAsia"/>
          <w:color w:val="auto"/>
          <w:lang w:val="en-US" w:eastAsia="zh-CN"/>
        </w:rPr>
        <w:t>清理</w:t>
      </w:r>
      <w:r>
        <w:rPr>
          <w:rFonts w:hint="eastAsia"/>
          <w:color w:val="auto"/>
        </w:rPr>
        <w:t>产生的</w:t>
      </w:r>
      <w:r>
        <w:rPr>
          <w:rFonts w:hint="eastAsia"/>
          <w:color w:val="auto"/>
          <w:lang w:val="en-US" w:eastAsia="zh-CN"/>
        </w:rPr>
        <w:t>恶臭废气</w:t>
      </w:r>
      <w:r>
        <w:rPr>
          <w:rFonts w:hint="eastAsia"/>
          <w:color w:val="auto"/>
        </w:rPr>
        <w:t>等。施工期废气颗粒物</w:t>
      </w:r>
      <w:r>
        <w:rPr>
          <w:rFonts w:hint="eastAsia"/>
          <w:color w:val="auto"/>
          <w:lang w:val="en-US" w:eastAsia="zh-CN"/>
        </w:rPr>
        <w:t>达到</w:t>
      </w:r>
      <w:r>
        <w:rPr>
          <w:rFonts w:hint="eastAsia"/>
          <w:color w:val="auto"/>
        </w:rPr>
        <w:t>《施工场地颗粒物排放标准》(DB34/4811-2024)表1监测点浓度限值，其它</w:t>
      </w:r>
      <w:r>
        <w:rPr>
          <w:rFonts w:hint="eastAsia"/>
          <w:color w:val="auto"/>
          <w:lang w:val="en-US" w:eastAsia="zh-CN"/>
        </w:rPr>
        <w:t>达到</w:t>
      </w:r>
      <w:r>
        <w:rPr>
          <w:rFonts w:hint="eastAsia"/>
          <w:color w:val="auto"/>
        </w:rPr>
        <w:t>《大气污染物综合排放标准》(GB16297-1996)表2无组织排放监控浓度限值，恶臭污染物</w:t>
      </w:r>
      <w:r>
        <w:rPr>
          <w:rFonts w:hint="eastAsia"/>
          <w:color w:val="auto"/>
          <w:lang w:val="en-US" w:eastAsia="zh-CN"/>
        </w:rPr>
        <w:t>达到</w:t>
      </w:r>
      <w:r>
        <w:rPr>
          <w:rFonts w:hint="eastAsia"/>
          <w:color w:val="auto"/>
        </w:rPr>
        <w:t>《恶臭污染物排放标准》(GB14554-93)表1中无组织排放厂界浓度二级标准</w:t>
      </w:r>
      <w:r>
        <w:rPr>
          <w:rFonts w:hint="eastAsia"/>
          <w:color w:val="auto"/>
          <w:lang w:eastAsia="zh-CN"/>
        </w:rPr>
        <w:t>。</w:t>
      </w:r>
      <w:r>
        <w:rPr>
          <w:rFonts w:hint="eastAsia"/>
          <w:color w:val="auto"/>
          <w:lang w:val="en-US" w:eastAsia="zh-CN"/>
        </w:rPr>
        <w:t>因此，本</w:t>
      </w:r>
      <w:r>
        <w:rPr>
          <w:rFonts w:hint="eastAsia"/>
          <w:color w:val="auto"/>
        </w:rPr>
        <w:t>项目建设满足大气环境质量底线及分区管控要求。</w:t>
      </w:r>
    </w:p>
    <w:p w14:paraId="1F731E45">
      <w:pPr>
        <w:spacing w:line="360" w:lineRule="auto"/>
        <w:ind w:firstLine="482" w:firstLineChars="200"/>
        <w:rPr>
          <w:rFonts w:hint="default" w:eastAsia="宋体"/>
          <w:color w:val="auto"/>
          <w:lang w:val="en-US" w:eastAsia="zh-CN"/>
        </w:rPr>
      </w:pPr>
      <w:r>
        <w:rPr>
          <w:rFonts w:hint="eastAsia"/>
          <w:b/>
          <w:bCs/>
          <w:color w:val="auto"/>
        </w:rPr>
        <w:t>土壤环境风险防控底线及分区管控</w:t>
      </w:r>
      <w:r>
        <w:rPr>
          <w:rFonts w:hint="eastAsia"/>
          <w:b/>
          <w:bCs/>
          <w:color w:val="auto"/>
          <w:lang w:eastAsia="zh-CN"/>
        </w:rPr>
        <w:t>：</w:t>
      </w:r>
      <w:r>
        <w:rPr>
          <w:rFonts w:hint="eastAsia" w:hAnsi="宋体"/>
          <w:color w:val="auto"/>
          <w:sz w:val="24"/>
        </w:rPr>
        <w:t>根据《池州市生态环境分区管控》</w:t>
      </w:r>
      <w:r>
        <w:rPr>
          <w:rFonts w:hint="eastAsia" w:hAnsi="宋体"/>
          <w:color w:val="auto"/>
          <w:sz w:val="24"/>
          <w:lang w:eastAsia="zh-CN"/>
        </w:rPr>
        <w:t>：</w:t>
      </w:r>
      <w:r>
        <w:rPr>
          <w:rFonts w:hint="eastAsia"/>
          <w:color w:val="auto"/>
        </w:rPr>
        <w:t>本项目所在区域为</w:t>
      </w:r>
      <w:r>
        <w:rPr>
          <w:rFonts w:hint="eastAsia"/>
          <w:color w:val="auto"/>
          <w:lang w:val="en-US" w:eastAsia="zh-CN"/>
        </w:rPr>
        <w:t>一般管控区，本</w:t>
      </w:r>
      <w:r>
        <w:rPr>
          <w:rFonts w:hint="eastAsia"/>
          <w:color w:val="auto"/>
        </w:rPr>
        <w:t>项目建设满足</w:t>
      </w:r>
      <w:r>
        <w:rPr>
          <w:rFonts w:hint="eastAsia"/>
          <w:color w:val="auto"/>
          <w:lang w:val="en-US" w:eastAsia="zh-CN"/>
        </w:rPr>
        <w:t>土壤</w:t>
      </w:r>
      <w:r>
        <w:rPr>
          <w:rFonts w:hint="eastAsia"/>
          <w:color w:val="auto"/>
        </w:rPr>
        <w:t>环境</w:t>
      </w:r>
      <w:r>
        <w:rPr>
          <w:rFonts w:hint="eastAsia"/>
          <w:color w:val="auto"/>
          <w:lang w:val="en-US" w:eastAsia="zh-CN"/>
        </w:rPr>
        <w:t>风险防控底线</w:t>
      </w:r>
      <w:r>
        <w:rPr>
          <w:rFonts w:hint="eastAsia"/>
          <w:color w:val="auto"/>
        </w:rPr>
        <w:t>及分区管控要求。</w:t>
      </w:r>
    </w:p>
    <w:p w14:paraId="2DEDAF43">
      <w:pPr>
        <w:keepNext w:val="0"/>
        <w:keepLines w:val="0"/>
        <w:pageBreakBefore w:val="0"/>
        <w:widowControl w:val="0"/>
        <w:numPr>
          <w:numId w:val="0"/>
        </w:numPr>
        <w:kinsoku/>
        <w:wordWrap/>
        <w:overflowPunct/>
        <w:topLinePunct w:val="0"/>
        <w:autoSpaceDE/>
        <w:autoSpaceDN/>
        <w:bidi w:val="0"/>
        <w:adjustRightInd w:val="0"/>
        <w:snapToGrid w:val="0"/>
        <w:ind w:leftChars="0" w:firstLine="482" w:firstLineChars="200"/>
        <w:textAlignment w:val="auto"/>
        <w:outlineLvl w:val="9"/>
        <w:rPr>
          <w:rFonts w:hint="eastAsia"/>
          <w:color w:val="auto"/>
          <w:kern w:val="0"/>
          <w:sz w:val="24"/>
        </w:rPr>
      </w:pPr>
      <w:r>
        <w:rPr>
          <w:rFonts w:hint="eastAsia"/>
          <w:b/>
          <w:bCs/>
          <w:color w:val="auto"/>
        </w:rPr>
        <w:t>水资源利用上线及分区管控</w:t>
      </w:r>
      <w:r>
        <w:rPr>
          <w:rFonts w:hint="eastAsia"/>
          <w:b/>
          <w:bCs/>
          <w:color w:val="auto"/>
          <w:lang w:eastAsia="zh-CN"/>
        </w:rPr>
        <w:t>：</w:t>
      </w:r>
      <w:r>
        <w:rPr>
          <w:rFonts w:hint="eastAsia"/>
          <w:lang w:val="en-US" w:eastAsia="zh-CN"/>
        </w:rPr>
        <w:t>根据《池州市生态环境分区管控》：池州市行政区划内无地下水限采区，因此池州市水资源管控分区皆为一般管控区。</w:t>
      </w:r>
      <w:r>
        <w:rPr>
          <w:rFonts w:hint="eastAsia"/>
          <w:color w:val="auto"/>
          <w:kern w:val="0"/>
          <w:sz w:val="24"/>
          <w:lang w:val="en-US" w:eastAsia="zh-CN"/>
        </w:rPr>
        <w:t>本项目生活用水利用当地生活用水水源。施工用水</w:t>
      </w:r>
      <w:r>
        <w:rPr>
          <w:rFonts w:hint="default"/>
          <w:color w:val="auto"/>
          <w:kern w:val="0"/>
          <w:sz w:val="24"/>
          <w:lang w:val="en-US" w:eastAsia="zh-CN"/>
        </w:rPr>
        <w:t>主要用于施工车辆</w:t>
      </w:r>
      <w:r>
        <w:rPr>
          <w:rFonts w:hint="eastAsia"/>
          <w:color w:val="auto"/>
          <w:kern w:val="0"/>
          <w:sz w:val="24"/>
          <w:lang w:val="en-US" w:eastAsia="zh-CN"/>
        </w:rPr>
        <w:t>和</w:t>
      </w:r>
      <w:r>
        <w:rPr>
          <w:rFonts w:hint="default"/>
          <w:color w:val="auto"/>
          <w:kern w:val="0"/>
          <w:sz w:val="24"/>
          <w:lang w:val="en-US" w:eastAsia="zh-CN"/>
        </w:rPr>
        <w:t>设备冲洗</w:t>
      </w:r>
      <w:r>
        <w:rPr>
          <w:rFonts w:hint="eastAsia"/>
          <w:color w:val="auto"/>
          <w:kern w:val="0"/>
          <w:sz w:val="24"/>
          <w:lang w:val="en-US" w:eastAsia="zh-CN"/>
        </w:rPr>
        <w:t>用水</w:t>
      </w:r>
      <w:r>
        <w:rPr>
          <w:rFonts w:hint="default"/>
          <w:color w:val="auto"/>
          <w:kern w:val="0"/>
          <w:sz w:val="24"/>
          <w:lang w:val="en-US" w:eastAsia="zh-CN"/>
        </w:rPr>
        <w:t>等</w:t>
      </w:r>
      <w:r>
        <w:rPr>
          <w:rFonts w:hint="eastAsia"/>
          <w:color w:val="auto"/>
          <w:kern w:val="0"/>
          <w:sz w:val="24"/>
          <w:lang w:val="en-US" w:eastAsia="zh-CN"/>
        </w:rPr>
        <w:t>，用水经处理后循环利用不外排，减少了水资源的消耗</w:t>
      </w:r>
      <w:r>
        <w:rPr>
          <w:rFonts w:hint="default"/>
          <w:color w:val="auto"/>
          <w:kern w:val="0"/>
          <w:sz w:val="24"/>
          <w:lang w:val="en-US" w:eastAsia="zh-CN"/>
        </w:rPr>
        <w:t>。</w:t>
      </w:r>
      <w:r>
        <w:rPr>
          <w:rFonts w:hint="eastAsia"/>
          <w:color w:val="auto"/>
          <w:kern w:val="0"/>
          <w:sz w:val="24"/>
        </w:rPr>
        <w:t>本项目施工过程中消耗一定量的水资源，</w:t>
      </w:r>
      <w:r>
        <w:rPr>
          <w:rFonts w:hint="eastAsia"/>
          <w:color w:val="auto"/>
          <w:kern w:val="0"/>
          <w:sz w:val="24"/>
          <w:lang w:val="en-US" w:eastAsia="zh-CN"/>
        </w:rPr>
        <w:t>水</w:t>
      </w:r>
      <w:r>
        <w:rPr>
          <w:rFonts w:hint="eastAsia"/>
          <w:color w:val="auto"/>
          <w:kern w:val="0"/>
          <w:sz w:val="24"/>
        </w:rPr>
        <w:t>资源消耗量相对区域资源利用总量较少。因此，项目资源利用符合</w:t>
      </w:r>
      <w:r>
        <w:rPr>
          <w:rFonts w:hint="eastAsia"/>
          <w:color w:val="auto"/>
          <w:kern w:val="0"/>
          <w:sz w:val="24"/>
          <w:lang w:val="en-US" w:eastAsia="zh-CN"/>
        </w:rPr>
        <w:t>水</w:t>
      </w:r>
      <w:r>
        <w:rPr>
          <w:rFonts w:hint="eastAsia"/>
          <w:color w:val="auto"/>
          <w:kern w:val="0"/>
          <w:sz w:val="24"/>
        </w:rPr>
        <w:t>资源利用上线</w:t>
      </w:r>
      <w:r>
        <w:rPr>
          <w:rFonts w:hint="eastAsia"/>
          <w:color w:val="auto"/>
          <w:kern w:val="0"/>
          <w:sz w:val="24"/>
          <w:lang w:val="en-US" w:eastAsia="zh-CN"/>
        </w:rPr>
        <w:t>及管控分区</w:t>
      </w:r>
      <w:r>
        <w:rPr>
          <w:rFonts w:hint="eastAsia"/>
          <w:color w:val="auto"/>
          <w:kern w:val="0"/>
          <w:sz w:val="24"/>
        </w:rPr>
        <w:t>的要求。</w:t>
      </w:r>
    </w:p>
    <w:p w14:paraId="62EED10D">
      <w:pPr>
        <w:bidi w:val="0"/>
        <w:rPr>
          <w:rFonts w:hint="eastAsia"/>
          <w:color w:val="auto"/>
          <w:lang w:val="en-US" w:eastAsia="zh-CN"/>
        </w:rPr>
      </w:pPr>
      <w:r>
        <w:rPr>
          <w:rFonts w:hint="eastAsia"/>
          <w:b/>
          <w:bCs/>
          <w:color w:val="auto"/>
        </w:rPr>
        <w:t>土地资源利用上线及分区管控</w:t>
      </w:r>
      <w:r>
        <w:rPr>
          <w:rFonts w:hint="eastAsia"/>
          <w:b/>
          <w:bCs/>
          <w:color w:val="auto"/>
          <w:lang w:eastAsia="zh-CN"/>
        </w:rPr>
        <w:t>：</w:t>
      </w:r>
      <w:r>
        <w:rPr>
          <w:rFonts w:hint="eastAsia"/>
          <w:color w:val="auto"/>
        </w:rPr>
        <w:t>根据</w:t>
      </w:r>
      <w:r>
        <w:rPr>
          <w:rFonts w:hint="eastAsia" w:hAnsi="宋体"/>
          <w:color w:val="auto"/>
          <w:sz w:val="24"/>
        </w:rPr>
        <w:t>《池州市生态环境分区管控》</w:t>
      </w:r>
      <w:r>
        <w:rPr>
          <w:rFonts w:hint="eastAsia" w:hAnsi="宋体"/>
          <w:color w:val="auto"/>
          <w:sz w:val="24"/>
          <w:lang w:eastAsia="zh-CN"/>
        </w:rPr>
        <w:t>，</w:t>
      </w:r>
      <w:r>
        <w:rPr>
          <w:rFonts w:hint="eastAsia"/>
          <w:color w:val="auto"/>
          <w:lang w:val="en-US" w:eastAsia="zh-CN"/>
        </w:rPr>
        <w:t>本项目所在区域为土地资源重点管控区。本项目建设满足土地资源利用上线及分区管控要求。</w:t>
      </w:r>
    </w:p>
    <w:p w14:paraId="17B8CF34">
      <w:pPr>
        <w:bidi w:val="0"/>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岸</w:t>
      </w:r>
      <w:r>
        <w:rPr>
          <w:rFonts w:hint="eastAsia" w:ascii="Times New Roman" w:hAnsi="Times New Roman" w:eastAsia="宋体" w:cs="Times New Roman"/>
          <w:b/>
          <w:bCs/>
          <w:color w:val="auto"/>
        </w:rPr>
        <w:t>线自然资源利用上线及分区管控</w:t>
      </w:r>
      <w:r>
        <w:rPr>
          <w:rFonts w:hint="eastAsia" w:ascii="Times New Roman" w:hAnsi="Times New Roman" w:eastAsia="宋体" w:cs="Times New Roman"/>
          <w:b/>
          <w:bCs/>
          <w:color w:val="auto"/>
          <w:lang w:eastAsia="zh-CN"/>
        </w:rPr>
        <w:t>：</w:t>
      </w:r>
      <w:r>
        <w:rPr>
          <w:rFonts w:hint="eastAsia"/>
          <w:color w:val="auto"/>
        </w:rPr>
        <w:t>根据</w:t>
      </w:r>
      <w:r>
        <w:rPr>
          <w:rFonts w:hint="eastAsia" w:hAnsi="宋体"/>
          <w:color w:val="auto"/>
          <w:sz w:val="24"/>
        </w:rPr>
        <w:t>《池州市生态环境分区管控》</w:t>
      </w:r>
      <w:r>
        <w:rPr>
          <w:rFonts w:hint="eastAsia" w:hAnsi="宋体"/>
          <w:color w:val="auto"/>
          <w:sz w:val="24"/>
          <w:lang w:eastAsia="zh-CN"/>
        </w:rPr>
        <w:t>，</w:t>
      </w:r>
      <w:r>
        <w:rPr>
          <w:rFonts w:hint="eastAsia" w:hAnsi="宋体"/>
          <w:color w:val="auto"/>
          <w:sz w:val="24"/>
          <w:lang w:val="en-US" w:eastAsia="zh-CN"/>
        </w:rPr>
        <w:t>项目不涉及长江岸线保护。</w:t>
      </w:r>
    </w:p>
    <w:p w14:paraId="2E4C3AF9">
      <w:pPr>
        <w:bidi w:val="0"/>
        <w:rPr>
          <w:rFonts w:hint="default" w:eastAsia="宋体"/>
          <w:b/>
          <w:bCs/>
          <w:color w:val="auto"/>
          <w:lang w:val="en-US" w:eastAsia="zh-CN"/>
        </w:rPr>
      </w:pPr>
      <w:r>
        <w:rPr>
          <w:rFonts w:hint="eastAsia"/>
          <w:b/>
          <w:bCs/>
          <w:color w:val="auto"/>
        </w:rPr>
        <w:t>生态环境准入清单</w:t>
      </w:r>
      <w:r>
        <w:rPr>
          <w:rFonts w:hint="eastAsia"/>
          <w:b/>
          <w:bCs/>
          <w:color w:val="auto"/>
          <w:lang w:eastAsia="zh-CN"/>
        </w:rPr>
        <w:t>：</w:t>
      </w:r>
      <w:r>
        <w:rPr>
          <w:rFonts w:hint="eastAsia"/>
          <w:b/>
          <w:bCs/>
          <w:color w:val="auto"/>
          <w:lang w:val="en-US" w:eastAsia="zh-CN"/>
        </w:rPr>
        <w:t>查阅安徽省“三线一单”公众服务平台</w:t>
      </w:r>
      <w:r>
        <w:rPr>
          <w:rFonts w:hint="eastAsia" w:hAnsi="宋体"/>
          <w:color w:val="auto"/>
          <w:sz w:val="24"/>
          <w:lang w:eastAsia="zh-CN"/>
        </w:rPr>
        <w:t>，</w:t>
      </w:r>
      <w:r>
        <w:rPr>
          <w:rFonts w:hint="eastAsia" w:hAnsi="宋体"/>
          <w:color w:val="auto"/>
          <w:sz w:val="24"/>
          <w:lang w:val="en-US" w:eastAsia="zh-CN"/>
        </w:rPr>
        <w:t>抛泥区和临时道路位于优先保护单元，弃土区位于一般管控单元。项目均满足相应管控单元要求。</w:t>
      </w:r>
    </w:p>
    <w:p w14:paraId="69AF3DEB">
      <w:pPr>
        <w:pStyle w:val="3"/>
        <w:bidi w:val="0"/>
        <w:ind w:left="480" w:leftChars="0" w:firstLineChars="0"/>
        <w:rPr>
          <w:rFonts w:hint="eastAsia"/>
          <w:color w:val="auto"/>
        </w:rPr>
      </w:pPr>
      <w:bookmarkStart w:id="76" w:name="_Toc15929"/>
      <w:bookmarkStart w:id="77" w:name="_Toc16971"/>
      <w:r>
        <w:rPr>
          <w:rFonts w:hint="eastAsia"/>
          <w:color w:val="auto"/>
        </w:rPr>
        <w:t>环境保护目标</w:t>
      </w:r>
      <w:bookmarkEnd w:id="76"/>
      <w:bookmarkEnd w:id="77"/>
    </w:p>
    <w:p w14:paraId="08CB151C">
      <w:pPr>
        <w:pStyle w:val="4"/>
        <w:bidi w:val="0"/>
        <w:rPr>
          <w:rFonts w:hint="eastAsia"/>
          <w:color w:val="auto"/>
        </w:rPr>
      </w:pPr>
      <w:bookmarkStart w:id="78" w:name="_Toc20938"/>
      <w:bookmarkStart w:id="79" w:name="_Toc7574"/>
      <w:r>
        <w:rPr>
          <w:rFonts w:hint="eastAsia"/>
          <w:color w:val="auto"/>
        </w:rPr>
        <w:t>生态环境保护目标</w:t>
      </w:r>
      <w:bookmarkEnd w:id="78"/>
      <w:bookmarkEnd w:id="79"/>
    </w:p>
    <w:p w14:paraId="32D53F90">
      <w:pPr>
        <w:bidi w:val="0"/>
        <w:rPr>
          <w:rFonts w:hint="eastAsia"/>
          <w:color w:val="auto"/>
        </w:rPr>
      </w:pPr>
      <w:r>
        <w:rPr>
          <w:rFonts w:hint="eastAsia"/>
          <w:color w:val="auto"/>
        </w:rPr>
        <w:t>根据调查，拟建工程与生态敏感区的位置关系详见下表。</w:t>
      </w:r>
    </w:p>
    <w:p w14:paraId="22857AD9">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2.5</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ascii="Times New Roman" w:hAnsi="Times New Roman"/>
          <w:b/>
          <w:color w:val="auto"/>
          <w:sz w:val="21"/>
          <w:szCs w:val="21"/>
        </w:rPr>
        <w:t>生态环境保护目标一览表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1"/>
        <w:gridCol w:w="3365"/>
        <w:gridCol w:w="1692"/>
        <w:gridCol w:w="1672"/>
        <w:gridCol w:w="1575"/>
      </w:tblGrid>
      <w:tr w14:paraId="449A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1" w:type="dxa"/>
            <w:noWrap w:val="0"/>
            <w:vAlign w:val="center"/>
          </w:tcPr>
          <w:p w14:paraId="39998992">
            <w:pPr>
              <w:keepNext w:val="0"/>
              <w:keepLines w:val="0"/>
              <w:pageBreakBefore w:val="0"/>
              <w:widowControl w:val="0"/>
              <w:kinsoku/>
              <w:wordWrap/>
              <w:overflowPunct/>
              <w:topLinePunct w:val="0"/>
              <w:autoSpaceDE/>
              <w:autoSpaceDN/>
              <w:bidi w:val="0"/>
              <w:spacing w:line="240" w:lineRule="auto"/>
              <w:ind w:left="0" w:right="0" w:firstLine="0" w:firstLineChars="0"/>
              <w:jc w:val="center"/>
              <w:textAlignment w:val="auto"/>
              <w:rPr>
                <w:rFonts w:hint="default" w:ascii="Times New Roman" w:hAnsi="Times New Roman" w:cs="Times New Roman"/>
                <w:b w:val="0"/>
                <w:bCs/>
                <w:color w:val="auto"/>
                <w:sz w:val="21"/>
                <w:szCs w:val="21"/>
                <w:highlight w:val="none"/>
              </w:rPr>
            </w:pPr>
            <w:r>
              <w:rPr>
                <w:rFonts w:hint="default" w:ascii="Times New Roman" w:hAnsi="Times New Roman" w:cs="Times New Roman"/>
                <w:b w:val="0"/>
                <w:bCs/>
                <w:color w:val="auto"/>
                <w:sz w:val="21"/>
                <w:szCs w:val="21"/>
                <w:highlight w:val="none"/>
              </w:rPr>
              <w:t>名称</w:t>
            </w:r>
          </w:p>
        </w:tc>
        <w:tc>
          <w:tcPr>
            <w:tcW w:w="3365" w:type="dxa"/>
            <w:noWrap w:val="0"/>
            <w:vAlign w:val="center"/>
          </w:tcPr>
          <w:p w14:paraId="1B42A258">
            <w:pPr>
              <w:keepNext w:val="0"/>
              <w:keepLines w:val="0"/>
              <w:pageBreakBefore w:val="0"/>
              <w:widowControl w:val="0"/>
              <w:kinsoku/>
              <w:wordWrap/>
              <w:overflowPunct/>
              <w:topLinePunct w:val="0"/>
              <w:autoSpaceDE/>
              <w:autoSpaceDN/>
              <w:bidi w:val="0"/>
              <w:spacing w:line="240" w:lineRule="auto"/>
              <w:ind w:left="0" w:right="0" w:firstLine="0" w:firstLineChars="0"/>
              <w:jc w:val="center"/>
              <w:textAlignment w:val="auto"/>
              <w:rPr>
                <w:rFonts w:hint="eastAsia" w:ascii="Times New Roman" w:hAnsi="Times New Roman" w:eastAsia="宋体" w:cs="Times New Roman"/>
                <w:b w:val="0"/>
                <w:bCs/>
                <w:color w:val="auto"/>
                <w:sz w:val="21"/>
                <w:szCs w:val="21"/>
                <w:highlight w:val="none"/>
                <w:lang w:eastAsia="zh-CN"/>
              </w:rPr>
            </w:pPr>
            <w:r>
              <w:rPr>
                <w:rFonts w:hint="eastAsia" w:cs="Times New Roman"/>
                <w:b w:val="0"/>
                <w:bCs/>
                <w:color w:val="auto"/>
                <w:sz w:val="21"/>
                <w:szCs w:val="21"/>
                <w:highlight w:val="none"/>
                <w:lang w:val="en-US" w:eastAsia="zh-CN"/>
              </w:rPr>
              <w:t>规模</w:t>
            </w:r>
          </w:p>
        </w:tc>
        <w:tc>
          <w:tcPr>
            <w:tcW w:w="1692" w:type="dxa"/>
            <w:noWrap w:val="0"/>
            <w:vAlign w:val="center"/>
          </w:tcPr>
          <w:p w14:paraId="12986776">
            <w:pPr>
              <w:keepNext w:val="0"/>
              <w:keepLines w:val="0"/>
              <w:pageBreakBefore w:val="0"/>
              <w:widowControl w:val="0"/>
              <w:kinsoku/>
              <w:wordWrap/>
              <w:overflowPunct/>
              <w:topLinePunct w:val="0"/>
              <w:autoSpaceDE/>
              <w:autoSpaceDN/>
              <w:bidi w:val="0"/>
              <w:spacing w:line="240" w:lineRule="auto"/>
              <w:ind w:left="0" w:right="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主要功能定位</w:t>
            </w:r>
          </w:p>
        </w:tc>
        <w:tc>
          <w:tcPr>
            <w:tcW w:w="1672" w:type="dxa"/>
            <w:noWrap w:val="0"/>
            <w:vAlign w:val="center"/>
          </w:tcPr>
          <w:p w14:paraId="6ED3F68F">
            <w:pPr>
              <w:keepNext w:val="0"/>
              <w:keepLines w:val="0"/>
              <w:pageBreakBefore w:val="0"/>
              <w:widowControl w:val="0"/>
              <w:kinsoku/>
              <w:wordWrap/>
              <w:overflowPunct/>
              <w:topLinePunct w:val="0"/>
              <w:autoSpaceDE/>
              <w:autoSpaceDN/>
              <w:bidi w:val="0"/>
              <w:spacing w:line="240" w:lineRule="auto"/>
              <w:ind w:left="0" w:right="0" w:firstLine="0" w:firstLineChars="0"/>
              <w:jc w:val="center"/>
              <w:textAlignment w:val="auto"/>
              <w:rPr>
                <w:rFonts w:hint="default" w:ascii="Times New Roman" w:hAnsi="Times New Roman" w:cs="Times New Roman"/>
                <w:b w:val="0"/>
                <w:bCs/>
                <w:color w:val="auto"/>
                <w:sz w:val="21"/>
                <w:szCs w:val="21"/>
                <w:highlight w:val="none"/>
              </w:rPr>
            </w:pPr>
            <w:r>
              <w:rPr>
                <w:rFonts w:hint="default" w:ascii="Times New Roman" w:hAnsi="Times New Roman" w:cs="Times New Roman"/>
                <w:b w:val="0"/>
                <w:bCs/>
                <w:color w:val="auto"/>
                <w:sz w:val="21"/>
                <w:szCs w:val="21"/>
                <w:highlight w:val="none"/>
              </w:rPr>
              <w:t>主要保护对象</w:t>
            </w:r>
          </w:p>
        </w:tc>
        <w:tc>
          <w:tcPr>
            <w:tcW w:w="1575" w:type="dxa"/>
            <w:noWrap w:val="0"/>
            <w:vAlign w:val="center"/>
          </w:tcPr>
          <w:p w14:paraId="7DE94F9A">
            <w:pPr>
              <w:keepNext w:val="0"/>
              <w:keepLines w:val="0"/>
              <w:pageBreakBefore w:val="0"/>
              <w:widowControl w:val="0"/>
              <w:kinsoku/>
              <w:wordWrap/>
              <w:overflowPunct/>
              <w:topLinePunct w:val="0"/>
              <w:autoSpaceDE/>
              <w:autoSpaceDN/>
              <w:bidi w:val="0"/>
              <w:spacing w:line="240" w:lineRule="auto"/>
              <w:ind w:left="0" w:right="0" w:firstLine="0" w:firstLineChars="0"/>
              <w:jc w:val="center"/>
              <w:textAlignment w:val="auto"/>
              <w:rPr>
                <w:rFonts w:hint="default" w:ascii="Times New Roman" w:hAnsi="Times New Roman" w:cs="Times New Roman"/>
                <w:b w:val="0"/>
                <w:bCs/>
                <w:color w:val="auto"/>
                <w:sz w:val="21"/>
                <w:szCs w:val="21"/>
                <w:highlight w:val="yellow"/>
              </w:rPr>
            </w:pPr>
            <w:r>
              <w:rPr>
                <w:rFonts w:hint="default" w:ascii="Times New Roman" w:hAnsi="Times New Roman" w:cs="Times New Roman"/>
                <w:b w:val="0"/>
                <w:bCs/>
                <w:color w:val="auto"/>
                <w:sz w:val="21"/>
                <w:szCs w:val="21"/>
                <w:highlight w:val="none"/>
              </w:rPr>
              <w:t>位置关系</w:t>
            </w:r>
          </w:p>
        </w:tc>
      </w:tr>
      <w:tr w14:paraId="31A8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1" w:type="dxa"/>
            <w:noWrap w:val="0"/>
            <w:vAlign w:val="center"/>
          </w:tcPr>
          <w:p w14:paraId="64362890">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val="0"/>
                <w:bCs/>
                <w:color w:val="auto"/>
                <w:kern w:val="2"/>
                <w:sz w:val="21"/>
                <w:szCs w:val="21"/>
                <w:highlight w:val="none"/>
                <w:lang w:val="en-US" w:eastAsia="zh-CN" w:bidi="ar-SA"/>
              </w:rPr>
            </w:pPr>
            <w:r>
              <w:rPr>
                <w:rFonts w:hint="eastAsia" w:ascii="Times New Roman" w:hAnsi="Times New Roman" w:cs="Times New Roman"/>
                <w:b w:val="0"/>
                <w:bCs/>
                <w:color w:val="auto"/>
                <w:kern w:val="2"/>
                <w:sz w:val="21"/>
                <w:szCs w:val="21"/>
                <w:highlight w:val="none"/>
                <w:lang w:val="en-US" w:eastAsia="zh-CN" w:bidi="ar-SA"/>
              </w:rPr>
              <w:t>生态保护红线</w:t>
            </w:r>
          </w:p>
        </w:tc>
        <w:tc>
          <w:tcPr>
            <w:tcW w:w="3365" w:type="dxa"/>
            <w:noWrap w:val="0"/>
            <w:vAlign w:val="center"/>
          </w:tcPr>
          <w:p w14:paraId="10E8943C">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highlight w:val="none"/>
                <w:lang w:val="en-US" w:eastAsia="zh-CN"/>
              </w:rPr>
            </w:pPr>
            <w:r>
              <w:rPr>
                <w:rFonts w:hint="default" w:ascii="Times New Roman" w:hAnsi="Times New Roman" w:cs="Times New Roman"/>
                <w:b w:val="0"/>
                <w:bCs/>
                <w:color w:val="auto"/>
                <w:sz w:val="21"/>
                <w:szCs w:val="21"/>
                <w:highlight w:val="none"/>
                <w:lang w:val="en-US" w:eastAsia="zh-CN"/>
              </w:rPr>
              <w:t>东至县南部与中部、贵池区中部地带、石台县西北角等地区，面积3384.2km</w:t>
            </w:r>
            <w:r>
              <w:rPr>
                <w:rFonts w:hint="default" w:ascii="Times New Roman" w:hAnsi="Times New Roman" w:cs="Times New Roman"/>
                <w:b w:val="0"/>
                <w:bCs/>
                <w:color w:val="auto"/>
                <w:sz w:val="21"/>
                <w:szCs w:val="21"/>
                <w:highlight w:val="none"/>
                <w:vertAlign w:val="superscript"/>
                <w:lang w:val="en-US" w:eastAsia="zh-CN"/>
              </w:rPr>
              <w:t>2</w:t>
            </w:r>
          </w:p>
        </w:tc>
        <w:tc>
          <w:tcPr>
            <w:tcW w:w="1692" w:type="dxa"/>
            <w:noWrap w:val="0"/>
            <w:vAlign w:val="center"/>
          </w:tcPr>
          <w:p w14:paraId="34EA74BD">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水土保持与农业生产</w:t>
            </w:r>
          </w:p>
        </w:tc>
        <w:tc>
          <w:tcPr>
            <w:tcW w:w="1672" w:type="dxa"/>
            <w:noWrap w:val="0"/>
            <w:vAlign w:val="center"/>
          </w:tcPr>
          <w:p w14:paraId="6217A068">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Ⅴ1-1东至-贵池低山水土保持与生物多样性保护生态功能区</w:t>
            </w:r>
          </w:p>
        </w:tc>
        <w:tc>
          <w:tcPr>
            <w:tcW w:w="1575" w:type="dxa"/>
            <w:noWrap w:val="0"/>
            <w:vAlign w:val="center"/>
          </w:tcPr>
          <w:p w14:paraId="6D1FFEF8">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抛泥区位于生态保护红线内</w:t>
            </w:r>
          </w:p>
        </w:tc>
      </w:tr>
      <w:tr w14:paraId="47F85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1" w:type="dxa"/>
            <w:noWrap w:val="0"/>
            <w:vAlign w:val="center"/>
          </w:tcPr>
          <w:p w14:paraId="12A7E3A3">
            <w:pPr>
              <w:pStyle w:val="31"/>
              <w:bidi w:val="0"/>
              <w:jc w:val="center"/>
              <w:rPr>
                <w:rFonts w:hint="default"/>
                <w:b w:val="0"/>
                <w:bCs/>
                <w:color w:val="auto"/>
                <w:lang w:val="en-US" w:eastAsia="zh-CN"/>
              </w:rPr>
            </w:pPr>
            <w:r>
              <w:rPr>
                <w:rFonts w:hint="default"/>
                <w:b w:val="0"/>
                <w:bCs/>
                <w:color w:val="auto"/>
                <w:lang w:val="en-US" w:eastAsia="zh-CN"/>
              </w:rPr>
              <w:t>安徽贵池杏花村省级湿地公园</w:t>
            </w:r>
          </w:p>
        </w:tc>
        <w:tc>
          <w:tcPr>
            <w:tcW w:w="3365" w:type="dxa"/>
            <w:noWrap w:val="0"/>
            <w:vAlign w:val="center"/>
          </w:tcPr>
          <w:p w14:paraId="1BD133C2">
            <w:pPr>
              <w:pStyle w:val="31"/>
              <w:bidi w:val="0"/>
              <w:jc w:val="center"/>
              <w:rPr>
                <w:rFonts w:hint="default"/>
                <w:b w:val="0"/>
                <w:bCs/>
                <w:color w:val="auto"/>
                <w:lang w:val="en-US" w:eastAsia="zh-CN"/>
              </w:rPr>
            </w:pPr>
            <w:r>
              <w:rPr>
                <w:rFonts w:hint="default"/>
                <w:b w:val="0"/>
                <w:bCs/>
                <w:color w:val="auto"/>
                <w:lang w:val="en-US" w:eastAsia="zh-CN"/>
              </w:rPr>
              <w:t>原湿地公园规划面积为2482.12公顷，现湿地公园总面积调整为2197.25公顷。具体包括秋浦河25.2公里长的河段和秋浦河东岸边的部分滩涂、沟塘、水产养殖场和天生湖全部水面，公园内湿地面积为2051.04公顷，湿地率达93.35%。</w:t>
            </w:r>
          </w:p>
        </w:tc>
        <w:tc>
          <w:tcPr>
            <w:tcW w:w="1692" w:type="dxa"/>
            <w:noWrap w:val="0"/>
            <w:vAlign w:val="center"/>
          </w:tcPr>
          <w:p w14:paraId="3EB7893F">
            <w:pPr>
              <w:pStyle w:val="31"/>
              <w:bidi w:val="0"/>
              <w:jc w:val="center"/>
              <w:rPr>
                <w:rFonts w:hint="default"/>
                <w:b w:val="0"/>
                <w:bCs/>
                <w:color w:val="auto"/>
                <w:lang w:val="en-US" w:eastAsia="zh-CN"/>
              </w:rPr>
            </w:pPr>
            <w:r>
              <w:rPr>
                <w:rFonts w:hint="default"/>
                <w:b w:val="0"/>
                <w:bCs/>
                <w:color w:val="auto"/>
                <w:lang w:val="en-US" w:eastAsia="zh-CN"/>
              </w:rPr>
              <w:t>行洪、灌溉、航运、净化水质、调节气候、维护区域生物多样性、休闲游憩等重要功能。</w:t>
            </w:r>
          </w:p>
        </w:tc>
        <w:tc>
          <w:tcPr>
            <w:tcW w:w="1672" w:type="dxa"/>
            <w:noWrap w:val="0"/>
            <w:vAlign w:val="center"/>
          </w:tcPr>
          <w:p w14:paraId="3917A9F5">
            <w:pPr>
              <w:pStyle w:val="31"/>
              <w:bidi w:val="0"/>
              <w:jc w:val="center"/>
              <w:rPr>
                <w:rFonts w:hint="default"/>
                <w:b w:val="0"/>
                <w:bCs/>
                <w:color w:val="auto"/>
                <w:lang w:val="en-US" w:eastAsia="zh-CN"/>
              </w:rPr>
            </w:pPr>
            <w:r>
              <w:rPr>
                <w:rFonts w:hint="eastAsia"/>
                <w:b w:val="0"/>
                <w:bCs/>
                <w:color w:val="auto"/>
                <w:lang w:val="en-US" w:eastAsia="zh-CN"/>
              </w:rPr>
              <w:t>湿地恢复区</w:t>
            </w:r>
          </w:p>
        </w:tc>
        <w:tc>
          <w:tcPr>
            <w:tcW w:w="1575" w:type="dxa"/>
            <w:noWrap w:val="0"/>
            <w:vAlign w:val="center"/>
          </w:tcPr>
          <w:p w14:paraId="2C66C4E0">
            <w:pPr>
              <w:pStyle w:val="31"/>
              <w:bidi w:val="0"/>
              <w:jc w:val="center"/>
              <w:rPr>
                <w:rFonts w:hint="default"/>
                <w:b w:val="0"/>
                <w:bCs/>
                <w:color w:val="auto"/>
                <w:lang w:val="en-US" w:eastAsia="zh-CN"/>
              </w:rPr>
            </w:pPr>
            <w:r>
              <w:rPr>
                <w:rFonts w:hint="eastAsia" w:cs="Times New Roman"/>
                <w:b w:val="0"/>
                <w:bCs/>
                <w:color w:val="auto"/>
                <w:sz w:val="21"/>
                <w:szCs w:val="21"/>
                <w:highlight w:val="none"/>
                <w:lang w:val="en-US" w:eastAsia="zh-CN"/>
              </w:rPr>
              <w:t>抛泥区位于</w:t>
            </w:r>
            <w:r>
              <w:rPr>
                <w:rFonts w:hint="default"/>
                <w:b w:val="0"/>
                <w:bCs/>
                <w:color w:val="auto"/>
                <w:lang w:val="en-US" w:eastAsia="zh-CN"/>
              </w:rPr>
              <w:t>安徽贵池杏花村省级湿地公园</w:t>
            </w:r>
            <w:r>
              <w:rPr>
                <w:rFonts w:hint="eastAsia"/>
                <w:b w:val="0"/>
                <w:bCs/>
                <w:color w:val="auto"/>
                <w:lang w:val="en-US" w:eastAsia="zh-CN"/>
              </w:rPr>
              <w:t>湿地恢复区</w:t>
            </w:r>
          </w:p>
        </w:tc>
      </w:tr>
      <w:tr w14:paraId="5054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1" w:type="dxa"/>
            <w:noWrap w:val="0"/>
            <w:vAlign w:val="center"/>
          </w:tcPr>
          <w:p w14:paraId="092FF582">
            <w:pPr>
              <w:pStyle w:val="31"/>
              <w:bidi w:val="0"/>
              <w:jc w:val="center"/>
              <w:rPr>
                <w:rFonts w:hint="default"/>
                <w:b w:val="0"/>
                <w:bCs/>
                <w:color w:val="auto"/>
                <w:lang w:val="en-US" w:eastAsia="zh-CN"/>
              </w:rPr>
            </w:pPr>
            <w:bookmarkStart w:id="80" w:name="_Toc9492"/>
            <w:r>
              <w:rPr>
                <w:rFonts w:hint="eastAsia"/>
                <w:b w:val="0"/>
                <w:bCs/>
                <w:color w:val="auto"/>
                <w:lang w:val="en-US" w:eastAsia="zh-CN"/>
              </w:rPr>
              <w:t>秋浦仙境省级风景名胜区（秋浦河景区）</w:t>
            </w:r>
          </w:p>
        </w:tc>
        <w:tc>
          <w:tcPr>
            <w:tcW w:w="3365" w:type="dxa"/>
            <w:noWrap w:val="0"/>
            <w:vAlign w:val="center"/>
          </w:tcPr>
          <w:p w14:paraId="2885C31B">
            <w:pPr>
              <w:pStyle w:val="31"/>
              <w:bidi w:val="0"/>
              <w:jc w:val="center"/>
              <w:rPr>
                <w:rFonts w:hint="eastAsia"/>
                <w:b w:val="0"/>
                <w:bCs/>
                <w:color w:val="auto"/>
                <w:lang w:val="en-US" w:eastAsia="zh-CN"/>
              </w:rPr>
            </w:pPr>
            <w:r>
              <w:rPr>
                <w:rFonts w:hint="eastAsia"/>
                <w:b w:val="0"/>
                <w:bCs/>
                <w:color w:val="auto"/>
                <w:lang w:val="en-US" w:eastAsia="zh-CN"/>
              </w:rPr>
              <w:t>以贵池区段秋浦河河岸线</w:t>
            </w:r>
          </w:p>
          <w:p w14:paraId="7B622B67">
            <w:pPr>
              <w:pStyle w:val="31"/>
              <w:bidi w:val="0"/>
              <w:jc w:val="center"/>
              <w:rPr>
                <w:rFonts w:hint="eastAsia"/>
                <w:b w:val="0"/>
                <w:bCs/>
                <w:color w:val="auto"/>
                <w:lang w:val="en-US" w:eastAsia="zh-CN"/>
              </w:rPr>
            </w:pPr>
            <w:r>
              <w:rPr>
                <w:rFonts w:hint="eastAsia"/>
                <w:b w:val="0"/>
                <w:bCs/>
                <w:color w:val="auto"/>
                <w:lang w:val="en-US" w:eastAsia="zh-CN"/>
              </w:rPr>
              <w:t>退让30米-200米为界</w:t>
            </w:r>
          </w:p>
        </w:tc>
        <w:tc>
          <w:tcPr>
            <w:tcW w:w="1692" w:type="dxa"/>
            <w:noWrap w:val="0"/>
            <w:vAlign w:val="center"/>
          </w:tcPr>
          <w:p w14:paraId="4B14AACD">
            <w:pPr>
              <w:pStyle w:val="31"/>
              <w:bidi w:val="0"/>
              <w:jc w:val="center"/>
              <w:rPr>
                <w:rFonts w:hint="eastAsia"/>
                <w:b w:val="0"/>
                <w:bCs/>
                <w:color w:val="auto"/>
                <w:lang w:val="en-US" w:eastAsia="zh-CN"/>
              </w:rPr>
            </w:pPr>
            <w:r>
              <w:rPr>
                <w:rFonts w:hint="eastAsia"/>
                <w:b w:val="0"/>
                <w:bCs/>
                <w:color w:val="auto"/>
                <w:lang w:val="en-US" w:eastAsia="zh-CN"/>
              </w:rPr>
              <w:t>以李白游秋浦、唐宋诗词文化及秋浦水道游览观光功能为主</w:t>
            </w:r>
          </w:p>
        </w:tc>
        <w:tc>
          <w:tcPr>
            <w:tcW w:w="1672" w:type="dxa"/>
            <w:noWrap w:val="0"/>
            <w:vAlign w:val="center"/>
          </w:tcPr>
          <w:p w14:paraId="59453C19">
            <w:pPr>
              <w:pStyle w:val="31"/>
              <w:bidi w:val="0"/>
              <w:jc w:val="center"/>
              <w:rPr>
                <w:rFonts w:hint="default"/>
                <w:b w:val="0"/>
                <w:bCs/>
                <w:color w:val="auto"/>
                <w:lang w:val="en-US" w:eastAsia="zh-CN"/>
              </w:rPr>
            </w:pPr>
            <w:r>
              <w:rPr>
                <w:rFonts w:hint="eastAsia"/>
                <w:b w:val="0"/>
                <w:bCs/>
                <w:color w:val="auto"/>
                <w:lang w:val="en-US" w:eastAsia="zh-CN"/>
              </w:rPr>
              <w:t>一般控制区</w:t>
            </w:r>
          </w:p>
        </w:tc>
        <w:tc>
          <w:tcPr>
            <w:tcW w:w="1575" w:type="dxa"/>
            <w:noWrap w:val="0"/>
            <w:vAlign w:val="center"/>
          </w:tcPr>
          <w:p w14:paraId="616FADC9">
            <w:pPr>
              <w:pStyle w:val="31"/>
              <w:bidi w:val="0"/>
              <w:rPr>
                <w:rFonts w:hint="default"/>
                <w:b w:val="0"/>
                <w:bCs/>
                <w:color w:val="auto"/>
                <w:lang w:val="en-US" w:eastAsia="zh-CN"/>
              </w:rPr>
            </w:pPr>
            <w:r>
              <w:rPr>
                <w:rFonts w:hint="eastAsia"/>
                <w:b w:val="0"/>
                <w:bCs/>
                <w:color w:val="auto"/>
                <w:lang w:val="en-US" w:eastAsia="zh-CN"/>
              </w:rPr>
              <w:t>/</w:t>
            </w:r>
          </w:p>
        </w:tc>
      </w:tr>
    </w:tbl>
    <w:p w14:paraId="360E3C47">
      <w:pPr>
        <w:pStyle w:val="31"/>
        <w:bidi w:val="0"/>
        <w:rPr>
          <w:color w:val="auto"/>
        </w:rPr>
      </w:pPr>
    </w:p>
    <w:p w14:paraId="4732D35D">
      <w:pPr>
        <w:pStyle w:val="4"/>
        <w:bidi w:val="0"/>
        <w:rPr>
          <w:color w:val="auto"/>
        </w:rPr>
      </w:pPr>
      <w:bookmarkStart w:id="81" w:name="_Toc30161"/>
      <w:r>
        <w:rPr>
          <w:color w:val="auto"/>
        </w:rPr>
        <w:t>地表水环境保护目标</w:t>
      </w:r>
      <w:bookmarkEnd w:id="80"/>
      <w:bookmarkEnd w:id="81"/>
    </w:p>
    <w:p w14:paraId="1B4B30C3">
      <w:pPr>
        <w:bidi w:val="0"/>
        <w:rPr>
          <w:rFonts w:hint="eastAsia"/>
          <w:color w:val="auto"/>
          <w:lang w:val="en-US" w:eastAsia="zh-CN"/>
        </w:rPr>
      </w:pPr>
      <w:r>
        <w:rPr>
          <w:color w:val="auto"/>
        </w:rPr>
        <w:t>本项目沿线地表水环境保护目标主要为</w:t>
      </w:r>
      <w:r>
        <w:rPr>
          <w:rFonts w:hint="eastAsia"/>
          <w:color w:val="auto"/>
          <w:lang w:val="en-US" w:eastAsia="zh-CN"/>
        </w:rPr>
        <w:t>秋浦河，</w:t>
      </w:r>
      <w:r>
        <w:rPr>
          <w:color w:val="auto"/>
        </w:rPr>
        <w:t>分布情况见</w:t>
      </w:r>
      <w:r>
        <w:rPr>
          <w:rFonts w:hint="eastAsia"/>
          <w:color w:val="auto"/>
          <w:lang w:val="en-US" w:eastAsia="zh-CN"/>
        </w:rPr>
        <w:t>下表。</w:t>
      </w:r>
    </w:p>
    <w:p w14:paraId="65999D54">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2.5</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color w:val="auto"/>
        </w:rPr>
        <w:t>本项目地表水</w:t>
      </w:r>
      <w:r>
        <w:rPr>
          <w:rFonts w:hint="eastAsia"/>
          <w:color w:val="auto"/>
        </w:rPr>
        <w:t>环境</w:t>
      </w:r>
      <w:r>
        <w:rPr>
          <w:color w:val="auto"/>
        </w:rPr>
        <w:t>保护目标</w:t>
      </w:r>
      <w:r>
        <w:rPr>
          <w:rFonts w:hint="eastAsia"/>
          <w:color w:val="auto"/>
        </w:rPr>
        <w:t>一览表</w:t>
      </w:r>
    </w:p>
    <w:tbl>
      <w:tblPr>
        <w:tblStyle w:val="24"/>
        <w:tblW w:w="51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1749"/>
        <w:gridCol w:w="2254"/>
        <w:gridCol w:w="3400"/>
      </w:tblGrid>
      <w:tr w14:paraId="56B9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1112" w:type="pct"/>
            <w:tcMar>
              <w:left w:w="0" w:type="dxa"/>
              <w:right w:w="0" w:type="dxa"/>
            </w:tcMar>
            <w:vAlign w:val="center"/>
          </w:tcPr>
          <w:p w14:paraId="28F1857E">
            <w:pPr>
              <w:pStyle w:val="31"/>
              <w:bidi w:val="0"/>
              <w:rPr>
                <w:color w:val="auto"/>
              </w:rPr>
            </w:pPr>
            <w:r>
              <w:rPr>
                <w:rFonts w:hint="eastAsia"/>
                <w:color w:val="auto"/>
              </w:rPr>
              <w:t>保护目标</w:t>
            </w:r>
          </w:p>
        </w:tc>
        <w:tc>
          <w:tcPr>
            <w:tcW w:w="918" w:type="pct"/>
            <w:vAlign w:val="center"/>
          </w:tcPr>
          <w:p w14:paraId="33593FD0">
            <w:pPr>
              <w:pStyle w:val="31"/>
              <w:bidi w:val="0"/>
              <w:rPr>
                <w:rFonts w:hint="default" w:eastAsia="宋体"/>
                <w:color w:val="auto"/>
                <w:lang w:val="en-US" w:eastAsia="zh-CN"/>
              </w:rPr>
            </w:pPr>
            <w:r>
              <w:rPr>
                <w:rFonts w:hint="eastAsia"/>
                <w:color w:val="auto"/>
                <w:lang w:val="en-US" w:eastAsia="zh-CN"/>
              </w:rPr>
              <w:t>保护内容</w:t>
            </w:r>
          </w:p>
        </w:tc>
        <w:tc>
          <w:tcPr>
            <w:tcW w:w="1183" w:type="pct"/>
            <w:vAlign w:val="center"/>
          </w:tcPr>
          <w:p w14:paraId="287471E3">
            <w:pPr>
              <w:pStyle w:val="31"/>
              <w:bidi w:val="0"/>
              <w:rPr>
                <w:rFonts w:hint="default" w:eastAsia="宋体"/>
                <w:color w:val="auto"/>
                <w:lang w:val="en-US" w:eastAsia="zh-CN"/>
              </w:rPr>
            </w:pPr>
            <w:r>
              <w:rPr>
                <w:rFonts w:hint="eastAsia"/>
                <w:color w:val="auto"/>
                <w:lang w:val="en-US" w:eastAsia="zh-CN"/>
              </w:rPr>
              <w:t>与项目位置关系</w:t>
            </w:r>
          </w:p>
        </w:tc>
        <w:tc>
          <w:tcPr>
            <w:tcW w:w="1785" w:type="pct"/>
            <w:vAlign w:val="center"/>
          </w:tcPr>
          <w:p w14:paraId="37693806">
            <w:pPr>
              <w:pStyle w:val="31"/>
              <w:bidi w:val="0"/>
              <w:rPr>
                <w:color w:val="auto"/>
              </w:rPr>
            </w:pPr>
            <w:r>
              <w:rPr>
                <w:rFonts w:hint="eastAsia"/>
                <w:color w:val="auto"/>
              </w:rPr>
              <w:t>保护要求</w:t>
            </w:r>
          </w:p>
        </w:tc>
      </w:tr>
      <w:tr w14:paraId="0A15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12" w:type="pct"/>
            <w:tcMar>
              <w:left w:w="0" w:type="dxa"/>
              <w:right w:w="0" w:type="dxa"/>
            </w:tcMar>
            <w:vAlign w:val="center"/>
          </w:tcPr>
          <w:p w14:paraId="662916A8">
            <w:pPr>
              <w:pStyle w:val="31"/>
              <w:bidi w:val="0"/>
              <w:rPr>
                <w:rFonts w:hint="default"/>
                <w:color w:val="auto"/>
                <w:lang w:val="en-US" w:eastAsia="zh-CN"/>
              </w:rPr>
            </w:pPr>
            <w:bookmarkStart w:id="82" w:name="_Toc29475"/>
            <w:r>
              <w:rPr>
                <w:rFonts w:hint="eastAsia"/>
                <w:color w:val="auto"/>
                <w:lang w:val="en-US" w:eastAsia="zh-CN"/>
              </w:rPr>
              <w:t>秋浦河</w:t>
            </w:r>
          </w:p>
        </w:tc>
        <w:tc>
          <w:tcPr>
            <w:tcW w:w="918" w:type="pct"/>
            <w:vAlign w:val="center"/>
          </w:tcPr>
          <w:p w14:paraId="47B49EBB">
            <w:pPr>
              <w:pStyle w:val="31"/>
              <w:bidi w:val="0"/>
              <w:rPr>
                <w:rFonts w:hint="default"/>
                <w:color w:val="auto"/>
                <w:lang w:val="en-US" w:eastAsia="zh-CN"/>
              </w:rPr>
            </w:pPr>
            <w:r>
              <w:rPr>
                <w:rFonts w:hint="eastAsia"/>
                <w:color w:val="auto"/>
                <w:lang w:val="en-US" w:eastAsia="zh-CN"/>
              </w:rPr>
              <w:t>水环境</w:t>
            </w:r>
          </w:p>
        </w:tc>
        <w:tc>
          <w:tcPr>
            <w:tcW w:w="1183" w:type="pct"/>
            <w:vAlign w:val="center"/>
          </w:tcPr>
          <w:p w14:paraId="18957390">
            <w:pPr>
              <w:pStyle w:val="31"/>
              <w:bidi w:val="0"/>
              <w:rPr>
                <w:rFonts w:hint="default"/>
                <w:color w:val="auto"/>
                <w:lang w:val="en-US" w:eastAsia="zh-CN"/>
              </w:rPr>
            </w:pPr>
            <w:r>
              <w:rPr>
                <w:rFonts w:hint="eastAsia"/>
                <w:color w:val="auto"/>
                <w:lang w:val="en-US" w:eastAsia="zh-CN"/>
              </w:rPr>
              <w:t>5号抛泥区北侧80m</w:t>
            </w:r>
          </w:p>
        </w:tc>
        <w:tc>
          <w:tcPr>
            <w:tcW w:w="1785" w:type="pct"/>
            <w:vAlign w:val="center"/>
          </w:tcPr>
          <w:p w14:paraId="1934BD15">
            <w:pPr>
              <w:pStyle w:val="31"/>
              <w:bidi w:val="0"/>
              <w:rPr>
                <w:rFonts w:hint="eastAsia"/>
                <w:color w:val="auto"/>
              </w:rPr>
            </w:pPr>
            <w:r>
              <w:rPr>
                <w:rFonts w:hint="eastAsia"/>
                <w:color w:val="auto"/>
              </w:rPr>
              <w:t>《地表水环境质量标准》</w:t>
            </w:r>
            <w:r>
              <w:rPr>
                <w:rFonts w:hint="eastAsia"/>
                <w:color w:val="auto"/>
                <w:lang w:eastAsia="zh-CN"/>
              </w:rPr>
              <w:t>（</w:t>
            </w:r>
            <w:r>
              <w:rPr>
                <w:rFonts w:hint="eastAsia"/>
                <w:color w:val="auto"/>
              </w:rPr>
              <w:t>GB3038-2002</w:t>
            </w:r>
            <w:r>
              <w:rPr>
                <w:rFonts w:hint="eastAsia"/>
                <w:color w:val="auto"/>
                <w:lang w:eastAsia="zh-CN"/>
              </w:rPr>
              <w:t>）</w:t>
            </w:r>
            <w:r>
              <w:rPr>
                <w:rFonts w:hint="eastAsia"/>
                <w:color w:val="auto"/>
                <w:lang w:val="en-US" w:eastAsia="zh-CN"/>
              </w:rPr>
              <w:t>Ⅱ</w:t>
            </w:r>
            <w:r>
              <w:rPr>
                <w:rFonts w:hint="eastAsia"/>
                <w:color w:val="auto"/>
              </w:rPr>
              <w:t>类标准</w:t>
            </w:r>
          </w:p>
        </w:tc>
      </w:tr>
      <w:tr w14:paraId="760E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12" w:type="pct"/>
            <w:tcMar>
              <w:left w:w="0" w:type="dxa"/>
              <w:right w:w="0" w:type="dxa"/>
            </w:tcMar>
            <w:vAlign w:val="center"/>
          </w:tcPr>
          <w:p w14:paraId="04A9C94D">
            <w:pPr>
              <w:pStyle w:val="31"/>
              <w:bidi w:val="0"/>
              <w:rPr>
                <w:rFonts w:hint="default"/>
                <w:color w:val="auto"/>
                <w:lang w:val="en-US" w:eastAsia="zh-CN"/>
              </w:rPr>
            </w:pPr>
            <w:r>
              <w:rPr>
                <w:rFonts w:hint="eastAsia"/>
                <w:color w:val="auto"/>
                <w:lang w:val="en-US" w:eastAsia="zh-CN"/>
              </w:rPr>
              <w:t>谷潭湖</w:t>
            </w:r>
          </w:p>
        </w:tc>
        <w:tc>
          <w:tcPr>
            <w:tcW w:w="918" w:type="pct"/>
            <w:vAlign w:val="center"/>
          </w:tcPr>
          <w:p w14:paraId="1CA505C2">
            <w:pPr>
              <w:pStyle w:val="31"/>
              <w:bidi w:val="0"/>
              <w:rPr>
                <w:rFonts w:hint="eastAsia"/>
                <w:color w:val="auto"/>
                <w:lang w:val="en-US" w:eastAsia="zh-CN"/>
              </w:rPr>
            </w:pPr>
            <w:r>
              <w:rPr>
                <w:rFonts w:hint="eastAsia"/>
                <w:color w:val="auto"/>
                <w:lang w:val="en-US" w:eastAsia="zh-CN"/>
              </w:rPr>
              <w:t>水环境</w:t>
            </w:r>
          </w:p>
        </w:tc>
        <w:tc>
          <w:tcPr>
            <w:tcW w:w="1183" w:type="pct"/>
            <w:vAlign w:val="center"/>
          </w:tcPr>
          <w:p w14:paraId="1A282A59">
            <w:pPr>
              <w:pStyle w:val="31"/>
              <w:bidi w:val="0"/>
              <w:rPr>
                <w:rFonts w:hint="default"/>
                <w:color w:val="auto"/>
                <w:lang w:val="en-US" w:eastAsia="zh-CN"/>
              </w:rPr>
            </w:pPr>
            <w:r>
              <w:rPr>
                <w:rFonts w:hint="eastAsia"/>
                <w:color w:val="auto"/>
                <w:lang w:val="en-US" w:eastAsia="zh-CN"/>
              </w:rPr>
              <w:t>邻近5号抛泥区南侧</w:t>
            </w:r>
          </w:p>
        </w:tc>
        <w:tc>
          <w:tcPr>
            <w:tcW w:w="1785" w:type="pct"/>
            <w:vAlign w:val="center"/>
          </w:tcPr>
          <w:p w14:paraId="6697AC42">
            <w:pPr>
              <w:pStyle w:val="31"/>
              <w:bidi w:val="0"/>
              <w:rPr>
                <w:rFonts w:hint="eastAsia"/>
                <w:color w:val="auto"/>
              </w:rPr>
            </w:pPr>
            <w:r>
              <w:rPr>
                <w:rFonts w:hint="eastAsia"/>
                <w:color w:val="auto"/>
              </w:rPr>
              <w:t>《地表水环境质量标准》</w:t>
            </w:r>
            <w:r>
              <w:rPr>
                <w:rFonts w:hint="eastAsia"/>
                <w:color w:val="auto"/>
                <w:lang w:eastAsia="zh-CN"/>
              </w:rPr>
              <w:t>（</w:t>
            </w:r>
            <w:r>
              <w:rPr>
                <w:rFonts w:hint="eastAsia"/>
                <w:color w:val="auto"/>
              </w:rPr>
              <w:t>GB3038-2002</w:t>
            </w:r>
            <w:r>
              <w:rPr>
                <w:rFonts w:hint="eastAsia"/>
                <w:color w:val="auto"/>
                <w:lang w:eastAsia="zh-CN"/>
              </w:rPr>
              <w:t>）</w:t>
            </w:r>
            <w:r>
              <w:rPr>
                <w:rFonts w:hint="eastAsia"/>
                <w:color w:val="auto"/>
                <w:lang w:val="en-US" w:eastAsia="zh-CN"/>
              </w:rPr>
              <w:t>Ⅱ</w:t>
            </w:r>
            <w:r>
              <w:rPr>
                <w:rFonts w:hint="eastAsia"/>
                <w:color w:val="auto"/>
              </w:rPr>
              <w:t>类标准</w:t>
            </w:r>
          </w:p>
        </w:tc>
      </w:tr>
    </w:tbl>
    <w:p w14:paraId="06462466">
      <w:pPr>
        <w:pStyle w:val="4"/>
        <w:bidi w:val="0"/>
        <w:rPr>
          <w:rFonts w:hint="eastAsia"/>
          <w:color w:val="auto"/>
        </w:rPr>
      </w:pPr>
      <w:bookmarkStart w:id="83" w:name="_Toc25920"/>
      <w:r>
        <w:rPr>
          <w:rFonts w:hint="eastAsia"/>
          <w:color w:val="auto"/>
          <w:lang w:val="en-US" w:eastAsia="zh-CN"/>
        </w:rPr>
        <w:t>大气和</w:t>
      </w:r>
      <w:r>
        <w:rPr>
          <w:color w:val="auto"/>
        </w:rPr>
        <w:t>声环境保护目标</w:t>
      </w:r>
      <w:bookmarkEnd w:id="82"/>
      <w:bookmarkEnd w:id="83"/>
    </w:p>
    <w:p w14:paraId="5A346D74">
      <w:pPr>
        <w:bidi w:val="0"/>
        <w:rPr>
          <w:rFonts w:hint="default"/>
          <w:color w:val="auto"/>
          <w:lang w:val="en-US" w:eastAsia="zh-CN"/>
        </w:rPr>
      </w:pPr>
      <w:r>
        <w:rPr>
          <w:rFonts w:hint="eastAsia"/>
          <w:color w:val="auto"/>
          <w:lang w:val="en-US" w:eastAsia="zh-CN"/>
        </w:rPr>
        <w:t>经现场勘查，项目200m范围内存在大气和声环境保护目标，具体见下表和下图。</w:t>
      </w:r>
    </w:p>
    <w:p w14:paraId="774C2133">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2.5</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hint="eastAsia"/>
          <w:color w:val="auto"/>
        </w:rPr>
        <w:t>项目主体工程周边</w:t>
      </w:r>
      <w:r>
        <w:rPr>
          <w:rFonts w:hint="eastAsia"/>
          <w:color w:val="auto"/>
          <w:lang w:val="en-US" w:eastAsia="zh-CN"/>
        </w:rPr>
        <w:t>声</w:t>
      </w:r>
      <w:r>
        <w:rPr>
          <w:rFonts w:hint="eastAsia"/>
          <w:color w:val="auto"/>
        </w:rPr>
        <w:t>环境</w:t>
      </w:r>
      <w:r>
        <w:rPr>
          <w:rFonts w:hint="eastAsia"/>
          <w:color w:val="auto"/>
          <w:lang w:val="en-US" w:eastAsia="zh-CN"/>
        </w:rPr>
        <w:t>及大气环境</w:t>
      </w:r>
      <w:r>
        <w:rPr>
          <w:rFonts w:hint="eastAsia"/>
          <w:color w:val="auto"/>
        </w:rPr>
        <w:t>保护目标一览表</w:t>
      </w:r>
    </w:p>
    <w:tbl>
      <w:tblPr>
        <w:tblStyle w:val="24"/>
        <w:tblW w:w="51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4"/>
        <w:gridCol w:w="379"/>
        <w:gridCol w:w="603"/>
        <w:gridCol w:w="618"/>
        <w:gridCol w:w="1037"/>
        <w:gridCol w:w="1538"/>
        <w:gridCol w:w="3466"/>
        <w:gridCol w:w="1289"/>
      </w:tblGrid>
      <w:tr w14:paraId="3281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3" w:type="pct"/>
            <w:gridSpan w:val="2"/>
            <w:vMerge w:val="restart"/>
            <w:vAlign w:val="center"/>
          </w:tcPr>
          <w:p w14:paraId="5A02CD75">
            <w:pPr>
              <w:pStyle w:val="31"/>
              <w:bidi w:val="0"/>
              <w:jc w:val="center"/>
              <w:rPr>
                <w:color w:val="auto"/>
              </w:rPr>
            </w:pPr>
            <w:r>
              <w:rPr>
                <w:color w:val="auto"/>
              </w:rPr>
              <w:t>目标名称</w:t>
            </w:r>
          </w:p>
        </w:tc>
        <w:tc>
          <w:tcPr>
            <w:tcW w:w="648" w:type="pct"/>
            <w:gridSpan w:val="2"/>
            <w:vAlign w:val="center"/>
          </w:tcPr>
          <w:p w14:paraId="11966906">
            <w:pPr>
              <w:pStyle w:val="31"/>
              <w:bidi w:val="0"/>
              <w:jc w:val="center"/>
              <w:rPr>
                <w:color w:val="auto"/>
              </w:rPr>
            </w:pPr>
            <w:r>
              <w:rPr>
                <w:color w:val="auto"/>
              </w:rPr>
              <w:t>坐标</w:t>
            </w:r>
          </w:p>
        </w:tc>
        <w:tc>
          <w:tcPr>
            <w:tcW w:w="550" w:type="pct"/>
            <w:vMerge w:val="restart"/>
            <w:vAlign w:val="center"/>
          </w:tcPr>
          <w:p w14:paraId="0F79E2CD">
            <w:pPr>
              <w:pStyle w:val="31"/>
              <w:bidi w:val="0"/>
              <w:jc w:val="center"/>
              <w:rPr>
                <w:color w:val="auto"/>
              </w:rPr>
            </w:pPr>
            <w:r>
              <w:rPr>
                <w:color w:val="auto"/>
              </w:rPr>
              <w:t>保护对象</w:t>
            </w:r>
          </w:p>
        </w:tc>
        <w:tc>
          <w:tcPr>
            <w:tcW w:w="816" w:type="pct"/>
            <w:vMerge w:val="restart"/>
            <w:vAlign w:val="center"/>
          </w:tcPr>
          <w:p w14:paraId="0B295560">
            <w:pPr>
              <w:pStyle w:val="31"/>
              <w:bidi w:val="0"/>
              <w:jc w:val="center"/>
              <w:rPr>
                <w:color w:val="auto"/>
              </w:rPr>
            </w:pPr>
            <w:r>
              <w:rPr>
                <w:color w:val="auto"/>
              </w:rPr>
              <w:t>保护内容</w:t>
            </w:r>
          </w:p>
        </w:tc>
        <w:tc>
          <w:tcPr>
            <w:tcW w:w="1839" w:type="pct"/>
            <w:vMerge w:val="restart"/>
            <w:vAlign w:val="center"/>
          </w:tcPr>
          <w:p w14:paraId="0FB9EB93">
            <w:pPr>
              <w:pStyle w:val="31"/>
              <w:bidi w:val="0"/>
              <w:jc w:val="center"/>
              <w:rPr>
                <w:color w:val="auto"/>
              </w:rPr>
            </w:pPr>
            <w:r>
              <w:rPr>
                <w:color w:val="auto"/>
              </w:rPr>
              <w:t>环境功能区</w:t>
            </w:r>
          </w:p>
        </w:tc>
        <w:tc>
          <w:tcPr>
            <w:tcW w:w="681" w:type="pct"/>
            <w:vMerge w:val="restart"/>
            <w:vAlign w:val="center"/>
          </w:tcPr>
          <w:p w14:paraId="25004E69">
            <w:pPr>
              <w:pStyle w:val="31"/>
              <w:bidi w:val="0"/>
              <w:jc w:val="center"/>
              <w:rPr>
                <w:rFonts w:hint="default" w:eastAsia="宋体"/>
                <w:color w:val="auto"/>
                <w:lang w:val="en-US" w:eastAsia="zh-CN"/>
              </w:rPr>
            </w:pPr>
            <w:r>
              <w:rPr>
                <w:rFonts w:hint="eastAsia"/>
                <w:color w:val="auto"/>
                <w:lang w:val="en-US" w:eastAsia="zh-CN"/>
              </w:rPr>
              <w:t>方位/距离</w:t>
            </w:r>
          </w:p>
        </w:tc>
      </w:tr>
      <w:tr w14:paraId="64EAA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3" w:type="pct"/>
            <w:gridSpan w:val="2"/>
            <w:vMerge w:val="continue"/>
            <w:vAlign w:val="center"/>
          </w:tcPr>
          <w:p w14:paraId="4E02E450">
            <w:pPr>
              <w:pStyle w:val="31"/>
              <w:bidi w:val="0"/>
              <w:jc w:val="center"/>
              <w:rPr>
                <w:color w:val="auto"/>
              </w:rPr>
            </w:pPr>
          </w:p>
        </w:tc>
        <w:tc>
          <w:tcPr>
            <w:tcW w:w="320" w:type="pct"/>
            <w:vAlign w:val="center"/>
          </w:tcPr>
          <w:p w14:paraId="112386EF">
            <w:pPr>
              <w:pStyle w:val="31"/>
              <w:bidi w:val="0"/>
              <w:jc w:val="center"/>
              <w:rPr>
                <w:rFonts w:hint="eastAsia" w:eastAsia="宋体"/>
                <w:color w:val="auto"/>
                <w:lang w:eastAsia="zh-CN"/>
              </w:rPr>
            </w:pPr>
            <w:r>
              <w:rPr>
                <w:rFonts w:hint="eastAsia"/>
                <w:color w:val="auto"/>
                <w:lang w:val="en-US" w:eastAsia="zh-CN"/>
              </w:rPr>
              <w:t>X</w:t>
            </w:r>
          </w:p>
        </w:tc>
        <w:tc>
          <w:tcPr>
            <w:tcW w:w="328" w:type="pct"/>
            <w:vAlign w:val="center"/>
          </w:tcPr>
          <w:p w14:paraId="668B7D8E">
            <w:pPr>
              <w:pStyle w:val="31"/>
              <w:bidi w:val="0"/>
              <w:jc w:val="center"/>
              <w:rPr>
                <w:rFonts w:hint="eastAsia" w:eastAsia="宋体"/>
                <w:color w:val="auto"/>
                <w:lang w:eastAsia="zh-CN"/>
              </w:rPr>
            </w:pPr>
            <w:r>
              <w:rPr>
                <w:rFonts w:hint="eastAsia"/>
                <w:color w:val="auto"/>
                <w:lang w:val="en-US" w:eastAsia="zh-CN"/>
              </w:rPr>
              <w:t>Y</w:t>
            </w:r>
          </w:p>
        </w:tc>
        <w:tc>
          <w:tcPr>
            <w:tcW w:w="550" w:type="pct"/>
            <w:vMerge w:val="continue"/>
            <w:vAlign w:val="center"/>
          </w:tcPr>
          <w:p w14:paraId="6F16B07B">
            <w:pPr>
              <w:pStyle w:val="31"/>
              <w:bidi w:val="0"/>
              <w:jc w:val="center"/>
              <w:rPr>
                <w:color w:val="auto"/>
              </w:rPr>
            </w:pPr>
          </w:p>
        </w:tc>
        <w:tc>
          <w:tcPr>
            <w:tcW w:w="816" w:type="pct"/>
            <w:vMerge w:val="continue"/>
            <w:vAlign w:val="center"/>
          </w:tcPr>
          <w:p w14:paraId="2E004ACE">
            <w:pPr>
              <w:pStyle w:val="31"/>
              <w:bidi w:val="0"/>
              <w:jc w:val="center"/>
              <w:rPr>
                <w:color w:val="auto"/>
              </w:rPr>
            </w:pPr>
          </w:p>
        </w:tc>
        <w:tc>
          <w:tcPr>
            <w:tcW w:w="1839" w:type="pct"/>
            <w:vMerge w:val="continue"/>
            <w:vAlign w:val="center"/>
          </w:tcPr>
          <w:p w14:paraId="6E266D72">
            <w:pPr>
              <w:pStyle w:val="31"/>
              <w:bidi w:val="0"/>
              <w:jc w:val="center"/>
              <w:rPr>
                <w:color w:val="auto"/>
              </w:rPr>
            </w:pPr>
          </w:p>
        </w:tc>
        <w:tc>
          <w:tcPr>
            <w:tcW w:w="681" w:type="pct"/>
            <w:vMerge w:val="continue"/>
            <w:vAlign w:val="center"/>
          </w:tcPr>
          <w:p w14:paraId="3082C3D0">
            <w:pPr>
              <w:pStyle w:val="31"/>
              <w:bidi w:val="0"/>
              <w:jc w:val="center"/>
              <w:rPr>
                <w:color w:val="auto"/>
              </w:rPr>
            </w:pPr>
          </w:p>
        </w:tc>
      </w:tr>
      <w:tr w14:paraId="636A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62" w:type="pct"/>
            <w:vMerge w:val="restart"/>
            <w:vAlign w:val="center"/>
          </w:tcPr>
          <w:p w14:paraId="2ECA558C">
            <w:pPr>
              <w:pStyle w:val="31"/>
              <w:bidi w:val="0"/>
              <w:jc w:val="center"/>
              <w:rPr>
                <w:rFonts w:hint="default" w:eastAsia="宋体"/>
                <w:color w:val="auto"/>
                <w:lang w:val="en-US" w:eastAsia="zh-CN"/>
              </w:rPr>
            </w:pPr>
            <w:r>
              <w:rPr>
                <w:rFonts w:hint="eastAsia"/>
                <w:color w:val="auto"/>
                <w:lang w:val="en-US" w:eastAsia="zh-CN"/>
              </w:rPr>
              <w:t>2号弃土区</w:t>
            </w:r>
          </w:p>
        </w:tc>
        <w:tc>
          <w:tcPr>
            <w:tcW w:w="200" w:type="pct"/>
            <w:shd w:val="clear"/>
            <w:vAlign w:val="center"/>
          </w:tcPr>
          <w:p w14:paraId="480F815A">
            <w:pPr>
              <w:pStyle w:val="31"/>
              <w:bidi w:val="0"/>
              <w:ind w:firstLine="0" w:firstLineChars="0"/>
              <w:jc w:val="center"/>
              <w:rPr>
                <w:rFonts w:hint="eastAsia" w:ascii="Times New Roman" w:hAnsi="Times New Roman" w:eastAsia="宋体" w:cs="Times New Roman"/>
                <w:bCs/>
                <w:color w:val="auto"/>
                <w:sz w:val="21"/>
                <w:szCs w:val="21"/>
                <w:lang w:val="en-US" w:eastAsia="zh-CN"/>
              </w:rPr>
            </w:pPr>
            <w:r>
              <w:rPr>
                <w:rFonts w:hint="eastAsia"/>
                <w:color w:val="auto"/>
                <w:lang w:val="en-US" w:eastAsia="zh-CN"/>
              </w:rPr>
              <w:t>芦冲</w:t>
            </w:r>
          </w:p>
        </w:tc>
        <w:tc>
          <w:tcPr>
            <w:tcW w:w="320" w:type="pct"/>
            <w:vAlign w:val="center"/>
          </w:tcPr>
          <w:p w14:paraId="511515ED">
            <w:pPr>
              <w:pStyle w:val="31"/>
              <w:bidi w:val="0"/>
              <w:jc w:val="center"/>
              <w:rPr>
                <w:rFonts w:hint="default" w:eastAsia="宋体"/>
                <w:color w:val="auto"/>
                <w:lang w:val="en-US" w:eastAsia="zh-CN"/>
              </w:rPr>
            </w:pPr>
            <w:r>
              <w:rPr>
                <w:rFonts w:hint="eastAsia"/>
                <w:color w:val="auto"/>
                <w:lang w:val="en-US" w:eastAsia="zh-CN"/>
              </w:rPr>
              <w:t>-70</w:t>
            </w:r>
          </w:p>
        </w:tc>
        <w:tc>
          <w:tcPr>
            <w:tcW w:w="328" w:type="pct"/>
            <w:vAlign w:val="center"/>
          </w:tcPr>
          <w:p w14:paraId="381D7038">
            <w:pPr>
              <w:pStyle w:val="31"/>
              <w:bidi w:val="0"/>
              <w:jc w:val="center"/>
              <w:rPr>
                <w:rFonts w:hint="default" w:eastAsia="宋体"/>
                <w:color w:val="auto"/>
                <w:lang w:val="en-US" w:eastAsia="zh-CN"/>
              </w:rPr>
            </w:pPr>
            <w:r>
              <w:rPr>
                <w:rFonts w:hint="eastAsia"/>
                <w:color w:val="auto"/>
                <w:lang w:val="en-US" w:eastAsia="zh-CN"/>
              </w:rPr>
              <w:t>90</w:t>
            </w:r>
          </w:p>
        </w:tc>
        <w:tc>
          <w:tcPr>
            <w:tcW w:w="550" w:type="pct"/>
            <w:vAlign w:val="center"/>
          </w:tcPr>
          <w:p w14:paraId="6227471F">
            <w:pPr>
              <w:pStyle w:val="31"/>
              <w:bidi w:val="0"/>
              <w:jc w:val="center"/>
              <w:rPr>
                <w:rFonts w:hint="default" w:eastAsia="宋体"/>
                <w:color w:val="auto"/>
                <w:lang w:val="en-US" w:eastAsia="zh-CN"/>
              </w:rPr>
            </w:pPr>
            <w:r>
              <w:rPr>
                <w:rFonts w:hint="eastAsia"/>
                <w:color w:val="auto"/>
                <w:lang w:val="en-US" w:eastAsia="zh-CN"/>
              </w:rPr>
              <w:t>居民</w:t>
            </w:r>
          </w:p>
        </w:tc>
        <w:tc>
          <w:tcPr>
            <w:tcW w:w="816" w:type="pct"/>
            <w:vAlign w:val="center"/>
          </w:tcPr>
          <w:p w14:paraId="10A5B002">
            <w:pPr>
              <w:pStyle w:val="31"/>
              <w:bidi w:val="0"/>
              <w:jc w:val="center"/>
              <w:rPr>
                <w:rFonts w:hint="default" w:eastAsia="宋体"/>
                <w:color w:val="auto"/>
                <w:lang w:val="en-US" w:eastAsia="zh-CN"/>
              </w:rPr>
            </w:pPr>
            <w:r>
              <w:rPr>
                <w:rFonts w:hint="eastAsia"/>
                <w:color w:val="auto"/>
                <w:lang w:val="en-US" w:eastAsia="zh-CN"/>
              </w:rPr>
              <w:t>40户/160人</w:t>
            </w:r>
          </w:p>
        </w:tc>
        <w:tc>
          <w:tcPr>
            <w:tcW w:w="1839" w:type="pct"/>
            <w:vMerge w:val="restart"/>
            <w:vAlign w:val="center"/>
          </w:tcPr>
          <w:p w14:paraId="16EA5B25">
            <w:pPr>
              <w:pStyle w:val="31"/>
              <w:bidi w:val="0"/>
              <w:jc w:val="center"/>
              <w:rPr>
                <w:rFonts w:hint="eastAsia" w:ascii="Times New Roman" w:hAnsi="Times New Roman" w:eastAsia="宋体" w:cs="Times New Roman"/>
                <w:bCs/>
                <w:color w:val="auto"/>
                <w:sz w:val="21"/>
                <w:szCs w:val="21"/>
                <w:lang w:val="en-US" w:eastAsia="zh-CN"/>
              </w:rPr>
            </w:pPr>
            <w:r>
              <w:rPr>
                <w:color w:val="auto"/>
              </w:rPr>
              <w:t>《环境空气质量标准》（GB3095-2012）二类区；《声环境质量标准》</w:t>
            </w:r>
            <w:r>
              <w:rPr>
                <w:rFonts w:hint="eastAsia"/>
                <w:color w:val="auto"/>
                <w:lang w:eastAsia="zh-CN"/>
              </w:rPr>
              <w:t>（</w:t>
            </w:r>
            <w:r>
              <w:rPr>
                <w:color w:val="auto"/>
              </w:rPr>
              <w:t>GB3096-2008</w:t>
            </w:r>
            <w:r>
              <w:rPr>
                <w:rFonts w:hint="eastAsia"/>
                <w:color w:val="auto"/>
                <w:lang w:eastAsia="zh-CN"/>
              </w:rPr>
              <w:t>）</w:t>
            </w:r>
            <w:r>
              <w:rPr>
                <w:rFonts w:hint="eastAsia"/>
                <w:color w:val="auto"/>
                <w:lang w:val="en-US" w:eastAsia="zh-CN"/>
              </w:rPr>
              <w:t>2</w:t>
            </w:r>
            <w:r>
              <w:rPr>
                <w:color w:val="auto"/>
              </w:rPr>
              <w:t>类</w:t>
            </w:r>
          </w:p>
        </w:tc>
        <w:tc>
          <w:tcPr>
            <w:tcW w:w="681" w:type="pct"/>
            <w:vAlign w:val="center"/>
          </w:tcPr>
          <w:p w14:paraId="7C214248">
            <w:pPr>
              <w:pStyle w:val="31"/>
              <w:bidi w:val="0"/>
              <w:jc w:val="center"/>
              <w:rPr>
                <w:rFonts w:hint="default"/>
                <w:color w:val="auto"/>
                <w:lang w:val="en-US" w:eastAsia="zh-CN"/>
              </w:rPr>
            </w:pPr>
            <w:r>
              <w:rPr>
                <w:rFonts w:hint="eastAsia"/>
                <w:color w:val="auto"/>
                <w:lang w:val="en-US" w:eastAsia="zh-CN"/>
              </w:rPr>
              <w:t>W/119m</w:t>
            </w:r>
          </w:p>
        </w:tc>
      </w:tr>
      <w:tr w14:paraId="207F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62" w:type="pct"/>
            <w:vMerge w:val="continue"/>
            <w:tcBorders/>
            <w:vAlign w:val="center"/>
          </w:tcPr>
          <w:p w14:paraId="15AE49B8">
            <w:pPr>
              <w:pStyle w:val="31"/>
              <w:bidi w:val="0"/>
              <w:jc w:val="center"/>
              <w:rPr>
                <w:rFonts w:hint="default"/>
                <w:color w:val="auto"/>
                <w:lang w:val="en-US" w:eastAsia="zh-CN"/>
              </w:rPr>
            </w:pPr>
          </w:p>
        </w:tc>
        <w:tc>
          <w:tcPr>
            <w:tcW w:w="200" w:type="pct"/>
            <w:shd w:val="clear"/>
            <w:vAlign w:val="center"/>
          </w:tcPr>
          <w:p w14:paraId="624A298C">
            <w:pPr>
              <w:pStyle w:val="31"/>
              <w:bidi w:val="0"/>
              <w:ind w:firstLine="0" w:firstLineChars="0"/>
              <w:jc w:val="center"/>
              <w:rPr>
                <w:rFonts w:hint="eastAsia" w:ascii="Times New Roman" w:hAnsi="Times New Roman" w:eastAsia="宋体" w:cs="Times New Roman"/>
                <w:bCs/>
                <w:color w:val="auto"/>
                <w:sz w:val="21"/>
                <w:szCs w:val="21"/>
                <w:lang w:val="en-US" w:eastAsia="zh-CN"/>
              </w:rPr>
            </w:pPr>
            <w:r>
              <w:rPr>
                <w:rFonts w:hint="eastAsia"/>
                <w:color w:val="auto"/>
                <w:lang w:val="en-US" w:eastAsia="zh-CN"/>
              </w:rPr>
              <w:t>杨冲</w:t>
            </w:r>
          </w:p>
        </w:tc>
        <w:tc>
          <w:tcPr>
            <w:tcW w:w="320" w:type="pct"/>
            <w:vAlign w:val="center"/>
          </w:tcPr>
          <w:p w14:paraId="1A5038ED">
            <w:pPr>
              <w:pStyle w:val="31"/>
              <w:bidi w:val="0"/>
              <w:jc w:val="center"/>
              <w:rPr>
                <w:rFonts w:hint="default"/>
                <w:color w:val="auto"/>
                <w:lang w:val="en-US" w:eastAsia="zh-CN"/>
              </w:rPr>
            </w:pPr>
            <w:r>
              <w:rPr>
                <w:rFonts w:hint="eastAsia"/>
                <w:color w:val="auto"/>
                <w:lang w:val="en-US" w:eastAsia="zh-CN"/>
              </w:rPr>
              <w:t>80</w:t>
            </w:r>
          </w:p>
        </w:tc>
        <w:tc>
          <w:tcPr>
            <w:tcW w:w="328" w:type="pct"/>
            <w:vAlign w:val="center"/>
          </w:tcPr>
          <w:p w14:paraId="43A19862">
            <w:pPr>
              <w:pStyle w:val="31"/>
              <w:bidi w:val="0"/>
              <w:jc w:val="center"/>
              <w:rPr>
                <w:rFonts w:hint="default"/>
                <w:color w:val="auto"/>
                <w:lang w:val="en-US" w:eastAsia="zh-CN"/>
              </w:rPr>
            </w:pPr>
            <w:r>
              <w:rPr>
                <w:rFonts w:hint="eastAsia"/>
                <w:color w:val="auto"/>
                <w:lang w:val="en-US" w:eastAsia="zh-CN"/>
              </w:rPr>
              <w:t>150</w:t>
            </w:r>
          </w:p>
        </w:tc>
        <w:tc>
          <w:tcPr>
            <w:tcW w:w="550" w:type="pct"/>
            <w:shd w:val="clear"/>
            <w:vAlign w:val="center"/>
          </w:tcPr>
          <w:p w14:paraId="1A9B4048">
            <w:pPr>
              <w:pStyle w:val="31"/>
              <w:bidi w:val="0"/>
              <w:ind w:firstLine="0" w:firstLineChars="0"/>
              <w:jc w:val="center"/>
              <w:rPr>
                <w:rFonts w:hint="eastAsia" w:ascii="Times New Roman" w:hAnsi="Times New Roman" w:eastAsia="宋体" w:cs="Times New Roman"/>
                <w:bCs/>
                <w:color w:val="auto"/>
                <w:sz w:val="21"/>
                <w:szCs w:val="21"/>
                <w:lang w:val="en-US" w:eastAsia="zh-CN"/>
              </w:rPr>
            </w:pPr>
            <w:r>
              <w:rPr>
                <w:rFonts w:hint="eastAsia"/>
                <w:color w:val="auto"/>
                <w:lang w:val="en-US" w:eastAsia="zh-CN"/>
              </w:rPr>
              <w:t>居民</w:t>
            </w:r>
          </w:p>
        </w:tc>
        <w:tc>
          <w:tcPr>
            <w:tcW w:w="816" w:type="pct"/>
            <w:shd w:val="clear"/>
            <w:vAlign w:val="center"/>
          </w:tcPr>
          <w:p w14:paraId="28B0481C">
            <w:pPr>
              <w:pStyle w:val="31"/>
              <w:bidi w:val="0"/>
              <w:ind w:firstLine="0" w:firstLineChars="0"/>
              <w:jc w:val="center"/>
              <w:rPr>
                <w:rFonts w:hint="eastAsia" w:ascii="Times New Roman" w:hAnsi="Times New Roman" w:eastAsia="宋体" w:cs="Times New Roman"/>
                <w:bCs/>
                <w:color w:val="auto"/>
                <w:sz w:val="21"/>
                <w:szCs w:val="21"/>
                <w:lang w:val="en-US" w:eastAsia="zh-CN"/>
              </w:rPr>
            </w:pPr>
            <w:r>
              <w:rPr>
                <w:rFonts w:hint="eastAsia"/>
                <w:color w:val="auto"/>
                <w:lang w:val="en-US" w:eastAsia="zh-CN"/>
              </w:rPr>
              <w:t>45户158人</w:t>
            </w:r>
          </w:p>
        </w:tc>
        <w:tc>
          <w:tcPr>
            <w:tcW w:w="1839" w:type="pct"/>
            <w:vMerge w:val="continue"/>
            <w:tcBorders/>
            <w:vAlign w:val="center"/>
          </w:tcPr>
          <w:p w14:paraId="0D6C8DA7">
            <w:pPr>
              <w:pStyle w:val="31"/>
              <w:bidi w:val="0"/>
              <w:jc w:val="center"/>
              <w:rPr>
                <w:color w:val="auto"/>
              </w:rPr>
            </w:pPr>
          </w:p>
        </w:tc>
        <w:tc>
          <w:tcPr>
            <w:tcW w:w="681" w:type="pct"/>
            <w:vAlign w:val="center"/>
          </w:tcPr>
          <w:p w14:paraId="34578939">
            <w:pPr>
              <w:pStyle w:val="31"/>
              <w:bidi w:val="0"/>
              <w:jc w:val="center"/>
              <w:rPr>
                <w:rFonts w:hint="eastAsia"/>
                <w:color w:val="auto"/>
                <w:lang w:val="en-US" w:eastAsia="zh-CN"/>
              </w:rPr>
            </w:pPr>
            <w:r>
              <w:rPr>
                <w:rFonts w:hint="eastAsia"/>
                <w:color w:val="auto"/>
                <w:lang w:val="en-US" w:eastAsia="zh-CN"/>
              </w:rPr>
              <w:t>N/158m</w:t>
            </w:r>
          </w:p>
        </w:tc>
      </w:tr>
      <w:tr w14:paraId="7DC56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62" w:type="pct"/>
            <w:tcBorders/>
            <w:vAlign w:val="center"/>
          </w:tcPr>
          <w:p w14:paraId="42F51194">
            <w:pPr>
              <w:pStyle w:val="31"/>
              <w:bidi w:val="0"/>
              <w:jc w:val="center"/>
              <w:rPr>
                <w:rFonts w:hint="default"/>
                <w:color w:val="auto"/>
                <w:lang w:val="en-US" w:eastAsia="zh-CN"/>
              </w:rPr>
            </w:pPr>
            <w:r>
              <w:rPr>
                <w:rFonts w:hint="eastAsia"/>
                <w:color w:val="auto"/>
                <w:lang w:val="en-US" w:eastAsia="zh-CN"/>
              </w:rPr>
              <w:t>临时道路</w:t>
            </w:r>
          </w:p>
        </w:tc>
        <w:tc>
          <w:tcPr>
            <w:tcW w:w="200" w:type="pct"/>
            <w:shd w:val="clear"/>
            <w:vAlign w:val="center"/>
          </w:tcPr>
          <w:p w14:paraId="323B30C3">
            <w:pPr>
              <w:pStyle w:val="31"/>
              <w:bidi w:val="0"/>
              <w:ind w:firstLine="0" w:firstLineChars="0"/>
              <w:jc w:val="center"/>
              <w:rPr>
                <w:rFonts w:hint="default"/>
                <w:color w:val="auto"/>
                <w:lang w:val="en-US" w:eastAsia="zh-CN"/>
              </w:rPr>
            </w:pPr>
            <w:r>
              <w:rPr>
                <w:rFonts w:hint="eastAsia"/>
                <w:color w:val="auto"/>
                <w:lang w:val="en-US" w:eastAsia="zh-CN"/>
              </w:rPr>
              <w:t>老屋王</w:t>
            </w:r>
          </w:p>
        </w:tc>
        <w:tc>
          <w:tcPr>
            <w:tcW w:w="320" w:type="pct"/>
            <w:vAlign w:val="center"/>
          </w:tcPr>
          <w:p w14:paraId="195C6C12">
            <w:pPr>
              <w:pStyle w:val="31"/>
              <w:bidi w:val="0"/>
              <w:jc w:val="center"/>
              <w:rPr>
                <w:rFonts w:hint="default"/>
                <w:color w:val="auto"/>
                <w:lang w:val="en-US" w:eastAsia="zh-CN"/>
              </w:rPr>
            </w:pPr>
            <w:r>
              <w:rPr>
                <w:rFonts w:hint="eastAsia"/>
                <w:color w:val="auto"/>
                <w:lang w:val="en-US" w:eastAsia="zh-CN"/>
              </w:rPr>
              <w:t>-4000</w:t>
            </w:r>
          </w:p>
        </w:tc>
        <w:tc>
          <w:tcPr>
            <w:tcW w:w="328" w:type="pct"/>
            <w:vAlign w:val="center"/>
          </w:tcPr>
          <w:p w14:paraId="651DF713">
            <w:pPr>
              <w:pStyle w:val="31"/>
              <w:bidi w:val="0"/>
              <w:jc w:val="center"/>
              <w:rPr>
                <w:rFonts w:hint="default"/>
                <w:color w:val="auto"/>
                <w:lang w:val="en-US" w:eastAsia="zh-CN"/>
              </w:rPr>
            </w:pPr>
            <w:r>
              <w:rPr>
                <w:rFonts w:hint="eastAsia"/>
                <w:color w:val="auto"/>
                <w:lang w:val="en-US" w:eastAsia="zh-CN"/>
              </w:rPr>
              <w:t>5400</w:t>
            </w:r>
          </w:p>
        </w:tc>
        <w:tc>
          <w:tcPr>
            <w:tcW w:w="550" w:type="pct"/>
            <w:shd w:val="clear" w:color="auto" w:fill="auto"/>
            <w:vAlign w:val="center"/>
          </w:tcPr>
          <w:p w14:paraId="5446B673">
            <w:pPr>
              <w:pStyle w:val="31"/>
              <w:bidi w:val="0"/>
              <w:ind w:firstLine="0" w:firstLineChars="0"/>
              <w:jc w:val="center"/>
              <w:rPr>
                <w:rFonts w:hint="eastAsia" w:ascii="Times New Roman" w:hAnsi="Times New Roman" w:eastAsia="宋体" w:cs="Times New Roman"/>
                <w:bCs/>
                <w:color w:val="auto"/>
                <w:sz w:val="21"/>
                <w:szCs w:val="21"/>
                <w:lang w:val="en-US" w:eastAsia="zh-CN"/>
              </w:rPr>
            </w:pPr>
            <w:r>
              <w:rPr>
                <w:rFonts w:hint="eastAsia"/>
                <w:color w:val="auto"/>
                <w:lang w:val="en-US" w:eastAsia="zh-CN"/>
              </w:rPr>
              <w:t>居民</w:t>
            </w:r>
          </w:p>
        </w:tc>
        <w:tc>
          <w:tcPr>
            <w:tcW w:w="816" w:type="pct"/>
            <w:shd w:val="clear" w:color="auto" w:fill="auto"/>
            <w:vAlign w:val="center"/>
          </w:tcPr>
          <w:p w14:paraId="17F63077">
            <w:pPr>
              <w:pStyle w:val="31"/>
              <w:bidi w:val="0"/>
              <w:ind w:firstLine="0" w:firstLineChars="0"/>
              <w:jc w:val="center"/>
              <w:rPr>
                <w:rFonts w:hint="eastAsia" w:ascii="Times New Roman" w:hAnsi="Times New Roman" w:eastAsia="宋体" w:cs="Times New Roman"/>
                <w:bCs/>
                <w:color w:val="auto"/>
                <w:sz w:val="21"/>
                <w:szCs w:val="21"/>
                <w:lang w:val="en-US" w:eastAsia="zh-CN"/>
              </w:rPr>
            </w:pPr>
            <w:r>
              <w:rPr>
                <w:rFonts w:hint="eastAsia"/>
                <w:color w:val="auto"/>
                <w:lang w:val="en-US" w:eastAsia="zh-CN"/>
              </w:rPr>
              <w:t>20户70人</w:t>
            </w:r>
          </w:p>
        </w:tc>
        <w:tc>
          <w:tcPr>
            <w:tcW w:w="1839" w:type="pct"/>
            <w:vMerge w:val="continue"/>
            <w:tcBorders/>
            <w:vAlign w:val="center"/>
          </w:tcPr>
          <w:p w14:paraId="78047D16">
            <w:pPr>
              <w:pStyle w:val="31"/>
              <w:bidi w:val="0"/>
              <w:jc w:val="center"/>
              <w:rPr>
                <w:color w:val="auto"/>
              </w:rPr>
            </w:pPr>
          </w:p>
        </w:tc>
        <w:tc>
          <w:tcPr>
            <w:tcW w:w="681" w:type="pct"/>
            <w:vAlign w:val="center"/>
          </w:tcPr>
          <w:p w14:paraId="30758EB5">
            <w:pPr>
              <w:pStyle w:val="31"/>
              <w:bidi w:val="0"/>
              <w:jc w:val="center"/>
              <w:rPr>
                <w:rFonts w:hint="eastAsia"/>
                <w:color w:val="auto"/>
                <w:lang w:val="en-US" w:eastAsia="zh-CN"/>
              </w:rPr>
            </w:pPr>
            <w:r>
              <w:rPr>
                <w:rFonts w:hint="eastAsia"/>
                <w:color w:val="auto"/>
                <w:lang w:val="en-US" w:eastAsia="zh-CN"/>
              </w:rPr>
              <w:t>S/152m</w:t>
            </w:r>
          </w:p>
        </w:tc>
      </w:tr>
      <w:tr w14:paraId="7198A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000" w:type="pct"/>
            <w:gridSpan w:val="8"/>
            <w:vAlign w:val="center"/>
          </w:tcPr>
          <w:p w14:paraId="7B0A54C4">
            <w:pPr>
              <w:pStyle w:val="31"/>
              <w:bidi w:val="0"/>
              <w:jc w:val="both"/>
              <w:rPr>
                <w:rFonts w:hint="default"/>
                <w:color w:val="auto"/>
                <w:lang w:val="en-US" w:eastAsia="zh-CN"/>
              </w:rPr>
            </w:pPr>
            <w:r>
              <w:rPr>
                <w:rFonts w:hint="eastAsia"/>
                <w:color w:val="auto"/>
                <w:lang w:val="en-US" w:eastAsia="zh-CN"/>
              </w:rPr>
              <w:t>注：坐标原点为2号弃土区西南侧角点，正北方向为y轴正方向，正东方向为x轴正方向。</w:t>
            </w:r>
          </w:p>
        </w:tc>
      </w:tr>
    </w:tbl>
    <w:p w14:paraId="6F90F89A">
      <w:pPr>
        <w:bidi w:val="0"/>
        <w:rPr>
          <w:color w:val="auto"/>
        </w:rPr>
        <w:sectPr>
          <w:pgSz w:w="11906" w:h="16838"/>
          <w:pgMar w:top="1400" w:right="1287" w:bottom="1440" w:left="1440" w:header="935" w:footer="992" w:gutter="0"/>
          <w:pgBorders>
            <w:top w:val="none" w:sz="0" w:space="0"/>
            <w:left w:val="none" w:sz="0" w:space="0"/>
            <w:bottom w:val="none" w:sz="0" w:space="0"/>
            <w:right w:val="none" w:sz="0" w:space="0"/>
          </w:pgBorders>
          <w:pgNumType w:fmt="upperRoman"/>
          <w:cols w:space="720" w:num="1"/>
          <w:docGrid w:linePitch="312" w:charSpace="0"/>
        </w:sectPr>
      </w:pPr>
    </w:p>
    <w:p w14:paraId="673F1AE6">
      <w:pPr>
        <w:pStyle w:val="2"/>
        <w:bidi w:val="0"/>
        <w:rPr>
          <w:rFonts w:hint="eastAsia"/>
          <w:color w:val="auto"/>
          <w:lang w:val="zh-CN" w:eastAsia="zh-CN"/>
        </w:rPr>
      </w:pPr>
      <w:bookmarkStart w:id="84" w:name="_Toc19268"/>
      <w:r>
        <w:rPr>
          <w:rFonts w:hint="eastAsia"/>
          <w:color w:val="auto"/>
        </w:rPr>
        <w:t>项目概况及工程分析</w:t>
      </w:r>
      <w:bookmarkEnd w:id="84"/>
    </w:p>
    <w:p w14:paraId="15407694">
      <w:pPr>
        <w:pStyle w:val="3"/>
        <w:bidi w:val="0"/>
        <w:ind w:left="480" w:leftChars="0" w:firstLineChars="0"/>
        <w:rPr>
          <w:rFonts w:hint="eastAsia"/>
          <w:color w:val="auto"/>
          <w:lang w:val="zh-CN" w:eastAsia="zh-CN"/>
        </w:rPr>
      </w:pPr>
      <w:bookmarkStart w:id="85" w:name="_Toc26161"/>
      <w:r>
        <w:rPr>
          <w:rFonts w:hint="eastAsia"/>
          <w:color w:val="auto"/>
          <w:lang w:val="en-US" w:eastAsia="zh-CN"/>
        </w:rPr>
        <w:t>项目</w:t>
      </w:r>
      <w:r>
        <w:rPr>
          <w:rFonts w:hint="eastAsia"/>
          <w:color w:val="auto"/>
          <w:lang w:val="zh-CN" w:eastAsia="zh-CN"/>
        </w:rPr>
        <w:t>概况</w:t>
      </w:r>
      <w:bookmarkEnd w:id="85"/>
    </w:p>
    <w:p w14:paraId="21513007">
      <w:pPr>
        <w:pStyle w:val="4"/>
        <w:bidi w:val="0"/>
        <w:rPr>
          <w:rFonts w:hint="eastAsia"/>
          <w:color w:val="auto"/>
          <w:lang w:val="zh-CN" w:eastAsia="zh-CN"/>
        </w:rPr>
      </w:pPr>
      <w:bookmarkStart w:id="86" w:name="_Toc12457"/>
      <w:r>
        <w:rPr>
          <w:rFonts w:hint="eastAsia"/>
          <w:color w:val="auto"/>
          <w:lang w:val="zh-CN" w:eastAsia="zh-CN"/>
        </w:rPr>
        <w:t>项目基本情况</w:t>
      </w:r>
      <w:bookmarkEnd w:id="86"/>
    </w:p>
    <w:p w14:paraId="08AA4D98">
      <w:pPr>
        <w:rPr>
          <w:rFonts w:hint="eastAsia"/>
          <w:color w:val="auto"/>
          <w:lang w:val="zh-CN" w:eastAsia="zh-CN"/>
        </w:rPr>
      </w:pPr>
      <w:r>
        <w:rPr>
          <w:rFonts w:hint="eastAsia"/>
          <w:color w:val="auto"/>
          <w:lang w:val="zh-CN" w:eastAsia="zh-CN"/>
        </w:rPr>
        <w:t>项目名称：</w:t>
      </w:r>
      <w:r>
        <w:rPr>
          <w:rFonts w:hint="eastAsia"/>
          <w:color w:val="auto"/>
          <w:lang w:val="en-US" w:eastAsia="zh-CN"/>
        </w:rPr>
        <w:t>秋浦河航道整治工程5号、6号抛泥区抛泥清除恢复项目</w:t>
      </w:r>
      <w:r>
        <w:rPr>
          <w:rFonts w:hint="eastAsia"/>
          <w:color w:val="auto"/>
          <w:lang w:val="zh-CN" w:eastAsia="zh-CN"/>
        </w:rPr>
        <w:t>；</w:t>
      </w:r>
    </w:p>
    <w:p w14:paraId="393B26A4">
      <w:pPr>
        <w:rPr>
          <w:rFonts w:hint="eastAsia"/>
          <w:color w:val="auto"/>
          <w:lang w:val="zh-CN" w:eastAsia="zh-CN"/>
        </w:rPr>
      </w:pPr>
      <w:r>
        <w:rPr>
          <w:rFonts w:hint="eastAsia"/>
          <w:color w:val="auto"/>
          <w:lang w:val="zh-CN" w:eastAsia="zh-CN"/>
        </w:rPr>
        <w:t>建设单位：池州市贵池区交通运输局；</w:t>
      </w:r>
    </w:p>
    <w:p w14:paraId="152F84E3">
      <w:pPr>
        <w:rPr>
          <w:rFonts w:hint="eastAsia"/>
          <w:color w:val="auto"/>
          <w:lang w:val="zh-CN" w:eastAsia="zh-CN"/>
        </w:rPr>
      </w:pPr>
      <w:r>
        <w:rPr>
          <w:rFonts w:hint="eastAsia"/>
          <w:color w:val="auto"/>
          <w:lang w:val="zh-CN" w:eastAsia="zh-CN"/>
        </w:rPr>
        <w:t>项目性质：新建；</w:t>
      </w:r>
    </w:p>
    <w:p w14:paraId="5C5B3D13">
      <w:pPr>
        <w:rPr>
          <w:rFonts w:hint="default"/>
          <w:color w:val="auto"/>
          <w:lang w:val="en-US" w:eastAsia="zh-CN"/>
        </w:rPr>
      </w:pPr>
      <w:r>
        <w:rPr>
          <w:rFonts w:hint="eastAsia"/>
          <w:color w:val="auto"/>
          <w:lang w:val="en-US" w:eastAsia="zh-CN"/>
        </w:rPr>
        <w:t>建设项目环境影响评价行业类别：</w:t>
      </w:r>
      <w:bookmarkStart w:id="87" w:name="OLE_LINK1"/>
      <w:r>
        <w:rPr>
          <w:rFonts w:hint="eastAsia"/>
          <w:color w:val="auto"/>
          <w:lang w:val="en-US" w:eastAsia="zh-CN"/>
        </w:rPr>
        <w:t>五十一、水利-128河湖整治（不含农村塘堰、水渠）-涉及环境敏感区的</w:t>
      </w:r>
      <w:bookmarkEnd w:id="87"/>
      <w:r>
        <w:rPr>
          <w:rFonts w:hint="eastAsia"/>
          <w:color w:val="auto"/>
          <w:lang w:val="en-US" w:eastAsia="zh-CN"/>
        </w:rPr>
        <w:t>；</w:t>
      </w:r>
    </w:p>
    <w:p w14:paraId="3BF85459">
      <w:pPr>
        <w:bidi w:val="0"/>
        <w:rPr>
          <w:rFonts w:hint="eastAsia"/>
          <w:color w:val="auto"/>
          <w:lang w:val="zh-CN" w:eastAsia="zh-CN"/>
        </w:rPr>
      </w:pPr>
      <w:r>
        <w:rPr>
          <w:rFonts w:hint="eastAsia"/>
          <w:color w:val="auto"/>
          <w:lang w:val="zh-CN" w:eastAsia="zh-CN"/>
        </w:rPr>
        <w:t>建设地点：</w:t>
      </w:r>
      <w:r>
        <w:rPr>
          <w:rFonts w:hint="eastAsia" w:cs="Times New Roman"/>
          <w:color w:val="auto"/>
        </w:rPr>
        <w:t>项目位于池州市贵池区，5号抛泥区位于贵池区南闸村，6号抛泥区位于贵池区中窑</w:t>
      </w:r>
      <w:r>
        <w:rPr>
          <w:rFonts w:hint="eastAsia"/>
          <w:color w:val="auto"/>
          <w:lang w:val="zh-CN" w:eastAsia="zh-CN"/>
        </w:rPr>
        <w:t>。项目地理位置见</w:t>
      </w:r>
      <w:r>
        <w:rPr>
          <w:rFonts w:hint="eastAsia"/>
          <w:color w:val="auto"/>
          <w:lang w:val="en-US" w:eastAsia="zh-CN"/>
        </w:rPr>
        <w:t>下图</w:t>
      </w:r>
      <w:r>
        <w:rPr>
          <w:rFonts w:hint="eastAsia"/>
          <w:color w:val="auto"/>
          <w:lang w:val="zh-CN" w:eastAsia="zh-CN"/>
        </w:rPr>
        <w:t>。</w:t>
      </w:r>
    </w:p>
    <w:p w14:paraId="25265324">
      <w:pPr>
        <w:bidi w:val="0"/>
        <w:rPr>
          <w:rFonts w:hint="default"/>
          <w:color w:val="auto"/>
          <w:lang w:val="en-US" w:eastAsia="zh-CN"/>
        </w:rPr>
      </w:pPr>
      <w:r>
        <w:rPr>
          <w:rFonts w:hint="eastAsia"/>
          <w:color w:val="auto"/>
          <w:lang w:val="en-US" w:eastAsia="zh-CN"/>
        </w:rPr>
        <w:t>地理坐标：5号抛泥区中心点坐标：E117.408217°、N30.600635°、6号抛泥区中心点坐标：E117.394089°、N30.587401°；1号弃土区中心点坐标：E117.427455°、N30.567660°；2号弃土区中心点坐标：E117.437569°、N30.534450°</w:t>
      </w:r>
    </w:p>
    <w:p w14:paraId="0A55A22B">
      <w:pPr>
        <w:bidi w:val="0"/>
        <w:rPr>
          <w:color w:val="auto"/>
        </w:rPr>
      </w:pPr>
      <w:r>
        <w:rPr>
          <w:rFonts w:hint="eastAsia"/>
          <w:color w:val="auto"/>
          <w:lang w:val="zh-CN" w:eastAsia="zh-CN"/>
        </w:rPr>
        <w:t>建设</w:t>
      </w:r>
      <w:r>
        <w:rPr>
          <w:rFonts w:hint="eastAsia"/>
          <w:color w:val="auto"/>
          <w:lang w:val="en-US" w:eastAsia="zh-CN"/>
        </w:rPr>
        <w:t>内容</w:t>
      </w:r>
      <w:r>
        <w:rPr>
          <w:rFonts w:hint="eastAsia"/>
          <w:color w:val="auto"/>
          <w:lang w:val="zh-CN" w:eastAsia="zh-CN"/>
        </w:rPr>
        <w:t>：</w:t>
      </w:r>
      <w:r>
        <w:rPr>
          <w:rFonts w:hint="eastAsia"/>
          <w:color w:val="auto"/>
          <w:lang w:val="en-US" w:eastAsia="zh-CN"/>
        </w:rPr>
        <w:t>秋浦河航道整治工程</w:t>
      </w:r>
      <w:r>
        <w:rPr>
          <w:rFonts w:hint="default"/>
          <w:color w:val="auto"/>
          <w:lang w:val="en-US" w:eastAsia="zh-CN"/>
        </w:rPr>
        <w:t>5</w:t>
      </w:r>
      <w:r>
        <w:rPr>
          <w:rFonts w:hint="eastAsia"/>
          <w:color w:val="auto"/>
          <w:lang w:val="en-US" w:eastAsia="zh-CN"/>
        </w:rPr>
        <w:t>号、</w:t>
      </w:r>
      <w:r>
        <w:rPr>
          <w:rFonts w:hint="default"/>
          <w:color w:val="auto"/>
          <w:lang w:val="en-US" w:eastAsia="zh-CN"/>
        </w:rPr>
        <w:t>6</w:t>
      </w:r>
      <w:r>
        <w:rPr>
          <w:rFonts w:hint="eastAsia"/>
          <w:color w:val="auto"/>
          <w:lang w:val="en-US" w:eastAsia="zh-CN"/>
        </w:rPr>
        <w:t>号抛泥区抛泥清除恢复项目重点对现有抛泥区抛泥进行清除。</w:t>
      </w:r>
      <w:r>
        <w:rPr>
          <w:rFonts w:hint="default"/>
          <w:color w:val="auto"/>
          <w:lang w:val="en-US" w:eastAsia="zh-CN"/>
        </w:rPr>
        <w:t>5</w:t>
      </w:r>
      <w:r>
        <w:rPr>
          <w:rFonts w:hint="eastAsia"/>
          <w:color w:val="auto"/>
          <w:lang w:val="en-US" w:eastAsia="zh-CN"/>
        </w:rPr>
        <w:t>号抛泥区开挖清除土方</w:t>
      </w:r>
      <w:r>
        <w:rPr>
          <w:rFonts w:hint="default"/>
          <w:color w:val="auto"/>
          <w:lang w:val="en-US" w:eastAsia="zh-CN"/>
        </w:rPr>
        <w:t>765226m</w:t>
      </w:r>
      <w:r>
        <w:rPr>
          <w:rFonts w:hint="eastAsia"/>
          <w:color w:val="auto"/>
          <w:vertAlign w:val="superscript"/>
          <w:lang w:val="en-US" w:eastAsia="zh-CN"/>
        </w:rPr>
        <w:t>3</w:t>
      </w:r>
      <w:r>
        <w:rPr>
          <w:rFonts w:hint="eastAsia"/>
          <w:color w:val="auto"/>
          <w:lang w:val="en-US" w:eastAsia="zh-CN"/>
        </w:rPr>
        <w:t>，</w:t>
      </w:r>
      <w:r>
        <w:rPr>
          <w:rFonts w:hint="default"/>
          <w:color w:val="auto"/>
          <w:lang w:val="en-US" w:eastAsia="zh-CN"/>
        </w:rPr>
        <w:t>6</w:t>
      </w:r>
      <w:r>
        <w:rPr>
          <w:rFonts w:hint="eastAsia"/>
          <w:color w:val="auto"/>
          <w:lang w:val="en-US" w:eastAsia="zh-CN"/>
        </w:rPr>
        <w:t>号抛泥区开挖清除土方</w:t>
      </w:r>
      <w:r>
        <w:rPr>
          <w:rFonts w:hint="default"/>
          <w:color w:val="auto"/>
          <w:lang w:val="en-US" w:eastAsia="zh-CN"/>
        </w:rPr>
        <w:t>20912m</w:t>
      </w:r>
      <w:r>
        <w:rPr>
          <w:rFonts w:hint="eastAsia"/>
          <w:color w:val="auto"/>
          <w:vertAlign w:val="superscript"/>
          <w:lang w:val="en-US" w:eastAsia="zh-CN"/>
        </w:rPr>
        <w:t>3</w:t>
      </w:r>
      <w:r>
        <w:rPr>
          <w:rFonts w:hint="eastAsia"/>
          <w:color w:val="auto"/>
          <w:lang w:val="en-US" w:eastAsia="zh-CN"/>
        </w:rPr>
        <w:t>；重新处置合计弃土</w:t>
      </w:r>
      <w:r>
        <w:rPr>
          <w:rFonts w:hint="default"/>
          <w:color w:val="auto"/>
          <w:lang w:val="en-US" w:eastAsia="zh-CN"/>
        </w:rPr>
        <w:t>786138m</w:t>
      </w:r>
      <w:r>
        <w:rPr>
          <w:rFonts w:hint="eastAsia"/>
          <w:color w:val="auto"/>
          <w:vertAlign w:val="superscript"/>
          <w:lang w:val="en-US" w:eastAsia="zh-CN"/>
        </w:rPr>
        <w:t>3</w:t>
      </w:r>
      <w:r>
        <w:rPr>
          <w:rFonts w:hint="eastAsia"/>
          <w:color w:val="auto"/>
          <w:lang w:val="en-US" w:eastAsia="zh-CN"/>
        </w:rPr>
        <w:t>，弃土区</w:t>
      </w:r>
      <w:r>
        <w:rPr>
          <w:rFonts w:hint="default"/>
          <w:color w:val="auto"/>
          <w:lang w:val="en-US" w:eastAsia="zh-CN"/>
        </w:rPr>
        <w:t>2</w:t>
      </w:r>
      <w:r>
        <w:rPr>
          <w:rFonts w:hint="eastAsia"/>
          <w:color w:val="auto"/>
          <w:lang w:val="en-US" w:eastAsia="zh-CN"/>
        </w:rPr>
        <w:t>处，弃土区占地</w:t>
      </w:r>
      <w:r>
        <w:rPr>
          <w:rFonts w:hint="default"/>
          <w:color w:val="auto"/>
          <w:lang w:val="en-US" w:eastAsia="zh-CN"/>
        </w:rPr>
        <w:t>402.51</w:t>
      </w:r>
      <w:r>
        <w:rPr>
          <w:rFonts w:hint="eastAsia"/>
          <w:color w:val="auto"/>
          <w:lang w:val="en-US" w:eastAsia="zh-CN"/>
        </w:rPr>
        <w:t>亩；修建进场道路约</w:t>
      </w:r>
      <w:r>
        <w:rPr>
          <w:rFonts w:hint="default"/>
          <w:color w:val="auto"/>
          <w:lang w:val="en-US" w:eastAsia="zh-CN"/>
        </w:rPr>
        <w:t>1.487km</w:t>
      </w:r>
      <w:r>
        <w:rPr>
          <w:rFonts w:hint="eastAsia"/>
          <w:color w:val="auto"/>
          <w:lang w:val="en-US" w:eastAsia="zh-CN"/>
        </w:rPr>
        <w:t>。在弃土完成后，撒播草籽，草籽面积</w:t>
      </w:r>
      <w:r>
        <w:rPr>
          <w:rFonts w:hint="default"/>
          <w:color w:val="auto"/>
          <w:lang w:val="en-US" w:eastAsia="zh-CN"/>
        </w:rPr>
        <w:t>295175m</w:t>
      </w:r>
      <w:r>
        <w:rPr>
          <w:rFonts w:hint="eastAsia"/>
          <w:color w:val="auto"/>
          <w:vertAlign w:val="superscript"/>
          <w:lang w:val="en-US" w:eastAsia="zh-CN"/>
        </w:rPr>
        <w:t>2</w:t>
      </w:r>
      <w:r>
        <w:rPr>
          <w:rFonts w:hint="eastAsia"/>
          <w:color w:val="auto"/>
          <w:lang w:val="en-US" w:eastAsia="zh-CN"/>
        </w:rPr>
        <w:t>；为抛泥区及弃土区使用安全，在拋泥区及弃土区外缘设一圈钢丝防护网，高</w:t>
      </w:r>
      <w:r>
        <w:rPr>
          <w:rFonts w:hint="default"/>
          <w:color w:val="auto"/>
          <w:lang w:val="en-US" w:eastAsia="zh-CN"/>
        </w:rPr>
        <w:t>2m</w:t>
      </w:r>
      <w:r>
        <w:rPr>
          <w:rFonts w:hint="eastAsia"/>
          <w:color w:val="auto"/>
          <w:lang w:val="en-US" w:eastAsia="zh-CN"/>
        </w:rPr>
        <w:t>，面积</w:t>
      </w:r>
      <w:r>
        <w:rPr>
          <w:rFonts w:hint="default"/>
          <w:color w:val="auto"/>
          <w:lang w:val="en-US" w:eastAsia="zh-CN"/>
        </w:rPr>
        <w:t>19418m</w:t>
      </w:r>
      <w:r>
        <w:rPr>
          <w:rFonts w:hint="eastAsia"/>
          <w:color w:val="auto"/>
          <w:vertAlign w:val="superscript"/>
          <w:lang w:val="en-US" w:eastAsia="zh-CN"/>
        </w:rPr>
        <w:t>2</w:t>
      </w:r>
      <w:r>
        <w:rPr>
          <w:rFonts w:hint="eastAsia"/>
          <w:color w:val="auto"/>
          <w:lang w:val="en-US" w:eastAsia="zh-CN"/>
        </w:rPr>
        <w:t>。</w:t>
      </w:r>
    </w:p>
    <w:p w14:paraId="3D3C0FD6">
      <w:pPr>
        <w:rPr>
          <w:rFonts w:hint="eastAsia"/>
          <w:color w:val="auto"/>
          <w:lang w:val="zh-CN" w:eastAsia="zh-CN"/>
        </w:rPr>
      </w:pPr>
      <w:r>
        <w:rPr>
          <w:rFonts w:hint="eastAsia"/>
          <w:color w:val="auto"/>
          <w:lang w:val="en-US" w:eastAsia="zh-CN"/>
        </w:rPr>
        <w:t>劳动定员</w:t>
      </w:r>
      <w:r>
        <w:rPr>
          <w:rFonts w:hint="eastAsia"/>
          <w:color w:val="auto"/>
          <w:lang w:val="zh-CN" w:eastAsia="zh-CN"/>
        </w:rPr>
        <w:t>：</w:t>
      </w:r>
      <w:r>
        <w:rPr>
          <w:rFonts w:hint="eastAsia"/>
          <w:color w:val="auto"/>
          <w:szCs w:val="22"/>
        </w:rPr>
        <w:t>项目年工作</w:t>
      </w:r>
      <w:r>
        <w:rPr>
          <w:rFonts w:hint="eastAsia"/>
          <w:color w:val="auto"/>
          <w:szCs w:val="22"/>
          <w:lang w:val="en-US" w:eastAsia="zh-CN"/>
        </w:rPr>
        <w:t>300</w:t>
      </w:r>
      <w:r>
        <w:rPr>
          <w:rFonts w:hint="eastAsia"/>
          <w:color w:val="auto"/>
          <w:szCs w:val="22"/>
        </w:rPr>
        <w:t>天，每天</w:t>
      </w:r>
      <w:r>
        <w:rPr>
          <w:rFonts w:hint="eastAsia"/>
          <w:color w:val="auto"/>
          <w:szCs w:val="22"/>
          <w:lang w:val="en-US" w:eastAsia="zh-CN"/>
        </w:rPr>
        <w:t>1</w:t>
      </w:r>
      <w:r>
        <w:rPr>
          <w:rFonts w:hint="eastAsia"/>
          <w:color w:val="auto"/>
          <w:szCs w:val="22"/>
        </w:rPr>
        <w:t>班，每班8小时</w:t>
      </w:r>
      <w:r>
        <w:rPr>
          <w:rFonts w:hint="eastAsia"/>
          <w:color w:val="auto"/>
          <w:szCs w:val="22"/>
          <w:lang w:eastAsia="zh-CN"/>
        </w:rPr>
        <w:t>，</w:t>
      </w:r>
      <w:r>
        <w:rPr>
          <w:rFonts w:hint="eastAsia"/>
          <w:color w:val="auto"/>
          <w:szCs w:val="22"/>
        </w:rPr>
        <w:t>夜间不作业</w:t>
      </w:r>
      <w:r>
        <w:rPr>
          <w:rFonts w:hint="eastAsia"/>
          <w:color w:val="auto"/>
          <w:szCs w:val="22"/>
          <w:lang w:eastAsia="zh-CN"/>
        </w:rPr>
        <w:t>，</w:t>
      </w:r>
      <w:r>
        <w:rPr>
          <w:rFonts w:hint="eastAsia"/>
          <w:color w:val="auto"/>
          <w:szCs w:val="22"/>
        </w:rPr>
        <w:t>根据生产工艺的要求及项目的具体情况，拟建项目</w:t>
      </w:r>
      <w:r>
        <w:rPr>
          <w:rFonts w:hint="eastAsia"/>
          <w:color w:val="auto"/>
          <w:szCs w:val="22"/>
          <w:lang w:val="en-US" w:eastAsia="zh-CN"/>
        </w:rPr>
        <w:t>施工</w:t>
      </w:r>
      <w:r>
        <w:rPr>
          <w:rFonts w:hint="eastAsia"/>
          <w:color w:val="auto"/>
          <w:szCs w:val="22"/>
        </w:rPr>
        <w:t>人数</w:t>
      </w:r>
      <w:r>
        <w:rPr>
          <w:rFonts w:hint="eastAsia"/>
          <w:color w:val="auto"/>
          <w:szCs w:val="22"/>
          <w:lang w:val="en-US" w:eastAsia="zh-CN"/>
        </w:rPr>
        <w:t>100</w:t>
      </w:r>
      <w:r>
        <w:rPr>
          <w:rFonts w:hint="eastAsia"/>
          <w:color w:val="auto"/>
          <w:szCs w:val="22"/>
        </w:rPr>
        <w:t>人</w:t>
      </w:r>
      <w:r>
        <w:rPr>
          <w:rFonts w:hint="eastAsia"/>
          <w:color w:val="auto"/>
          <w:lang w:val="zh-CN" w:eastAsia="zh-CN"/>
        </w:rPr>
        <w:t>。</w:t>
      </w:r>
    </w:p>
    <w:p w14:paraId="729D654D">
      <w:pPr>
        <w:bidi w:val="0"/>
        <w:rPr>
          <w:rFonts w:hint="eastAsia"/>
          <w:color w:val="auto"/>
          <w:lang w:val="zh-CN" w:eastAsia="zh-CN"/>
        </w:rPr>
      </w:pPr>
      <w:r>
        <w:rPr>
          <w:rFonts w:hint="eastAsia"/>
          <w:color w:val="auto"/>
          <w:lang w:val="zh-CN" w:eastAsia="zh-CN"/>
        </w:rPr>
        <w:t>工程投资：</w:t>
      </w:r>
      <w:r>
        <w:rPr>
          <w:rFonts w:hint="eastAsia"/>
          <w:color w:val="auto"/>
        </w:rPr>
        <w:t>总投资3407.39万元</w:t>
      </w:r>
      <w:r>
        <w:rPr>
          <w:rFonts w:hint="eastAsia" w:cs="Times New Roman"/>
          <w:color w:val="auto"/>
        </w:rPr>
        <w:t>，其中环保投资</w:t>
      </w:r>
      <w:r>
        <w:rPr>
          <w:rFonts w:hint="eastAsia" w:cs="Times New Roman"/>
          <w:color w:val="auto"/>
          <w:lang w:val="en-US" w:eastAsia="zh-CN"/>
        </w:rPr>
        <w:t>58</w:t>
      </w:r>
      <w:r>
        <w:rPr>
          <w:rFonts w:hint="eastAsia" w:cs="Times New Roman"/>
          <w:color w:val="auto"/>
        </w:rPr>
        <w:t>万元，占总投资额的</w:t>
      </w:r>
      <w:r>
        <w:rPr>
          <w:rFonts w:hint="eastAsia" w:cs="Times New Roman"/>
          <w:color w:val="auto"/>
          <w:lang w:val="en-US" w:eastAsia="zh-CN"/>
        </w:rPr>
        <w:t>1.64</w:t>
      </w:r>
      <w:r>
        <w:rPr>
          <w:rFonts w:hint="eastAsia" w:cs="Times New Roman"/>
          <w:color w:val="auto"/>
        </w:rPr>
        <w:t>%</w:t>
      </w:r>
      <w:r>
        <w:rPr>
          <w:rFonts w:hint="eastAsia"/>
          <w:color w:val="auto"/>
          <w:lang w:val="zh-CN" w:eastAsia="zh-CN"/>
        </w:rPr>
        <w:t>。</w:t>
      </w:r>
    </w:p>
    <w:p w14:paraId="3C06ABFE">
      <w:pPr>
        <w:rPr>
          <w:rFonts w:hint="eastAsia"/>
          <w:color w:val="auto"/>
          <w:lang w:val="zh-CN"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upperRoman"/>
          <w:cols w:space="425" w:num="1"/>
          <w:docGrid w:type="lines" w:linePitch="312" w:charSpace="0"/>
        </w:sectPr>
      </w:pPr>
      <w:r>
        <w:rPr>
          <w:rFonts w:hint="eastAsia"/>
          <w:color w:val="auto"/>
          <w:lang w:val="zh-CN" w:eastAsia="zh-CN"/>
        </w:rPr>
        <w:t>建设工期：</w:t>
      </w:r>
      <w:r>
        <w:rPr>
          <w:rFonts w:hint="eastAsia"/>
          <w:color w:val="auto"/>
          <w:szCs w:val="22"/>
        </w:rPr>
        <w:t>项目施工期拟按</w:t>
      </w:r>
      <w:r>
        <w:rPr>
          <w:rFonts w:hint="eastAsia"/>
          <w:color w:val="auto"/>
          <w:szCs w:val="22"/>
          <w:lang w:val="en-US" w:eastAsia="zh-CN"/>
        </w:rPr>
        <w:t>7</w:t>
      </w:r>
      <w:r>
        <w:rPr>
          <w:rFonts w:hint="eastAsia"/>
          <w:color w:val="auto"/>
          <w:szCs w:val="22"/>
        </w:rPr>
        <w:t>个月安排</w:t>
      </w:r>
      <w:r>
        <w:rPr>
          <w:rFonts w:hint="eastAsia"/>
          <w:color w:val="auto"/>
          <w:lang w:val="zh-CN" w:eastAsia="zh-CN"/>
        </w:rPr>
        <w:t>。</w:t>
      </w:r>
    </w:p>
    <w:p w14:paraId="727D87EF">
      <w:pPr>
        <w:spacing w:line="240" w:lineRule="auto"/>
        <w:ind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8891905" cy="5478145"/>
            <wp:effectExtent l="0" t="0" r="4445" b="8255"/>
            <wp:docPr id="11" name="图片 11" descr="项目地理位置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项目地理位置图_00"/>
                    <pic:cNvPicPr>
                      <a:picLocks noChangeAspect="1"/>
                    </pic:cNvPicPr>
                  </pic:nvPicPr>
                  <pic:blipFill>
                    <a:blip r:embed="rId15"/>
                    <a:stretch>
                      <a:fillRect/>
                    </a:stretch>
                  </pic:blipFill>
                  <pic:spPr>
                    <a:xfrm>
                      <a:off x="0" y="0"/>
                      <a:ext cx="8891905" cy="5478145"/>
                    </a:xfrm>
                    <a:prstGeom prst="rect">
                      <a:avLst/>
                    </a:prstGeom>
                  </pic:spPr>
                </pic:pic>
              </a:graphicData>
            </a:graphic>
          </wp:inline>
        </w:drawing>
      </w:r>
    </w:p>
    <w:p w14:paraId="434B6263">
      <w:pPr>
        <w:ind w:firstLine="414"/>
        <w:jc w:val="center"/>
        <w:rPr>
          <w:rFonts w:cs="Times New Roman"/>
          <w:b/>
          <w:color w:val="auto"/>
          <w:sz w:val="21"/>
          <w:szCs w:val="21"/>
        </w:rPr>
        <w:sectPr>
          <w:pgSz w:w="16840" w:h="11907" w:orient="landscape"/>
          <w:pgMar w:top="1418" w:right="1418" w:bottom="1418" w:left="1418" w:header="794" w:footer="1020" w:gutter="0"/>
          <w:pgNumType w:fmt="upperRoman"/>
          <w:cols w:space="720" w:num="1"/>
          <w:docGrid w:linePitch="346" w:charSpace="0"/>
        </w:sectPr>
      </w:pPr>
      <w:r>
        <w:rPr>
          <w:rFonts w:cs="Times New Roman"/>
          <w:b/>
          <w:color w:val="auto"/>
          <w:sz w:val="21"/>
          <w:szCs w:val="21"/>
        </w:rPr>
        <w:t>图</w:t>
      </w:r>
      <w:r>
        <w:rPr>
          <w:color w:val="auto"/>
        </w:rPr>
        <w:fldChar w:fldCharType="begin"/>
      </w:r>
      <w:r>
        <w:rPr>
          <w:color w:val="auto"/>
        </w:rPr>
        <w:instrText xml:space="preserve"> STYLEREF 2 \s </w:instrText>
      </w:r>
      <w:r>
        <w:rPr>
          <w:color w:val="auto"/>
        </w:rPr>
        <w:fldChar w:fldCharType="separate"/>
      </w:r>
      <w:r>
        <w:rPr>
          <w:color w:val="auto"/>
        </w:rPr>
        <w:t>3.1</w:t>
      </w:r>
      <w:r>
        <w:rPr>
          <w:color w:val="auto"/>
        </w:rPr>
        <w:fldChar w:fldCharType="end"/>
      </w:r>
      <w:r>
        <w:rPr>
          <w:color w:val="auto"/>
        </w:rPr>
        <w:noBreakHyphen/>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rFonts w:cs="Times New Roman"/>
          <w:b/>
          <w:color w:val="auto"/>
          <w:sz w:val="21"/>
          <w:szCs w:val="21"/>
        </w:rPr>
        <w:t>本项目地理位置图</w:t>
      </w:r>
    </w:p>
    <w:p w14:paraId="435ED34F">
      <w:pPr>
        <w:pStyle w:val="4"/>
        <w:bidi w:val="0"/>
        <w:rPr>
          <w:color w:val="auto"/>
        </w:rPr>
      </w:pPr>
      <w:bookmarkStart w:id="88" w:name="_Toc14579"/>
      <w:r>
        <w:rPr>
          <w:rFonts w:hint="eastAsia"/>
          <w:color w:val="auto"/>
        </w:rPr>
        <w:t>工程主要建设内容</w:t>
      </w:r>
      <w:bookmarkEnd w:id="88"/>
    </w:p>
    <w:p w14:paraId="3BD5FF87">
      <w:pPr>
        <w:rPr>
          <w:rFonts w:hint="eastAsia" w:eastAsia="宋体"/>
          <w:color w:val="auto"/>
          <w:lang w:eastAsia="zh-CN"/>
        </w:rPr>
      </w:pPr>
      <w:r>
        <w:rPr>
          <w:rFonts w:hint="eastAsia"/>
          <w:color w:val="auto"/>
          <w:lang w:eastAsia="zh-CN"/>
        </w:rPr>
        <w:t>本项目主要包括抛泥区底泥清理、临时施工道路及弃土区，建设内容及规模见表3.1-2。</w:t>
      </w:r>
    </w:p>
    <w:p w14:paraId="1FA99B78">
      <w:pPr>
        <w:pStyle w:val="11"/>
        <w:rPr>
          <w:rFonts w:hint="eastAsia"/>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3.1</w:t>
      </w:r>
      <w:r>
        <w:rPr>
          <w:color w:val="auto"/>
        </w:rPr>
        <w:fldChar w:fldCharType="end"/>
      </w:r>
      <w:r>
        <w:rPr>
          <w:rFonts w:hint="eastAsia" w:eastAsia="宋体"/>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hint="eastAsia"/>
          <w:color w:val="auto"/>
        </w:rPr>
        <w:t>项目工程组成情况一览表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758"/>
        <w:gridCol w:w="1461"/>
        <w:gridCol w:w="11153"/>
      </w:tblGrid>
      <w:tr w14:paraId="4D5A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57E2C2AB">
            <w:pPr>
              <w:pStyle w:val="31"/>
              <w:bidi w:val="0"/>
              <w:rPr>
                <w:color w:val="auto"/>
              </w:rPr>
            </w:pPr>
            <w:r>
              <w:rPr>
                <w:color w:val="auto"/>
              </w:rPr>
              <w:t>序号</w:t>
            </w:r>
          </w:p>
        </w:tc>
        <w:tc>
          <w:tcPr>
            <w:tcW w:w="267" w:type="pct"/>
            <w:noWrap w:val="0"/>
            <w:vAlign w:val="center"/>
          </w:tcPr>
          <w:p w14:paraId="6A70AF90">
            <w:pPr>
              <w:pStyle w:val="31"/>
              <w:bidi w:val="0"/>
              <w:rPr>
                <w:color w:val="auto"/>
              </w:rPr>
            </w:pPr>
            <w:r>
              <w:rPr>
                <w:color w:val="auto"/>
              </w:rPr>
              <w:t>项目</w:t>
            </w:r>
          </w:p>
        </w:tc>
        <w:tc>
          <w:tcPr>
            <w:tcW w:w="4449" w:type="pct"/>
            <w:gridSpan w:val="2"/>
            <w:noWrap w:val="0"/>
            <w:vAlign w:val="center"/>
          </w:tcPr>
          <w:p w14:paraId="48B41826">
            <w:pPr>
              <w:pStyle w:val="31"/>
              <w:bidi w:val="0"/>
              <w:rPr>
                <w:color w:val="auto"/>
              </w:rPr>
            </w:pPr>
            <w:r>
              <w:rPr>
                <w:color w:val="auto"/>
              </w:rPr>
              <w:t>建设内容</w:t>
            </w:r>
            <w:r>
              <w:rPr>
                <w:rFonts w:hint="eastAsia"/>
                <w:color w:val="auto"/>
              </w:rPr>
              <w:t>及规模</w:t>
            </w:r>
          </w:p>
        </w:tc>
      </w:tr>
      <w:tr w14:paraId="7CF6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restart"/>
            <w:noWrap w:val="0"/>
            <w:vAlign w:val="center"/>
          </w:tcPr>
          <w:p w14:paraId="602E408B">
            <w:pPr>
              <w:pStyle w:val="31"/>
              <w:bidi w:val="0"/>
              <w:rPr>
                <w:color w:val="auto"/>
              </w:rPr>
            </w:pPr>
            <w:r>
              <w:rPr>
                <w:color w:val="auto"/>
              </w:rPr>
              <w:t>1</w:t>
            </w:r>
          </w:p>
        </w:tc>
        <w:tc>
          <w:tcPr>
            <w:tcW w:w="267" w:type="pct"/>
            <w:vMerge w:val="restart"/>
            <w:noWrap w:val="0"/>
            <w:vAlign w:val="center"/>
          </w:tcPr>
          <w:p w14:paraId="59AA1C42">
            <w:pPr>
              <w:pStyle w:val="31"/>
              <w:bidi w:val="0"/>
              <w:rPr>
                <w:rFonts w:hint="default"/>
                <w:color w:val="auto"/>
                <w:lang w:val="en-US" w:eastAsia="zh-CN"/>
              </w:rPr>
            </w:pPr>
            <w:r>
              <w:rPr>
                <w:rFonts w:hint="eastAsia"/>
                <w:color w:val="auto"/>
                <w:lang w:val="en-US" w:eastAsia="zh-CN"/>
              </w:rPr>
              <w:t>主体工程</w:t>
            </w:r>
          </w:p>
        </w:tc>
        <w:tc>
          <w:tcPr>
            <w:tcW w:w="515" w:type="pct"/>
            <w:vMerge w:val="restart"/>
            <w:noWrap w:val="0"/>
            <w:vAlign w:val="center"/>
          </w:tcPr>
          <w:p w14:paraId="0B7A0DBE">
            <w:pPr>
              <w:pStyle w:val="31"/>
              <w:bidi w:val="0"/>
              <w:rPr>
                <w:rFonts w:hint="default"/>
                <w:color w:val="auto"/>
                <w:lang w:val="en-US" w:eastAsia="zh-CN"/>
              </w:rPr>
            </w:pPr>
            <w:r>
              <w:rPr>
                <w:rFonts w:hint="eastAsia"/>
                <w:color w:val="auto"/>
                <w:lang w:val="en-US" w:eastAsia="zh-CN"/>
              </w:rPr>
              <w:t>抛泥区底泥清理</w:t>
            </w:r>
          </w:p>
        </w:tc>
        <w:tc>
          <w:tcPr>
            <w:tcW w:w="3934" w:type="pct"/>
            <w:noWrap w:val="0"/>
            <w:vAlign w:val="center"/>
          </w:tcPr>
          <w:p w14:paraId="218C9F79">
            <w:pPr>
              <w:pStyle w:val="31"/>
              <w:bidi w:val="0"/>
              <w:jc w:val="left"/>
              <w:rPr>
                <w:color w:val="auto"/>
              </w:rPr>
            </w:pPr>
            <w:r>
              <w:rPr>
                <w:rFonts w:hint="default"/>
                <w:color w:val="auto"/>
                <w:lang w:val="en-US" w:eastAsia="zh-CN"/>
              </w:rPr>
              <w:t>5</w:t>
            </w:r>
            <w:r>
              <w:rPr>
                <w:rFonts w:hint="eastAsia"/>
                <w:color w:val="auto"/>
                <w:lang w:val="en-US" w:eastAsia="zh-CN"/>
              </w:rPr>
              <w:t>号抛泥区抛泥前用地为现有水塘，占地</w:t>
            </w:r>
            <w:r>
              <w:rPr>
                <w:rFonts w:hint="default"/>
                <w:color w:val="auto"/>
                <w:lang w:val="en-US" w:eastAsia="zh-CN"/>
              </w:rPr>
              <w:t>832</w:t>
            </w:r>
            <w:r>
              <w:rPr>
                <w:rFonts w:hint="eastAsia"/>
                <w:color w:val="auto"/>
                <w:lang w:val="en-US" w:eastAsia="zh-CN"/>
              </w:rPr>
              <w:t>亩，原地面高程为</w:t>
            </w:r>
            <w:r>
              <w:rPr>
                <w:rFonts w:hint="default"/>
                <w:color w:val="auto"/>
                <w:lang w:val="en-US" w:eastAsia="zh-CN"/>
              </w:rPr>
              <w:t>4.5m~9.1m</w:t>
            </w:r>
            <w:r>
              <w:rPr>
                <w:rFonts w:hint="eastAsia"/>
                <w:color w:val="auto"/>
                <w:lang w:val="en-US" w:eastAsia="zh-CN"/>
              </w:rPr>
              <w:t>，设计抛泥量为</w:t>
            </w:r>
            <w:r>
              <w:rPr>
                <w:rFonts w:hint="default"/>
                <w:color w:val="auto"/>
                <w:lang w:val="en-US" w:eastAsia="zh-CN"/>
              </w:rPr>
              <w:t>1848908m</w:t>
            </w:r>
            <w:r>
              <w:rPr>
                <w:rFonts w:hint="eastAsia"/>
                <w:color w:val="auto"/>
                <w:vertAlign w:val="superscript"/>
                <w:lang w:val="en-US" w:eastAsia="zh-CN"/>
              </w:rPr>
              <w:t>3</w:t>
            </w:r>
            <w:r>
              <w:rPr>
                <w:rFonts w:hint="eastAsia"/>
                <w:color w:val="auto"/>
                <w:lang w:val="en-US" w:eastAsia="zh-CN"/>
              </w:rPr>
              <w:t>，现状高程为</w:t>
            </w:r>
            <w:r>
              <w:rPr>
                <w:rFonts w:hint="default"/>
                <w:color w:val="auto"/>
                <w:lang w:val="en-US" w:eastAsia="zh-CN"/>
              </w:rPr>
              <w:t>10.6m~15m</w:t>
            </w:r>
            <w:r>
              <w:rPr>
                <w:rFonts w:hint="eastAsia"/>
                <w:color w:val="auto"/>
                <w:lang w:val="en-US" w:eastAsia="zh-CN"/>
              </w:rPr>
              <w:t>，实际抛泥量约</w:t>
            </w:r>
            <w:r>
              <w:rPr>
                <w:rFonts w:hint="default"/>
                <w:color w:val="auto"/>
                <w:lang w:val="en-US" w:eastAsia="zh-CN"/>
              </w:rPr>
              <w:t>85</w:t>
            </w:r>
            <w:r>
              <w:rPr>
                <w:rFonts w:hint="eastAsia"/>
                <w:color w:val="auto"/>
                <w:lang w:val="en-US" w:eastAsia="zh-CN"/>
              </w:rPr>
              <w:t>万方。本次设计仅开挖高程较高的</w:t>
            </w:r>
            <w:r>
              <w:rPr>
                <w:rFonts w:hint="default"/>
                <w:color w:val="auto"/>
                <w:lang w:val="en-US" w:eastAsia="zh-CN"/>
              </w:rPr>
              <w:t>2</w:t>
            </w:r>
            <w:r>
              <w:rPr>
                <w:rFonts w:hint="eastAsia"/>
                <w:color w:val="auto"/>
                <w:lang w:val="en-US" w:eastAsia="zh-CN"/>
              </w:rPr>
              <w:t>处滩地，面积约</w:t>
            </w:r>
            <w:r>
              <w:rPr>
                <w:rFonts w:hint="default"/>
                <w:color w:val="auto"/>
                <w:lang w:val="en-US" w:eastAsia="zh-CN"/>
              </w:rPr>
              <w:t>360.56</w:t>
            </w:r>
            <w:r>
              <w:rPr>
                <w:rFonts w:hint="eastAsia"/>
                <w:color w:val="auto"/>
                <w:lang w:val="en-US" w:eastAsia="zh-CN"/>
              </w:rPr>
              <w:t>亩。根据生物多样性专题要求，抛泥区清理和鸟类栖息地恢复结合起来，鹭科鸟类栖息岛共</w:t>
            </w:r>
            <w:r>
              <w:rPr>
                <w:rFonts w:hint="default"/>
                <w:color w:val="auto"/>
                <w:lang w:val="en-US" w:eastAsia="zh-CN"/>
              </w:rPr>
              <w:t>6</w:t>
            </w:r>
            <w:r>
              <w:rPr>
                <w:rFonts w:hint="eastAsia"/>
                <w:color w:val="auto"/>
                <w:lang w:val="en-US" w:eastAsia="zh-CN"/>
              </w:rPr>
              <w:t>处、涉禽、游禽栖息地共</w:t>
            </w:r>
            <w:r>
              <w:rPr>
                <w:rFonts w:hint="default"/>
                <w:color w:val="auto"/>
                <w:lang w:val="en-US" w:eastAsia="zh-CN"/>
              </w:rPr>
              <w:t>3</w:t>
            </w:r>
            <w:r>
              <w:rPr>
                <w:rFonts w:hint="eastAsia"/>
                <w:color w:val="auto"/>
                <w:lang w:val="en-US" w:eastAsia="zh-CN"/>
              </w:rPr>
              <w:t>处，共计保留面积约</w:t>
            </w:r>
            <w:r>
              <w:rPr>
                <w:rFonts w:hint="default"/>
                <w:color w:val="auto"/>
                <w:lang w:val="en-US" w:eastAsia="zh-CN"/>
              </w:rPr>
              <w:t>36</w:t>
            </w:r>
            <w:r>
              <w:rPr>
                <w:rFonts w:hint="eastAsia"/>
                <w:color w:val="auto"/>
                <w:lang w:val="en-US" w:eastAsia="zh-CN"/>
              </w:rPr>
              <w:t>亩。开挖底高程</w:t>
            </w:r>
            <w:r>
              <w:rPr>
                <w:rFonts w:hint="default"/>
                <w:color w:val="auto"/>
                <w:lang w:val="en-US" w:eastAsia="zh-CN"/>
              </w:rPr>
              <w:t>7.8m</w:t>
            </w:r>
            <w:r>
              <w:rPr>
                <w:rFonts w:hint="eastAsia"/>
                <w:color w:val="auto"/>
                <w:lang w:val="en-US" w:eastAsia="zh-CN"/>
              </w:rPr>
              <w:t>，实际开挖面积</w:t>
            </w:r>
            <w:r>
              <w:rPr>
                <w:rFonts w:hint="default"/>
                <w:color w:val="auto"/>
                <w:lang w:val="en-US" w:eastAsia="zh-CN"/>
              </w:rPr>
              <w:t>324.56</w:t>
            </w:r>
            <w:r>
              <w:rPr>
                <w:rFonts w:hint="eastAsia"/>
                <w:color w:val="auto"/>
                <w:lang w:val="en-US" w:eastAsia="zh-CN"/>
              </w:rPr>
              <w:t>亩，开挖土方</w:t>
            </w:r>
            <w:r>
              <w:rPr>
                <w:rFonts w:hint="default"/>
                <w:color w:val="auto"/>
                <w:lang w:val="en-US" w:eastAsia="zh-CN"/>
              </w:rPr>
              <w:t>765226m</w:t>
            </w:r>
            <w:r>
              <w:rPr>
                <w:rFonts w:hint="eastAsia"/>
                <w:color w:val="auto"/>
                <w:vertAlign w:val="superscript"/>
                <w:lang w:val="en-US" w:eastAsia="zh-CN"/>
              </w:rPr>
              <w:t>3</w:t>
            </w:r>
            <w:r>
              <w:rPr>
                <w:rFonts w:hint="eastAsia"/>
                <w:color w:val="auto"/>
                <w:lang w:val="en-US" w:eastAsia="zh-CN"/>
              </w:rPr>
              <w:t>。开挖边坡均为</w:t>
            </w:r>
            <w:r>
              <w:rPr>
                <w:rFonts w:hint="default"/>
                <w:color w:val="auto"/>
                <w:lang w:val="en-US" w:eastAsia="zh-CN"/>
              </w:rPr>
              <w:t>1:3</w:t>
            </w:r>
            <w:r>
              <w:rPr>
                <w:rFonts w:hint="eastAsia"/>
                <w:color w:val="auto"/>
                <w:lang w:val="en-US" w:eastAsia="zh-CN"/>
              </w:rPr>
              <w:t>。</w:t>
            </w:r>
          </w:p>
        </w:tc>
      </w:tr>
      <w:tr w14:paraId="159C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3424AE37">
            <w:pPr>
              <w:pStyle w:val="31"/>
              <w:bidi w:val="0"/>
              <w:rPr>
                <w:color w:val="auto"/>
              </w:rPr>
            </w:pPr>
          </w:p>
        </w:tc>
        <w:tc>
          <w:tcPr>
            <w:tcW w:w="267" w:type="pct"/>
            <w:vMerge w:val="continue"/>
            <w:noWrap w:val="0"/>
            <w:vAlign w:val="center"/>
          </w:tcPr>
          <w:p w14:paraId="55F93839">
            <w:pPr>
              <w:pStyle w:val="31"/>
              <w:bidi w:val="0"/>
              <w:rPr>
                <w:rFonts w:hint="eastAsia"/>
                <w:color w:val="auto"/>
                <w:lang w:val="en-US" w:eastAsia="zh-CN"/>
              </w:rPr>
            </w:pPr>
          </w:p>
        </w:tc>
        <w:tc>
          <w:tcPr>
            <w:tcW w:w="515" w:type="pct"/>
            <w:vMerge w:val="continue"/>
            <w:noWrap w:val="0"/>
            <w:vAlign w:val="center"/>
          </w:tcPr>
          <w:p w14:paraId="4448FD3D">
            <w:pPr>
              <w:pStyle w:val="31"/>
              <w:bidi w:val="0"/>
              <w:rPr>
                <w:rFonts w:hint="eastAsia"/>
                <w:color w:val="auto"/>
                <w:lang w:val="en-US" w:eastAsia="zh-CN"/>
              </w:rPr>
            </w:pPr>
          </w:p>
        </w:tc>
        <w:tc>
          <w:tcPr>
            <w:tcW w:w="3934" w:type="pct"/>
            <w:noWrap w:val="0"/>
            <w:vAlign w:val="center"/>
          </w:tcPr>
          <w:p w14:paraId="5A22A440">
            <w:pPr>
              <w:pStyle w:val="31"/>
              <w:bidi w:val="0"/>
              <w:jc w:val="left"/>
              <w:rPr>
                <w:rFonts w:hint="eastAsia"/>
                <w:color w:val="auto"/>
              </w:rPr>
            </w:pPr>
            <w:r>
              <w:rPr>
                <w:rFonts w:hint="default"/>
                <w:color w:val="auto"/>
                <w:lang w:val="en-US" w:eastAsia="zh-CN"/>
              </w:rPr>
              <w:t>6</w:t>
            </w:r>
            <w:r>
              <w:rPr>
                <w:rFonts w:hint="eastAsia"/>
                <w:color w:val="auto"/>
                <w:lang w:val="en-US" w:eastAsia="zh-CN"/>
              </w:rPr>
              <w:t>号抛泥区抛泥前用地为现有鱼塘，占地面积</w:t>
            </w:r>
            <w:r>
              <w:rPr>
                <w:rFonts w:hint="default"/>
                <w:color w:val="auto"/>
                <w:lang w:val="en-US" w:eastAsia="zh-CN"/>
              </w:rPr>
              <w:t>451</w:t>
            </w:r>
            <w:r>
              <w:rPr>
                <w:rFonts w:hint="eastAsia"/>
                <w:color w:val="auto"/>
                <w:lang w:val="en-US" w:eastAsia="zh-CN"/>
              </w:rPr>
              <w:t>亩，原地面高程为</w:t>
            </w:r>
            <w:r>
              <w:rPr>
                <w:rFonts w:hint="default"/>
                <w:color w:val="auto"/>
                <w:lang w:val="en-US" w:eastAsia="zh-CN"/>
              </w:rPr>
              <w:t>8.0~9.0m</w:t>
            </w:r>
            <w:r>
              <w:rPr>
                <w:rFonts w:hint="eastAsia"/>
                <w:color w:val="auto"/>
                <w:lang w:val="en-US" w:eastAsia="zh-CN"/>
              </w:rPr>
              <w:t>，设计抛泥量为</w:t>
            </w:r>
            <w:r>
              <w:rPr>
                <w:rFonts w:hint="default"/>
                <w:color w:val="auto"/>
                <w:lang w:val="en-US" w:eastAsia="zh-CN"/>
              </w:rPr>
              <w:t>859872m</w:t>
            </w:r>
            <w:r>
              <w:rPr>
                <w:rFonts w:hint="eastAsia"/>
                <w:color w:val="auto"/>
                <w:vertAlign w:val="superscript"/>
                <w:lang w:val="en-US" w:eastAsia="zh-CN"/>
              </w:rPr>
              <w:t>3</w:t>
            </w:r>
            <w:r>
              <w:rPr>
                <w:rFonts w:hint="eastAsia"/>
                <w:color w:val="auto"/>
                <w:lang w:val="en-US" w:eastAsia="zh-CN"/>
              </w:rPr>
              <w:t>，现状地面高程</w:t>
            </w:r>
            <w:r>
              <w:rPr>
                <w:rFonts w:hint="default"/>
                <w:color w:val="auto"/>
                <w:lang w:val="en-US" w:eastAsia="zh-CN"/>
              </w:rPr>
              <w:t>8.1~9.5m</w:t>
            </w:r>
            <w:r>
              <w:rPr>
                <w:rFonts w:hint="eastAsia"/>
                <w:color w:val="auto"/>
                <w:lang w:val="en-US" w:eastAsia="zh-CN"/>
              </w:rPr>
              <w:t>，实际抛泥量约</w:t>
            </w:r>
            <w:r>
              <w:rPr>
                <w:rFonts w:hint="default"/>
                <w:color w:val="auto"/>
                <w:lang w:val="en-US" w:eastAsia="zh-CN"/>
              </w:rPr>
              <w:t>2</w:t>
            </w:r>
            <w:r>
              <w:rPr>
                <w:rFonts w:hint="eastAsia"/>
                <w:color w:val="auto"/>
                <w:lang w:val="en-US" w:eastAsia="zh-CN"/>
              </w:rPr>
              <w:t>万方，本次设计开挖底高程为</w:t>
            </w:r>
            <w:r>
              <w:rPr>
                <w:rFonts w:hint="default"/>
                <w:color w:val="auto"/>
                <w:lang w:val="en-US" w:eastAsia="zh-CN"/>
              </w:rPr>
              <w:t>8.4m</w:t>
            </w:r>
            <w:r>
              <w:rPr>
                <w:rFonts w:hint="eastAsia"/>
                <w:color w:val="auto"/>
                <w:lang w:val="en-US" w:eastAsia="zh-CN"/>
              </w:rPr>
              <w:t>，开挖面积</w:t>
            </w:r>
            <w:r>
              <w:rPr>
                <w:rFonts w:hint="default"/>
                <w:color w:val="auto"/>
                <w:lang w:val="en-US" w:eastAsia="zh-CN"/>
              </w:rPr>
              <w:t>305</w:t>
            </w:r>
            <w:r>
              <w:rPr>
                <w:rFonts w:hint="eastAsia"/>
                <w:color w:val="auto"/>
                <w:lang w:val="en-US" w:eastAsia="zh-CN"/>
              </w:rPr>
              <w:t>亩，开挖土方</w:t>
            </w:r>
            <w:r>
              <w:rPr>
                <w:rFonts w:hint="default"/>
                <w:color w:val="auto"/>
                <w:lang w:val="en-US" w:eastAsia="zh-CN"/>
              </w:rPr>
              <w:t>20912m</w:t>
            </w:r>
            <w:r>
              <w:rPr>
                <w:rFonts w:hint="eastAsia"/>
                <w:color w:val="auto"/>
                <w:vertAlign w:val="superscript"/>
                <w:lang w:val="en-US" w:eastAsia="zh-CN"/>
              </w:rPr>
              <w:t>3</w:t>
            </w:r>
            <w:r>
              <w:rPr>
                <w:rFonts w:hint="eastAsia"/>
                <w:color w:val="auto"/>
                <w:lang w:val="en-US" w:eastAsia="zh-CN"/>
              </w:rPr>
              <w:t>。开挖边坡均为</w:t>
            </w:r>
            <w:r>
              <w:rPr>
                <w:rFonts w:hint="default"/>
                <w:color w:val="auto"/>
                <w:lang w:val="en-US" w:eastAsia="zh-CN"/>
              </w:rPr>
              <w:t>1:3</w:t>
            </w:r>
            <w:r>
              <w:rPr>
                <w:rFonts w:hint="eastAsia"/>
                <w:color w:val="auto"/>
                <w:lang w:val="en-US" w:eastAsia="zh-CN"/>
              </w:rPr>
              <w:t>。</w:t>
            </w:r>
          </w:p>
        </w:tc>
      </w:tr>
      <w:tr w14:paraId="26A9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restart"/>
            <w:noWrap w:val="0"/>
            <w:vAlign w:val="center"/>
          </w:tcPr>
          <w:p w14:paraId="4C0E3F44">
            <w:pPr>
              <w:pStyle w:val="31"/>
              <w:bidi w:val="0"/>
              <w:rPr>
                <w:color w:val="auto"/>
              </w:rPr>
            </w:pPr>
            <w:r>
              <w:rPr>
                <w:color w:val="auto"/>
              </w:rPr>
              <w:t>2</w:t>
            </w:r>
          </w:p>
        </w:tc>
        <w:tc>
          <w:tcPr>
            <w:tcW w:w="267" w:type="pct"/>
            <w:vMerge w:val="restart"/>
            <w:noWrap w:val="0"/>
            <w:vAlign w:val="center"/>
          </w:tcPr>
          <w:p w14:paraId="06EC09EB">
            <w:pPr>
              <w:pStyle w:val="31"/>
              <w:bidi w:val="0"/>
              <w:rPr>
                <w:rFonts w:hint="default"/>
                <w:color w:val="auto"/>
                <w:lang w:val="en-US" w:eastAsia="zh-CN"/>
              </w:rPr>
            </w:pPr>
            <w:r>
              <w:rPr>
                <w:rFonts w:hint="eastAsia"/>
                <w:color w:val="auto"/>
                <w:lang w:val="en-US" w:eastAsia="zh-CN"/>
              </w:rPr>
              <w:t>临时工程</w:t>
            </w:r>
          </w:p>
        </w:tc>
        <w:tc>
          <w:tcPr>
            <w:tcW w:w="515" w:type="pct"/>
            <w:noWrap w:val="0"/>
            <w:vAlign w:val="center"/>
          </w:tcPr>
          <w:p w14:paraId="1D31B8C1">
            <w:pPr>
              <w:pStyle w:val="31"/>
              <w:bidi w:val="0"/>
              <w:rPr>
                <w:rFonts w:hint="default"/>
                <w:color w:val="auto"/>
                <w:lang w:val="en-US" w:eastAsia="zh-CN"/>
              </w:rPr>
            </w:pPr>
            <w:r>
              <w:rPr>
                <w:rFonts w:hint="eastAsia"/>
                <w:color w:val="auto"/>
                <w:lang w:val="en-US" w:eastAsia="zh-CN"/>
              </w:rPr>
              <w:t>施工生活办公区</w:t>
            </w:r>
          </w:p>
        </w:tc>
        <w:tc>
          <w:tcPr>
            <w:tcW w:w="3934" w:type="pct"/>
            <w:noWrap w:val="0"/>
            <w:vAlign w:val="center"/>
          </w:tcPr>
          <w:p w14:paraId="7BDBD55A">
            <w:pPr>
              <w:pStyle w:val="31"/>
              <w:bidi w:val="0"/>
              <w:jc w:val="left"/>
              <w:rPr>
                <w:color w:val="auto"/>
              </w:rPr>
            </w:pPr>
            <w:r>
              <w:rPr>
                <w:rFonts w:hint="eastAsia"/>
                <w:color w:val="auto"/>
              </w:rPr>
              <w:t>生产管理与生活区租用附近民房。</w:t>
            </w:r>
          </w:p>
        </w:tc>
      </w:tr>
      <w:tr w14:paraId="5140C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7A7A80C5">
            <w:pPr>
              <w:pStyle w:val="31"/>
              <w:bidi w:val="0"/>
              <w:rPr>
                <w:color w:val="auto"/>
              </w:rPr>
            </w:pPr>
          </w:p>
        </w:tc>
        <w:tc>
          <w:tcPr>
            <w:tcW w:w="267" w:type="pct"/>
            <w:vMerge w:val="continue"/>
            <w:noWrap w:val="0"/>
            <w:vAlign w:val="center"/>
          </w:tcPr>
          <w:p w14:paraId="138EE045">
            <w:pPr>
              <w:pStyle w:val="31"/>
              <w:bidi w:val="0"/>
              <w:rPr>
                <w:rFonts w:hint="eastAsia"/>
                <w:color w:val="auto"/>
                <w:lang w:val="en-US" w:eastAsia="zh-CN"/>
              </w:rPr>
            </w:pPr>
          </w:p>
        </w:tc>
        <w:tc>
          <w:tcPr>
            <w:tcW w:w="515" w:type="pct"/>
            <w:noWrap w:val="0"/>
            <w:vAlign w:val="center"/>
          </w:tcPr>
          <w:p w14:paraId="6EB87EFB">
            <w:pPr>
              <w:pStyle w:val="31"/>
              <w:bidi w:val="0"/>
              <w:rPr>
                <w:rFonts w:hint="default"/>
                <w:color w:val="auto"/>
                <w:lang w:val="en-US" w:eastAsia="zh-CN"/>
              </w:rPr>
            </w:pPr>
            <w:r>
              <w:rPr>
                <w:rFonts w:hint="eastAsia"/>
                <w:color w:val="auto"/>
                <w:lang w:val="en-US" w:eastAsia="zh-CN"/>
              </w:rPr>
              <w:t>施工场地</w:t>
            </w:r>
          </w:p>
        </w:tc>
        <w:tc>
          <w:tcPr>
            <w:tcW w:w="3934" w:type="pct"/>
            <w:noWrap w:val="0"/>
            <w:vAlign w:val="center"/>
          </w:tcPr>
          <w:p w14:paraId="2B269ED3">
            <w:pPr>
              <w:pStyle w:val="31"/>
              <w:bidi w:val="0"/>
              <w:jc w:val="left"/>
              <w:rPr>
                <w:rFonts w:hint="eastAsia"/>
                <w:color w:val="auto"/>
              </w:rPr>
            </w:pPr>
            <w:r>
              <w:rPr>
                <w:rFonts w:hint="eastAsia"/>
                <w:color w:val="auto"/>
              </w:rPr>
              <w:t>用于设备存放</w:t>
            </w:r>
            <w:r>
              <w:rPr>
                <w:rFonts w:hint="eastAsia"/>
                <w:color w:val="auto"/>
                <w:lang w:eastAsia="zh-CN"/>
              </w:rPr>
              <w:t>，</w:t>
            </w:r>
            <w:r>
              <w:rPr>
                <w:rFonts w:hint="eastAsia"/>
                <w:color w:val="auto"/>
                <w:lang w:val="en-US" w:eastAsia="zh-CN"/>
              </w:rPr>
              <w:t>机械维修保养由设备方运转修理厂开展</w:t>
            </w:r>
            <w:r>
              <w:rPr>
                <w:rFonts w:hint="eastAsia"/>
                <w:color w:val="auto"/>
              </w:rPr>
              <w:t>。</w:t>
            </w:r>
          </w:p>
        </w:tc>
      </w:tr>
      <w:tr w14:paraId="6025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2D7CFBBC">
            <w:pPr>
              <w:pStyle w:val="31"/>
              <w:bidi w:val="0"/>
              <w:rPr>
                <w:rFonts w:hint="eastAsia"/>
                <w:color w:val="auto"/>
                <w:lang w:val="en-US" w:eastAsia="zh-CN"/>
              </w:rPr>
            </w:pPr>
          </w:p>
        </w:tc>
        <w:tc>
          <w:tcPr>
            <w:tcW w:w="267" w:type="pct"/>
            <w:vMerge w:val="continue"/>
            <w:noWrap w:val="0"/>
            <w:vAlign w:val="center"/>
          </w:tcPr>
          <w:p w14:paraId="55BAEFF6">
            <w:pPr>
              <w:pStyle w:val="31"/>
              <w:bidi w:val="0"/>
              <w:rPr>
                <w:rFonts w:hint="eastAsia"/>
                <w:color w:val="auto"/>
                <w:lang w:val="en-US" w:eastAsia="zh-CN"/>
              </w:rPr>
            </w:pPr>
          </w:p>
        </w:tc>
        <w:tc>
          <w:tcPr>
            <w:tcW w:w="515" w:type="pct"/>
            <w:noWrap w:val="0"/>
            <w:vAlign w:val="center"/>
          </w:tcPr>
          <w:p w14:paraId="2E840C3B">
            <w:pPr>
              <w:pStyle w:val="31"/>
              <w:bidi w:val="0"/>
              <w:rPr>
                <w:rFonts w:hint="default"/>
                <w:color w:val="auto"/>
                <w:lang w:val="en-US" w:eastAsia="zh-CN"/>
              </w:rPr>
            </w:pPr>
            <w:r>
              <w:rPr>
                <w:rFonts w:hint="eastAsia"/>
                <w:color w:val="auto"/>
                <w:lang w:val="en-US" w:eastAsia="zh-CN"/>
              </w:rPr>
              <w:t>临时道路</w:t>
            </w:r>
          </w:p>
        </w:tc>
        <w:tc>
          <w:tcPr>
            <w:tcW w:w="3934" w:type="pct"/>
            <w:noWrap w:val="0"/>
            <w:vAlign w:val="center"/>
          </w:tcPr>
          <w:p w14:paraId="27A25DAC">
            <w:pPr>
              <w:pStyle w:val="31"/>
              <w:bidi w:val="0"/>
              <w:jc w:val="left"/>
              <w:rPr>
                <w:rFonts w:hint="eastAsia"/>
                <w:color w:val="auto"/>
              </w:rPr>
            </w:pPr>
            <w:r>
              <w:rPr>
                <w:rFonts w:hint="eastAsia"/>
                <w:color w:val="auto"/>
              </w:rPr>
              <w:t>本</w:t>
            </w:r>
            <w:r>
              <w:rPr>
                <w:rFonts w:hint="eastAsia"/>
                <w:color w:val="auto"/>
                <w:lang w:val="en-US" w:eastAsia="zh-CN"/>
              </w:rPr>
              <w:t>项目</w:t>
            </w:r>
            <w:r>
              <w:rPr>
                <w:rFonts w:hint="eastAsia"/>
                <w:color w:val="auto"/>
              </w:rPr>
              <w:t>主要分为三条临时性道路，道路一服务原6号抛泥区，路线全长0.23km，道路二和道路三服务原5号抛泥区，道路二路线全长0.308km，道路三路线全长0.949km。路基宽度5m，横断面布置为：0.25m土路肩+4.5m行车道+0.25m土路肩，路基填料采用秋浦河航道弃土区挖方石渣填筑。</w:t>
            </w:r>
          </w:p>
        </w:tc>
      </w:tr>
      <w:tr w14:paraId="3DBC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26FBD1FD">
            <w:pPr>
              <w:pStyle w:val="31"/>
              <w:bidi w:val="0"/>
              <w:rPr>
                <w:rFonts w:hint="eastAsia"/>
                <w:color w:val="auto"/>
                <w:lang w:val="en-US" w:eastAsia="zh-CN"/>
              </w:rPr>
            </w:pPr>
          </w:p>
        </w:tc>
        <w:tc>
          <w:tcPr>
            <w:tcW w:w="267" w:type="pct"/>
            <w:vMerge w:val="continue"/>
            <w:noWrap w:val="0"/>
            <w:vAlign w:val="center"/>
          </w:tcPr>
          <w:p w14:paraId="1205C355">
            <w:pPr>
              <w:pStyle w:val="31"/>
              <w:bidi w:val="0"/>
              <w:rPr>
                <w:rFonts w:hint="eastAsia"/>
                <w:color w:val="auto"/>
                <w:lang w:val="en-US" w:eastAsia="zh-CN"/>
              </w:rPr>
            </w:pPr>
          </w:p>
        </w:tc>
        <w:tc>
          <w:tcPr>
            <w:tcW w:w="515" w:type="pct"/>
            <w:noWrap w:val="0"/>
            <w:vAlign w:val="center"/>
          </w:tcPr>
          <w:p w14:paraId="343C2D23">
            <w:pPr>
              <w:pStyle w:val="31"/>
              <w:bidi w:val="0"/>
              <w:rPr>
                <w:rFonts w:hint="default"/>
                <w:color w:val="auto"/>
                <w:lang w:val="en-US" w:eastAsia="zh-CN"/>
              </w:rPr>
            </w:pPr>
            <w:r>
              <w:rPr>
                <w:rFonts w:hint="eastAsia"/>
                <w:color w:val="auto"/>
                <w:lang w:val="en-US" w:eastAsia="zh-CN"/>
              </w:rPr>
              <w:t>弃土区</w:t>
            </w:r>
          </w:p>
        </w:tc>
        <w:tc>
          <w:tcPr>
            <w:tcW w:w="3934" w:type="pct"/>
            <w:noWrap w:val="0"/>
            <w:vAlign w:val="center"/>
          </w:tcPr>
          <w:p w14:paraId="7E682534">
            <w:pPr>
              <w:pStyle w:val="31"/>
              <w:bidi w:val="0"/>
              <w:jc w:val="left"/>
              <w:rPr>
                <w:rFonts w:hint="eastAsia"/>
                <w:color w:val="auto"/>
              </w:rPr>
            </w:pPr>
            <w:r>
              <w:rPr>
                <w:rFonts w:hint="eastAsia"/>
                <w:color w:val="auto"/>
              </w:rPr>
              <w:t>本</w:t>
            </w:r>
            <w:r>
              <w:rPr>
                <w:rFonts w:hint="eastAsia"/>
                <w:color w:val="auto"/>
                <w:lang w:val="en-US" w:eastAsia="zh-CN"/>
              </w:rPr>
              <w:t>项目</w:t>
            </w:r>
            <w:r>
              <w:rPr>
                <w:rFonts w:hint="eastAsia"/>
                <w:color w:val="auto"/>
              </w:rPr>
              <w:t>设置弃土区2处，总占地面积为402.51亩。1号弃土区位于贵池区涓桥镇罗村，占地117.26亩，现状主要为开挖山体低洼地，内部有临时道路交错，现状地面高程在50~80m；2号弃土区位于贵池区涓桥镇杨冲，占地285.25亩，现状为山体开挖的低洼地区，地面底高程在73~150m左右，经计算弃土区容泥量约</w:t>
            </w:r>
            <w:r>
              <w:rPr>
                <w:rFonts w:hint="eastAsia"/>
                <w:color w:val="auto"/>
                <w:lang w:val="en-US" w:eastAsia="zh-CN"/>
              </w:rPr>
              <w:t>78.61</w:t>
            </w:r>
            <w:r>
              <w:rPr>
                <w:rFonts w:hint="eastAsia"/>
                <w:color w:val="auto"/>
              </w:rPr>
              <w:t>万m</w:t>
            </w:r>
            <w:r>
              <w:rPr>
                <w:rFonts w:hint="eastAsia"/>
                <w:color w:val="auto"/>
                <w:vertAlign w:val="superscript"/>
              </w:rPr>
              <w:t>3</w:t>
            </w:r>
            <w:r>
              <w:rPr>
                <w:rFonts w:hint="eastAsia"/>
                <w:color w:val="auto"/>
              </w:rPr>
              <w:t>，平均堆高</w:t>
            </w:r>
            <w:r>
              <w:rPr>
                <w:rFonts w:hint="eastAsia"/>
                <w:color w:val="auto"/>
                <w:lang w:val="en-US" w:eastAsia="zh-CN"/>
              </w:rPr>
              <w:t>2.93</w:t>
            </w:r>
            <w:r>
              <w:rPr>
                <w:rFonts w:hint="eastAsia"/>
                <w:color w:val="auto"/>
              </w:rPr>
              <w:t>m，平均运距11km。</w:t>
            </w:r>
          </w:p>
        </w:tc>
      </w:tr>
      <w:tr w14:paraId="22DA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restart"/>
            <w:noWrap w:val="0"/>
            <w:vAlign w:val="center"/>
          </w:tcPr>
          <w:p w14:paraId="361F39AF">
            <w:pPr>
              <w:pStyle w:val="31"/>
              <w:bidi w:val="0"/>
              <w:rPr>
                <w:color w:val="auto"/>
              </w:rPr>
            </w:pPr>
            <w:r>
              <w:rPr>
                <w:color w:val="auto"/>
              </w:rPr>
              <w:t>3</w:t>
            </w:r>
          </w:p>
        </w:tc>
        <w:tc>
          <w:tcPr>
            <w:tcW w:w="267" w:type="pct"/>
            <w:vMerge w:val="restart"/>
            <w:noWrap w:val="0"/>
            <w:vAlign w:val="center"/>
          </w:tcPr>
          <w:p w14:paraId="5635144D">
            <w:pPr>
              <w:pStyle w:val="31"/>
              <w:bidi w:val="0"/>
              <w:rPr>
                <w:color w:val="auto"/>
              </w:rPr>
            </w:pPr>
            <w:r>
              <w:rPr>
                <w:color w:val="auto"/>
              </w:rPr>
              <w:t>公用工程</w:t>
            </w:r>
          </w:p>
        </w:tc>
        <w:tc>
          <w:tcPr>
            <w:tcW w:w="515" w:type="pct"/>
            <w:noWrap w:val="0"/>
            <w:vAlign w:val="center"/>
          </w:tcPr>
          <w:p w14:paraId="51029C26">
            <w:pPr>
              <w:pStyle w:val="31"/>
              <w:bidi w:val="0"/>
              <w:rPr>
                <w:color w:val="auto"/>
              </w:rPr>
            </w:pPr>
            <w:r>
              <w:rPr>
                <w:color w:val="auto"/>
              </w:rPr>
              <w:t>给水</w:t>
            </w:r>
          </w:p>
        </w:tc>
        <w:tc>
          <w:tcPr>
            <w:tcW w:w="3934" w:type="pct"/>
            <w:noWrap w:val="0"/>
            <w:vAlign w:val="center"/>
          </w:tcPr>
          <w:p w14:paraId="0B2EE194">
            <w:pPr>
              <w:pStyle w:val="31"/>
              <w:bidi w:val="0"/>
              <w:jc w:val="left"/>
              <w:rPr>
                <w:rFonts w:hint="eastAsia"/>
                <w:color w:val="auto"/>
              </w:rPr>
            </w:pPr>
            <w:r>
              <w:rPr>
                <w:rFonts w:hint="eastAsia"/>
                <w:color w:val="auto"/>
              </w:rPr>
              <w:t>用水可利用工程附近的村庄、城镇处已有的供水系统。</w:t>
            </w:r>
          </w:p>
        </w:tc>
      </w:tr>
      <w:tr w14:paraId="67F7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7DF3C19D">
            <w:pPr>
              <w:pStyle w:val="31"/>
              <w:bidi w:val="0"/>
              <w:rPr>
                <w:color w:val="auto"/>
              </w:rPr>
            </w:pPr>
          </w:p>
        </w:tc>
        <w:tc>
          <w:tcPr>
            <w:tcW w:w="267" w:type="pct"/>
            <w:vMerge w:val="continue"/>
            <w:noWrap w:val="0"/>
            <w:vAlign w:val="center"/>
          </w:tcPr>
          <w:p w14:paraId="5B4E8351">
            <w:pPr>
              <w:pStyle w:val="31"/>
              <w:bidi w:val="0"/>
              <w:rPr>
                <w:color w:val="auto"/>
              </w:rPr>
            </w:pPr>
          </w:p>
        </w:tc>
        <w:tc>
          <w:tcPr>
            <w:tcW w:w="515" w:type="pct"/>
            <w:noWrap w:val="0"/>
            <w:vAlign w:val="center"/>
          </w:tcPr>
          <w:p w14:paraId="7EFBDF5A">
            <w:pPr>
              <w:pStyle w:val="31"/>
              <w:bidi w:val="0"/>
              <w:rPr>
                <w:color w:val="auto"/>
              </w:rPr>
            </w:pPr>
            <w:r>
              <w:rPr>
                <w:color w:val="auto"/>
              </w:rPr>
              <w:t>供电</w:t>
            </w:r>
          </w:p>
        </w:tc>
        <w:tc>
          <w:tcPr>
            <w:tcW w:w="3934" w:type="pct"/>
            <w:noWrap w:val="0"/>
            <w:vAlign w:val="center"/>
          </w:tcPr>
          <w:p w14:paraId="10AC7709">
            <w:pPr>
              <w:pStyle w:val="31"/>
              <w:bidi w:val="0"/>
              <w:jc w:val="left"/>
              <w:rPr>
                <w:rFonts w:hint="eastAsia"/>
                <w:color w:val="auto"/>
              </w:rPr>
            </w:pPr>
            <w:r>
              <w:rPr>
                <w:rFonts w:hint="eastAsia"/>
                <w:color w:val="auto"/>
              </w:rPr>
              <w:t>由</w:t>
            </w:r>
            <w:r>
              <w:rPr>
                <w:rFonts w:hint="eastAsia"/>
                <w:color w:val="auto"/>
                <w:lang w:val="en-US" w:eastAsia="zh-CN"/>
              </w:rPr>
              <w:t>贵池区涓桥镇</w:t>
            </w:r>
            <w:r>
              <w:rPr>
                <w:rFonts w:hint="eastAsia"/>
                <w:color w:val="auto"/>
              </w:rPr>
              <w:t>供电管网提供</w:t>
            </w:r>
          </w:p>
        </w:tc>
      </w:tr>
      <w:tr w14:paraId="15D8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restart"/>
            <w:noWrap w:val="0"/>
            <w:vAlign w:val="center"/>
          </w:tcPr>
          <w:p w14:paraId="71960520">
            <w:pPr>
              <w:pStyle w:val="31"/>
              <w:bidi w:val="0"/>
              <w:rPr>
                <w:color w:val="auto"/>
              </w:rPr>
            </w:pPr>
            <w:r>
              <w:rPr>
                <w:color w:val="auto"/>
              </w:rPr>
              <w:t>4</w:t>
            </w:r>
          </w:p>
        </w:tc>
        <w:tc>
          <w:tcPr>
            <w:tcW w:w="267" w:type="pct"/>
            <w:vMerge w:val="restart"/>
            <w:noWrap w:val="0"/>
            <w:vAlign w:val="center"/>
          </w:tcPr>
          <w:p w14:paraId="7E5FFF3C">
            <w:pPr>
              <w:pStyle w:val="31"/>
              <w:bidi w:val="0"/>
              <w:rPr>
                <w:color w:val="auto"/>
              </w:rPr>
            </w:pPr>
            <w:r>
              <w:rPr>
                <w:color w:val="auto"/>
              </w:rPr>
              <w:t>环保工程</w:t>
            </w:r>
          </w:p>
        </w:tc>
        <w:tc>
          <w:tcPr>
            <w:tcW w:w="515" w:type="pct"/>
            <w:noWrap w:val="0"/>
            <w:vAlign w:val="center"/>
          </w:tcPr>
          <w:p w14:paraId="54057115">
            <w:pPr>
              <w:pStyle w:val="31"/>
              <w:bidi w:val="0"/>
              <w:rPr>
                <w:color w:val="auto"/>
              </w:rPr>
            </w:pPr>
            <w:r>
              <w:rPr>
                <w:rFonts w:hint="eastAsia"/>
                <w:color w:val="auto"/>
              </w:rPr>
              <w:t>废水</w:t>
            </w:r>
          </w:p>
        </w:tc>
        <w:tc>
          <w:tcPr>
            <w:tcW w:w="3934" w:type="pct"/>
            <w:noWrap w:val="0"/>
            <w:vAlign w:val="center"/>
          </w:tcPr>
          <w:p w14:paraId="5BC97195">
            <w:pPr>
              <w:pStyle w:val="31"/>
              <w:bidi w:val="0"/>
              <w:jc w:val="left"/>
              <w:rPr>
                <w:rFonts w:hint="eastAsia"/>
                <w:color w:val="auto"/>
              </w:rPr>
            </w:pPr>
            <w:r>
              <w:rPr>
                <w:rFonts w:hint="eastAsia"/>
                <w:color w:val="auto"/>
              </w:rPr>
              <w:t>施工场地设置沉淀池、隔油池，处理后的废水回用；施工生活污水依托居民自建化粪池进行处理，由附近居民清掏用作农家肥，不外排。</w:t>
            </w:r>
          </w:p>
        </w:tc>
      </w:tr>
      <w:tr w14:paraId="6E46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16021A95">
            <w:pPr>
              <w:pStyle w:val="31"/>
              <w:bidi w:val="0"/>
              <w:rPr>
                <w:color w:val="auto"/>
              </w:rPr>
            </w:pPr>
          </w:p>
        </w:tc>
        <w:tc>
          <w:tcPr>
            <w:tcW w:w="267" w:type="pct"/>
            <w:vMerge w:val="continue"/>
            <w:noWrap w:val="0"/>
            <w:vAlign w:val="center"/>
          </w:tcPr>
          <w:p w14:paraId="63188519">
            <w:pPr>
              <w:pStyle w:val="31"/>
              <w:bidi w:val="0"/>
              <w:rPr>
                <w:color w:val="auto"/>
              </w:rPr>
            </w:pPr>
          </w:p>
        </w:tc>
        <w:tc>
          <w:tcPr>
            <w:tcW w:w="515" w:type="pct"/>
            <w:noWrap w:val="0"/>
            <w:vAlign w:val="center"/>
          </w:tcPr>
          <w:p w14:paraId="44BC1FFA">
            <w:pPr>
              <w:pStyle w:val="31"/>
              <w:bidi w:val="0"/>
              <w:rPr>
                <w:color w:val="auto"/>
              </w:rPr>
            </w:pPr>
            <w:r>
              <w:rPr>
                <w:rFonts w:hint="eastAsia"/>
                <w:color w:val="auto"/>
              </w:rPr>
              <w:t>废气</w:t>
            </w:r>
          </w:p>
        </w:tc>
        <w:tc>
          <w:tcPr>
            <w:tcW w:w="3934" w:type="pct"/>
            <w:noWrap w:val="0"/>
            <w:vAlign w:val="center"/>
          </w:tcPr>
          <w:p w14:paraId="76FF1C35">
            <w:pPr>
              <w:pStyle w:val="31"/>
              <w:bidi w:val="0"/>
              <w:jc w:val="left"/>
              <w:rPr>
                <w:rFonts w:hint="eastAsia"/>
                <w:color w:val="auto"/>
              </w:rPr>
            </w:pPr>
            <w:r>
              <w:rPr>
                <w:rFonts w:hint="eastAsia"/>
                <w:color w:val="auto"/>
              </w:rPr>
              <w:t>施工场地扬尘实行“六个百分百”；砂砾石料统一堆放并进行遮盖；对施工现场进行围栏或部分围栏，减少施工扬尘扩散范围；合理布置运输车辆行驶路线，封闭车厢运输。对车辆进出施工场地进行冲洗；选择在枯水期施工，避开主汛期。淤泥堆放时要用砂土等覆盖，这样既可以加快淤泥干化的速度，又可以避免淤泥产生的恶臭对周围环境产生明显影响</w:t>
            </w:r>
          </w:p>
        </w:tc>
      </w:tr>
      <w:tr w14:paraId="4C93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5052E595">
            <w:pPr>
              <w:pStyle w:val="31"/>
              <w:bidi w:val="0"/>
              <w:rPr>
                <w:color w:val="auto"/>
              </w:rPr>
            </w:pPr>
          </w:p>
        </w:tc>
        <w:tc>
          <w:tcPr>
            <w:tcW w:w="267" w:type="pct"/>
            <w:vMerge w:val="continue"/>
            <w:noWrap w:val="0"/>
            <w:vAlign w:val="center"/>
          </w:tcPr>
          <w:p w14:paraId="22FBE987">
            <w:pPr>
              <w:pStyle w:val="31"/>
              <w:bidi w:val="0"/>
              <w:rPr>
                <w:color w:val="auto"/>
              </w:rPr>
            </w:pPr>
          </w:p>
        </w:tc>
        <w:tc>
          <w:tcPr>
            <w:tcW w:w="515" w:type="pct"/>
            <w:noWrap w:val="0"/>
            <w:vAlign w:val="center"/>
          </w:tcPr>
          <w:p w14:paraId="18864727">
            <w:pPr>
              <w:pStyle w:val="31"/>
              <w:bidi w:val="0"/>
              <w:rPr>
                <w:color w:val="auto"/>
              </w:rPr>
            </w:pPr>
            <w:r>
              <w:rPr>
                <w:color w:val="auto"/>
              </w:rPr>
              <w:t>设备噪声</w:t>
            </w:r>
          </w:p>
        </w:tc>
        <w:tc>
          <w:tcPr>
            <w:tcW w:w="3934" w:type="pct"/>
            <w:noWrap w:val="0"/>
            <w:vAlign w:val="center"/>
          </w:tcPr>
          <w:p w14:paraId="4D8B4854">
            <w:pPr>
              <w:pStyle w:val="31"/>
              <w:bidi w:val="0"/>
              <w:jc w:val="left"/>
              <w:rPr>
                <w:color w:val="auto"/>
              </w:rPr>
            </w:pPr>
            <w:r>
              <w:rPr>
                <w:rFonts w:hint="eastAsia"/>
                <w:color w:val="auto"/>
              </w:rPr>
              <w:t>施工场地设置围挡，施工机械选用低噪声设备、隔声、减振</w:t>
            </w:r>
          </w:p>
        </w:tc>
      </w:tr>
      <w:tr w14:paraId="0560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4A40F3BE">
            <w:pPr>
              <w:pStyle w:val="31"/>
              <w:bidi w:val="0"/>
              <w:rPr>
                <w:color w:val="auto"/>
              </w:rPr>
            </w:pPr>
          </w:p>
        </w:tc>
        <w:tc>
          <w:tcPr>
            <w:tcW w:w="267" w:type="pct"/>
            <w:vMerge w:val="continue"/>
            <w:noWrap w:val="0"/>
            <w:vAlign w:val="center"/>
          </w:tcPr>
          <w:p w14:paraId="0B099DD1">
            <w:pPr>
              <w:pStyle w:val="31"/>
              <w:bidi w:val="0"/>
              <w:rPr>
                <w:color w:val="auto"/>
              </w:rPr>
            </w:pPr>
          </w:p>
        </w:tc>
        <w:tc>
          <w:tcPr>
            <w:tcW w:w="515" w:type="pct"/>
            <w:noWrap w:val="0"/>
            <w:vAlign w:val="center"/>
          </w:tcPr>
          <w:p w14:paraId="0F7F7BCA">
            <w:pPr>
              <w:pStyle w:val="31"/>
              <w:bidi w:val="0"/>
              <w:rPr>
                <w:color w:val="auto"/>
              </w:rPr>
            </w:pPr>
            <w:r>
              <w:rPr>
                <w:rFonts w:hint="eastAsia"/>
                <w:color w:val="auto"/>
              </w:rPr>
              <w:t>固废</w:t>
            </w:r>
          </w:p>
        </w:tc>
        <w:tc>
          <w:tcPr>
            <w:tcW w:w="3934" w:type="pct"/>
            <w:noWrap w:val="0"/>
            <w:vAlign w:val="center"/>
          </w:tcPr>
          <w:p w14:paraId="29596E4B">
            <w:pPr>
              <w:pStyle w:val="31"/>
              <w:bidi w:val="0"/>
              <w:jc w:val="left"/>
              <w:rPr>
                <w:color w:val="auto"/>
              </w:rPr>
            </w:pPr>
            <w:r>
              <w:rPr>
                <w:rFonts w:hint="eastAsia"/>
                <w:color w:val="auto"/>
              </w:rPr>
              <w:t>施工人员生活垃圾由当地环卫部门定期清理；弃土在临时堆场区临时堆放，及时清理，严禁随意堆放、丢弃，可以回收利用的尽量回收利用；清淤后的淤泥在运至指定弃土场堆放，淤泥在运输过程中按照指定路线运输，尽量避开居民集中区。</w:t>
            </w:r>
          </w:p>
        </w:tc>
      </w:tr>
      <w:tr w14:paraId="5AF6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5E8DA42E">
            <w:pPr>
              <w:pStyle w:val="31"/>
              <w:bidi w:val="0"/>
              <w:rPr>
                <w:color w:val="auto"/>
              </w:rPr>
            </w:pPr>
          </w:p>
        </w:tc>
        <w:tc>
          <w:tcPr>
            <w:tcW w:w="267" w:type="pct"/>
            <w:vMerge w:val="continue"/>
            <w:noWrap w:val="0"/>
            <w:vAlign w:val="center"/>
          </w:tcPr>
          <w:p w14:paraId="4E8A1A9E">
            <w:pPr>
              <w:pStyle w:val="31"/>
              <w:bidi w:val="0"/>
              <w:rPr>
                <w:color w:val="auto"/>
              </w:rPr>
            </w:pPr>
          </w:p>
        </w:tc>
        <w:tc>
          <w:tcPr>
            <w:tcW w:w="515" w:type="pct"/>
            <w:noWrap w:val="0"/>
            <w:vAlign w:val="center"/>
          </w:tcPr>
          <w:p w14:paraId="0AE20EA2">
            <w:pPr>
              <w:pStyle w:val="31"/>
              <w:bidi w:val="0"/>
              <w:rPr>
                <w:rFonts w:hint="default"/>
                <w:color w:val="auto"/>
                <w:lang w:val="en-US" w:eastAsia="zh-CN"/>
              </w:rPr>
            </w:pPr>
            <w:r>
              <w:rPr>
                <w:rFonts w:hint="eastAsia"/>
                <w:color w:val="auto"/>
                <w:lang w:val="en-US" w:eastAsia="zh-CN"/>
              </w:rPr>
              <w:t>生态保护与修复措施</w:t>
            </w:r>
          </w:p>
        </w:tc>
        <w:tc>
          <w:tcPr>
            <w:tcW w:w="3934" w:type="pct"/>
            <w:noWrap w:val="0"/>
            <w:vAlign w:val="center"/>
          </w:tcPr>
          <w:p w14:paraId="52A6DD92">
            <w:pPr>
              <w:pStyle w:val="31"/>
              <w:bidi w:val="0"/>
              <w:jc w:val="left"/>
              <w:rPr>
                <w:rFonts w:hint="eastAsia"/>
                <w:color w:val="auto"/>
              </w:rPr>
            </w:pPr>
            <w:r>
              <w:rPr>
                <w:rFonts w:hint="eastAsia"/>
                <w:color w:val="auto"/>
              </w:rPr>
              <w:t>优化施工占地和布局，减少临时占地面积，严格控制施工边界</w:t>
            </w:r>
            <w:r>
              <w:rPr>
                <w:rFonts w:hint="eastAsia"/>
                <w:color w:val="auto"/>
                <w:lang w:eastAsia="zh-CN"/>
              </w:rPr>
              <w:t>；</w:t>
            </w:r>
            <w:r>
              <w:rPr>
                <w:rFonts w:hint="eastAsia"/>
                <w:color w:val="auto"/>
              </w:rPr>
              <w:t>加强施工管理落实水土保持、土地复垦、生态护坡、森林植被修复、表土的保护和利用等措施</w:t>
            </w:r>
            <w:r>
              <w:rPr>
                <w:rFonts w:hint="eastAsia"/>
                <w:color w:val="auto"/>
                <w:lang w:eastAsia="zh-CN"/>
              </w:rPr>
              <w:t>；</w:t>
            </w:r>
            <w:r>
              <w:rPr>
                <w:rFonts w:hint="eastAsia"/>
                <w:color w:val="auto"/>
              </w:rPr>
              <w:t>对野生动物进行驱赶救护，严禁捕杀，保护鸟类迁徙和正常栖息</w:t>
            </w:r>
            <w:r>
              <w:rPr>
                <w:rFonts w:hint="eastAsia"/>
                <w:color w:val="auto"/>
                <w:lang w:eastAsia="zh-CN"/>
              </w:rPr>
              <w:t>；</w:t>
            </w:r>
            <w:r>
              <w:rPr>
                <w:rFonts w:hint="eastAsia"/>
                <w:color w:val="auto"/>
              </w:rPr>
              <w:t>避让鱼类繁殖期，按照渔业主管部门要求实施水生生态补偿措施。</w:t>
            </w:r>
          </w:p>
        </w:tc>
      </w:tr>
      <w:tr w14:paraId="0A52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vMerge w:val="continue"/>
            <w:noWrap w:val="0"/>
            <w:vAlign w:val="center"/>
          </w:tcPr>
          <w:p w14:paraId="26AE32AE">
            <w:pPr>
              <w:pStyle w:val="31"/>
              <w:bidi w:val="0"/>
              <w:rPr>
                <w:color w:val="auto"/>
              </w:rPr>
            </w:pPr>
          </w:p>
        </w:tc>
        <w:tc>
          <w:tcPr>
            <w:tcW w:w="267" w:type="pct"/>
            <w:vMerge w:val="continue"/>
            <w:noWrap w:val="0"/>
            <w:vAlign w:val="center"/>
          </w:tcPr>
          <w:p w14:paraId="07F6BB19">
            <w:pPr>
              <w:pStyle w:val="31"/>
              <w:bidi w:val="0"/>
              <w:rPr>
                <w:color w:val="auto"/>
              </w:rPr>
            </w:pPr>
          </w:p>
        </w:tc>
        <w:tc>
          <w:tcPr>
            <w:tcW w:w="515" w:type="pct"/>
            <w:noWrap w:val="0"/>
            <w:vAlign w:val="center"/>
          </w:tcPr>
          <w:p w14:paraId="7EF3663C">
            <w:pPr>
              <w:pStyle w:val="31"/>
              <w:bidi w:val="0"/>
              <w:rPr>
                <w:rFonts w:hint="default"/>
                <w:color w:val="auto"/>
                <w:lang w:val="en-US" w:eastAsia="zh-CN"/>
              </w:rPr>
            </w:pPr>
            <w:r>
              <w:rPr>
                <w:rFonts w:hint="eastAsia"/>
                <w:color w:val="auto"/>
              </w:rPr>
              <w:t>水土保持</w:t>
            </w:r>
          </w:p>
        </w:tc>
        <w:tc>
          <w:tcPr>
            <w:tcW w:w="3934" w:type="pct"/>
            <w:noWrap w:val="0"/>
            <w:vAlign w:val="center"/>
          </w:tcPr>
          <w:p w14:paraId="528DFB7F">
            <w:pPr>
              <w:pStyle w:val="31"/>
              <w:bidi w:val="0"/>
              <w:jc w:val="left"/>
              <w:rPr>
                <w:rFonts w:hint="eastAsia"/>
                <w:color w:val="auto"/>
              </w:rPr>
            </w:pPr>
            <w:r>
              <w:rPr>
                <w:rFonts w:hint="eastAsia"/>
                <w:color w:val="auto"/>
              </w:rPr>
              <w:t>修建截、排水沟，</w:t>
            </w:r>
            <w:r>
              <w:rPr>
                <w:rFonts w:hint="eastAsia"/>
                <w:color w:val="auto"/>
                <w:lang w:val="en-US" w:eastAsia="zh-CN"/>
              </w:rPr>
              <w:t>沉淀池。</w:t>
            </w:r>
            <w:r>
              <w:rPr>
                <w:rFonts w:hint="eastAsia"/>
                <w:color w:val="auto"/>
              </w:rPr>
              <w:t>临时占地覆土后种植草皮、树木</w:t>
            </w:r>
          </w:p>
        </w:tc>
      </w:tr>
    </w:tbl>
    <w:p w14:paraId="006EC631">
      <w:pPr>
        <w:rPr>
          <w:rFonts w:hint="eastAsia"/>
          <w:color w:val="auto"/>
        </w:rPr>
      </w:pPr>
    </w:p>
    <w:p w14:paraId="5B90CFCD">
      <w:pPr>
        <w:rPr>
          <w:rFonts w:hint="eastAsia"/>
          <w:color w:val="auto"/>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upperRoman"/>
          <w:cols w:space="0" w:num="1"/>
          <w:rtlGutter w:val="0"/>
          <w:docGrid w:type="lines" w:linePitch="332" w:charSpace="0"/>
        </w:sectPr>
      </w:pPr>
    </w:p>
    <w:p w14:paraId="4D06E39D">
      <w:pPr>
        <w:pStyle w:val="4"/>
        <w:bidi w:val="0"/>
        <w:rPr>
          <w:rFonts w:hint="eastAsia"/>
          <w:color w:val="auto"/>
        </w:rPr>
      </w:pPr>
      <w:bookmarkStart w:id="89" w:name="_Toc31924"/>
      <w:r>
        <w:rPr>
          <w:rFonts w:hint="eastAsia"/>
          <w:color w:val="auto"/>
          <w:lang w:val="en-US" w:eastAsia="zh-CN"/>
        </w:rPr>
        <w:t>原辅</w:t>
      </w:r>
      <w:r>
        <w:rPr>
          <w:rFonts w:hint="eastAsia"/>
          <w:color w:val="auto"/>
        </w:rPr>
        <w:t>材料</w:t>
      </w:r>
      <w:bookmarkEnd w:id="89"/>
    </w:p>
    <w:p w14:paraId="04EFF93A">
      <w:pPr>
        <w:bidi w:val="0"/>
        <w:rPr>
          <w:rFonts w:hint="eastAsia"/>
          <w:color w:val="auto"/>
        </w:rPr>
      </w:pPr>
      <w:r>
        <w:rPr>
          <w:rFonts w:hint="eastAsia"/>
          <w:color w:val="auto"/>
          <w:lang w:val="en-US" w:eastAsia="zh-CN"/>
        </w:rPr>
        <w:t>本项目主要施工建筑材料见下表。</w:t>
      </w:r>
    </w:p>
    <w:p w14:paraId="66A5179E">
      <w:pPr>
        <w:pStyle w:val="11"/>
        <w:rPr>
          <w:rFonts w:hint="default" w:eastAsia="宋体"/>
          <w:color w:val="auto"/>
          <w:lang w:val="en-US" w:eastAsia="zh-CN"/>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3.1</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hint="eastAsia"/>
          <w:color w:val="auto"/>
          <w:lang w:val="en-US" w:eastAsia="zh-CN"/>
        </w:rPr>
        <w:t>原辅材料及用量</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3690"/>
        <w:gridCol w:w="2199"/>
      </w:tblGrid>
      <w:tr w14:paraId="4B4D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44" w:type="pct"/>
            <w:vAlign w:val="center"/>
          </w:tcPr>
          <w:p w14:paraId="04246603">
            <w:pPr>
              <w:pStyle w:val="31"/>
              <w:widowControl w:val="0"/>
              <w:bidi w:val="0"/>
              <w:jc w:val="center"/>
              <w:rPr>
                <w:rFonts w:hint="default"/>
                <w:color w:val="auto"/>
                <w:lang w:val="en-US" w:eastAsia="zh-CN"/>
              </w:rPr>
            </w:pPr>
            <w:r>
              <w:rPr>
                <w:rFonts w:hint="eastAsia"/>
                <w:color w:val="auto"/>
                <w:lang w:val="en-US" w:eastAsia="zh-CN"/>
              </w:rPr>
              <w:t>名称</w:t>
            </w:r>
          </w:p>
        </w:tc>
        <w:tc>
          <w:tcPr>
            <w:tcW w:w="2164" w:type="pct"/>
            <w:vAlign w:val="center"/>
          </w:tcPr>
          <w:p w14:paraId="241E390E">
            <w:pPr>
              <w:pStyle w:val="31"/>
              <w:widowControl w:val="0"/>
              <w:bidi w:val="0"/>
              <w:jc w:val="center"/>
              <w:rPr>
                <w:rFonts w:hint="default"/>
                <w:color w:val="auto"/>
                <w:lang w:val="en-US" w:eastAsia="zh-CN"/>
              </w:rPr>
            </w:pPr>
            <w:r>
              <w:rPr>
                <w:rFonts w:hint="eastAsia"/>
                <w:color w:val="auto"/>
                <w:lang w:val="en-US" w:eastAsia="zh-CN"/>
              </w:rPr>
              <w:t>用量</w:t>
            </w:r>
          </w:p>
        </w:tc>
        <w:tc>
          <w:tcPr>
            <w:tcW w:w="1290" w:type="pct"/>
            <w:vAlign w:val="center"/>
          </w:tcPr>
          <w:p w14:paraId="23283CAA">
            <w:pPr>
              <w:pStyle w:val="31"/>
              <w:widowControl w:val="0"/>
              <w:bidi w:val="0"/>
              <w:jc w:val="center"/>
              <w:rPr>
                <w:rFonts w:hint="eastAsia" w:eastAsia="宋体"/>
                <w:color w:val="auto"/>
                <w:lang w:val="en-US" w:eastAsia="zh-CN"/>
              </w:rPr>
            </w:pPr>
            <w:r>
              <w:rPr>
                <w:rFonts w:hint="eastAsia"/>
                <w:color w:val="auto"/>
                <w:lang w:val="en-US" w:eastAsia="zh-CN"/>
              </w:rPr>
              <w:t>备注</w:t>
            </w:r>
          </w:p>
        </w:tc>
      </w:tr>
      <w:tr w14:paraId="3CBC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44" w:type="pct"/>
            <w:vAlign w:val="center"/>
          </w:tcPr>
          <w:p w14:paraId="209E3F83">
            <w:pPr>
              <w:pStyle w:val="31"/>
              <w:widowControl w:val="0"/>
              <w:bidi w:val="0"/>
              <w:jc w:val="center"/>
              <w:rPr>
                <w:rFonts w:hint="eastAsia"/>
                <w:color w:val="auto"/>
                <w:lang w:val="en-US" w:eastAsia="zh-CN"/>
              </w:rPr>
            </w:pPr>
            <w:r>
              <w:rPr>
                <w:rFonts w:hint="eastAsia"/>
                <w:color w:val="auto"/>
              </w:rPr>
              <w:t>柴油</w:t>
            </w:r>
          </w:p>
        </w:tc>
        <w:tc>
          <w:tcPr>
            <w:tcW w:w="2164" w:type="pct"/>
            <w:vAlign w:val="center"/>
          </w:tcPr>
          <w:p w14:paraId="3AF784F0">
            <w:pPr>
              <w:pStyle w:val="31"/>
              <w:widowControl w:val="0"/>
              <w:bidi w:val="0"/>
              <w:jc w:val="center"/>
              <w:rPr>
                <w:rFonts w:hint="eastAsia"/>
                <w:color w:val="auto"/>
                <w:lang w:val="en-US" w:eastAsia="zh-CN"/>
              </w:rPr>
            </w:pPr>
            <w:r>
              <w:rPr>
                <w:rFonts w:hint="eastAsia"/>
                <w:color w:val="auto"/>
              </w:rPr>
              <w:t>172t</w:t>
            </w:r>
          </w:p>
        </w:tc>
        <w:tc>
          <w:tcPr>
            <w:tcW w:w="1290" w:type="pct"/>
            <w:vMerge w:val="restart"/>
            <w:vAlign w:val="center"/>
          </w:tcPr>
          <w:p w14:paraId="3DC2DB90">
            <w:pPr>
              <w:pStyle w:val="31"/>
              <w:widowControl w:val="0"/>
              <w:bidi w:val="0"/>
              <w:jc w:val="center"/>
              <w:rPr>
                <w:rFonts w:hint="default" w:eastAsia="宋体"/>
                <w:color w:val="auto"/>
                <w:lang w:val="en-US" w:eastAsia="zh-CN"/>
              </w:rPr>
            </w:pPr>
            <w:r>
              <w:rPr>
                <w:rFonts w:hint="eastAsia"/>
                <w:color w:val="auto"/>
                <w:lang w:val="en-US" w:eastAsia="zh-CN"/>
              </w:rPr>
              <w:t>施工机械</w:t>
            </w:r>
          </w:p>
        </w:tc>
      </w:tr>
      <w:tr w14:paraId="7195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44" w:type="pct"/>
            <w:vAlign w:val="center"/>
          </w:tcPr>
          <w:p w14:paraId="6EBA9071">
            <w:pPr>
              <w:pStyle w:val="31"/>
              <w:widowControl w:val="0"/>
              <w:bidi w:val="0"/>
              <w:jc w:val="center"/>
              <w:rPr>
                <w:rFonts w:hint="eastAsia"/>
                <w:color w:val="auto"/>
                <w:lang w:val="en-US" w:eastAsia="zh-CN"/>
              </w:rPr>
            </w:pPr>
            <w:r>
              <w:rPr>
                <w:rFonts w:hint="eastAsia"/>
                <w:color w:val="auto"/>
              </w:rPr>
              <w:t>汽油</w:t>
            </w:r>
          </w:p>
        </w:tc>
        <w:tc>
          <w:tcPr>
            <w:tcW w:w="2164" w:type="pct"/>
            <w:vAlign w:val="center"/>
          </w:tcPr>
          <w:p w14:paraId="3A9B1D86">
            <w:pPr>
              <w:pStyle w:val="31"/>
              <w:widowControl w:val="0"/>
              <w:bidi w:val="0"/>
              <w:jc w:val="center"/>
              <w:rPr>
                <w:rFonts w:hint="eastAsia"/>
                <w:color w:val="auto"/>
                <w:lang w:val="en-US" w:eastAsia="zh-CN"/>
              </w:rPr>
            </w:pPr>
            <w:r>
              <w:rPr>
                <w:rFonts w:hint="eastAsia"/>
                <w:color w:val="auto"/>
              </w:rPr>
              <w:t>8t</w:t>
            </w:r>
          </w:p>
        </w:tc>
        <w:tc>
          <w:tcPr>
            <w:tcW w:w="1290" w:type="pct"/>
            <w:vMerge w:val="continue"/>
            <w:vAlign w:val="center"/>
          </w:tcPr>
          <w:p w14:paraId="7343B671">
            <w:pPr>
              <w:pStyle w:val="31"/>
              <w:widowControl w:val="0"/>
              <w:bidi w:val="0"/>
              <w:jc w:val="center"/>
              <w:rPr>
                <w:rFonts w:hint="eastAsia"/>
                <w:color w:val="auto"/>
              </w:rPr>
            </w:pPr>
          </w:p>
        </w:tc>
      </w:tr>
      <w:tr w14:paraId="1BB0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44" w:type="pct"/>
            <w:vAlign w:val="center"/>
          </w:tcPr>
          <w:p w14:paraId="55EBE0B4">
            <w:pPr>
              <w:pStyle w:val="31"/>
              <w:widowControl w:val="0"/>
              <w:bidi w:val="0"/>
              <w:jc w:val="center"/>
              <w:rPr>
                <w:rFonts w:hint="default" w:eastAsia="宋体"/>
                <w:color w:val="auto"/>
                <w:lang w:val="en-US" w:eastAsia="zh-CN"/>
              </w:rPr>
            </w:pPr>
            <w:r>
              <w:rPr>
                <w:rFonts w:hint="eastAsia"/>
                <w:color w:val="auto"/>
                <w:lang w:val="en-US" w:eastAsia="zh-CN"/>
              </w:rPr>
              <w:t>级配碎石</w:t>
            </w:r>
          </w:p>
        </w:tc>
        <w:tc>
          <w:tcPr>
            <w:tcW w:w="2164" w:type="pct"/>
            <w:vAlign w:val="center"/>
          </w:tcPr>
          <w:p w14:paraId="09BBF0A9">
            <w:pPr>
              <w:pStyle w:val="31"/>
              <w:widowControl w:val="0"/>
              <w:bidi w:val="0"/>
              <w:jc w:val="center"/>
              <w:rPr>
                <w:rFonts w:hint="eastAsia"/>
                <w:color w:val="auto"/>
                <w:lang w:val="en-US" w:eastAsia="zh-CN"/>
              </w:rPr>
            </w:pPr>
            <w:r>
              <w:rPr>
                <w:rFonts w:hint="eastAsia"/>
                <w:color w:val="auto"/>
                <w:lang w:val="en-US" w:eastAsia="zh-CN"/>
              </w:rPr>
              <w:t>2230.5</w:t>
            </w:r>
            <w:r>
              <w:rPr>
                <w:rFonts w:hint="eastAsia"/>
                <w:color w:val="auto"/>
              </w:rPr>
              <w:t>m³</w:t>
            </w:r>
          </w:p>
        </w:tc>
        <w:tc>
          <w:tcPr>
            <w:tcW w:w="1290" w:type="pct"/>
            <w:vAlign w:val="center"/>
          </w:tcPr>
          <w:p w14:paraId="7CA59D2C">
            <w:pPr>
              <w:pStyle w:val="31"/>
              <w:widowControl w:val="0"/>
              <w:bidi w:val="0"/>
              <w:jc w:val="center"/>
              <w:rPr>
                <w:rFonts w:hint="default" w:eastAsia="宋体"/>
                <w:color w:val="auto"/>
                <w:lang w:val="en-US" w:eastAsia="zh-CN"/>
              </w:rPr>
            </w:pPr>
            <w:r>
              <w:rPr>
                <w:rFonts w:hint="eastAsia"/>
                <w:color w:val="auto"/>
                <w:lang w:val="en-US" w:eastAsia="zh-CN"/>
              </w:rPr>
              <w:t>临时道路</w:t>
            </w:r>
          </w:p>
        </w:tc>
      </w:tr>
    </w:tbl>
    <w:p w14:paraId="72CEAD7D">
      <w:pPr>
        <w:pStyle w:val="4"/>
        <w:bidi w:val="0"/>
        <w:rPr>
          <w:rFonts w:hint="eastAsia"/>
          <w:color w:val="auto"/>
        </w:rPr>
      </w:pPr>
      <w:bookmarkStart w:id="90" w:name="_Toc8331"/>
      <w:r>
        <w:rPr>
          <w:rFonts w:hint="eastAsia"/>
          <w:color w:val="auto"/>
        </w:rPr>
        <w:t>施工机械设备</w:t>
      </w:r>
      <w:bookmarkEnd w:id="90"/>
    </w:p>
    <w:p w14:paraId="625B30ED">
      <w:pPr>
        <w:bidi w:val="0"/>
        <w:rPr>
          <w:rFonts w:hint="eastAsia"/>
          <w:color w:val="auto"/>
        </w:rPr>
      </w:pPr>
      <w:r>
        <w:rPr>
          <w:rFonts w:hint="eastAsia"/>
          <w:color w:val="auto"/>
        </w:rPr>
        <w:t>主要施工机械设备详见</w:t>
      </w:r>
      <w:r>
        <w:rPr>
          <w:rFonts w:hint="eastAsia"/>
          <w:color w:val="auto"/>
          <w:lang w:val="en-US" w:eastAsia="zh-CN"/>
        </w:rPr>
        <w:t>下表</w:t>
      </w:r>
      <w:r>
        <w:rPr>
          <w:rFonts w:hint="eastAsia"/>
          <w:color w:val="auto"/>
        </w:rPr>
        <w:t>。</w:t>
      </w:r>
    </w:p>
    <w:p w14:paraId="6A51F7DC">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3.1</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hint="eastAsia"/>
          <w:color w:val="auto"/>
        </w:rPr>
        <w:t>主要施工机械设备表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
        <w:gridCol w:w="2505"/>
        <w:gridCol w:w="1883"/>
        <w:gridCol w:w="1884"/>
        <w:gridCol w:w="1302"/>
      </w:tblGrid>
      <w:tr w14:paraId="4558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56" w:type="pct"/>
            <w:tcBorders>
              <w:top w:val="single" w:color="auto" w:sz="4" w:space="0"/>
              <w:left w:val="single" w:color="auto" w:sz="4" w:space="0"/>
              <w:bottom w:val="single" w:color="auto" w:sz="4" w:space="0"/>
              <w:right w:val="single" w:color="auto" w:sz="4" w:space="0"/>
            </w:tcBorders>
            <w:vAlign w:val="center"/>
          </w:tcPr>
          <w:p w14:paraId="27F43772">
            <w:pPr>
              <w:pStyle w:val="31"/>
              <w:bidi w:val="0"/>
              <w:rPr>
                <w:color w:val="auto"/>
              </w:rPr>
            </w:pPr>
            <w:r>
              <w:rPr>
                <w:color w:val="auto"/>
              </w:rPr>
              <w:t>序号</w:t>
            </w:r>
          </w:p>
        </w:tc>
        <w:tc>
          <w:tcPr>
            <w:tcW w:w="1469" w:type="pct"/>
            <w:tcBorders>
              <w:top w:val="single" w:color="auto" w:sz="4" w:space="0"/>
              <w:left w:val="single" w:color="auto" w:sz="4" w:space="0"/>
              <w:bottom w:val="single" w:color="auto" w:sz="4" w:space="0"/>
              <w:right w:val="single" w:color="auto" w:sz="4" w:space="0"/>
            </w:tcBorders>
            <w:vAlign w:val="center"/>
          </w:tcPr>
          <w:p w14:paraId="38451839">
            <w:pPr>
              <w:pStyle w:val="31"/>
              <w:bidi w:val="0"/>
              <w:rPr>
                <w:color w:val="auto"/>
              </w:rPr>
            </w:pPr>
            <w:r>
              <w:rPr>
                <w:color w:val="auto"/>
              </w:rPr>
              <w:t>机械设备名称</w:t>
            </w:r>
          </w:p>
        </w:tc>
        <w:tc>
          <w:tcPr>
            <w:tcW w:w="1104" w:type="pct"/>
            <w:tcBorders>
              <w:top w:val="single" w:color="auto" w:sz="4" w:space="0"/>
              <w:left w:val="single" w:color="auto" w:sz="4" w:space="0"/>
              <w:bottom w:val="single" w:color="auto" w:sz="4" w:space="0"/>
              <w:right w:val="single" w:color="auto" w:sz="4" w:space="0"/>
            </w:tcBorders>
            <w:vAlign w:val="center"/>
          </w:tcPr>
          <w:p w14:paraId="57564B98">
            <w:pPr>
              <w:pStyle w:val="31"/>
              <w:bidi w:val="0"/>
              <w:rPr>
                <w:color w:val="auto"/>
              </w:rPr>
            </w:pPr>
            <w:r>
              <w:rPr>
                <w:color w:val="auto"/>
              </w:rPr>
              <w:t>规格型号</w:t>
            </w:r>
          </w:p>
        </w:tc>
        <w:tc>
          <w:tcPr>
            <w:tcW w:w="1105" w:type="pct"/>
            <w:tcBorders>
              <w:top w:val="single" w:color="auto" w:sz="4" w:space="0"/>
              <w:left w:val="single" w:color="auto" w:sz="4" w:space="0"/>
              <w:bottom w:val="single" w:color="auto" w:sz="4" w:space="0"/>
              <w:right w:val="single" w:color="auto" w:sz="4" w:space="0"/>
            </w:tcBorders>
            <w:vAlign w:val="center"/>
          </w:tcPr>
          <w:p w14:paraId="07B009E6">
            <w:pPr>
              <w:pStyle w:val="31"/>
              <w:bidi w:val="0"/>
              <w:rPr>
                <w:color w:val="auto"/>
              </w:rPr>
            </w:pPr>
            <w:r>
              <w:rPr>
                <w:color w:val="auto"/>
              </w:rPr>
              <w:t>单位</w:t>
            </w:r>
          </w:p>
        </w:tc>
        <w:tc>
          <w:tcPr>
            <w:tcW w:w="763" w:type="pct"/>
            <w:tcBorders>
              <w:top w:val="single" w:color="auto" w:sz="4" w:space="0"/>
              <w:left w:val="single" w:color="auto" w:sz="4" w:space="0"/>
              <w:bottom w:val="single" w:color="auto" w:sz="4" w:space="0"/>
              <w:right w:val="single" w:color="auto" w:sz="4" w:space="0"/>
            </w:tcBorders>
            <w:vAlign w:val="center"/>
          </w:tcPr>
          <w:p w14:paraId="6E9921FD">
            <w:pPr>
              <w:pStyle w:val="31"/>
              <w:bidi w:val="0"/>
              <w:rPr>
                <w:color w:val="auto"/>
              </w:rPr>
            </w:pPr>
            <w:r>
              <w:rPr>
                <w:color w:val="auto"/>
              </w:rPr>
              <w:t>数量</w:t>
            </w:r>
          </w:p>
        </w:tc>
      </w:tr>
      <w:tr w14:paraId="7606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tcBorders>
              <w:top w:val="single" w:color="auto" w:sz="4" w:space="0"/>
              <w:left w:val="single" w:color="auto" w:sz="4" w:space="0"/>
              <w:bottom w:val="single" w:color="auto" w:sz="4" w:space="0"/>
              <w:right w:val="single" w:color="auto" w:sz="4" w:space="0"/>
            </w:tcBorders>
            <w:vAlign w:val="center"/>
          </w:tcPr>
          <w:p w14:paraId="5540A8BB">
            <w:pPr>
              <w:pStyle w:val="31"/>
              <w:bidi w:val="0"/>
              <w:rPr>
                <w:color w:val="auto"/>
              </w:rPr>
            </w:pPr>
            <w:r>
              <w:rPr>
                <w:color w:val="auto"/>
              </w:rPr>
              <w:t>1</w:t>
            </w:r>
          </w:p>
        </w:tc>
        <w:tc>
          <w:tcPr>
            <w:tcW w:w="1469" w:type="pct"/>
            <w:tcBorders>
              <w:top w:val="single" w:color="auto" w:sz="4" w:space="0"/>
              <w:left w:val="single" w:color="auto" w:sz="4" w:space="0"/>
              <w:bottom w:val="single" w:color="auto" w:sz="4" w:space="0"/>
              <w:right w:val="single" w:color="auto" w:sz="4" w:space="0"/>
            </w:tcBorders>
            <w:vAlign w:val="center"/>
          </w:tcPr>
          <w:p w14:paraId="75387639">
            <w:pPr>
              <w:pStyle w:val="31"/>
              <w:bidi w:val="0"/>
              <w:rPr>
                <w:color w:val="auto"/>
              </w:rPr>
            </w:pPr>
            <w:r>
              <w:rPr>
                <w:color w:val="auto"/>
              </w:rPr>
              <w:t>液压反铲挖掘机</w:t>
            </w:r>
          </w:p>
        </w:tc>
        <w:tc>
          <w:tcPr>
            <w:tcW w:w="1104" w:type="pct"/>
            <w:tcBorders>
              <w:top w:val="single" w:color="auto" w:sz="4" w:space="0"/>
              <w:left w:val="single" w:color="auto" w:sz="4" w:space="0"/>
              <w:bottom w:val="single" w:color="auto" w:sz="4" w:space="0"/>
              <w:right w:val="single" w:color="auto" w:sz="4" w:space="0"/>
            </w:tcBorders>
            <w:vAlign w:val="center"/>
          </w:tcPr>
          <w:p w14:paraId="68496AD8">
            <w:pPr>
              <w:pStyle w:val="31"/>
              <w:bidi w:val="0"/>
              <w:rPr>
                <w:color w:val="auto"/>
              </w:rPr>
            </w:pPr>
            <w:r>
              <w:rPr>
                <w:color w:val="auto"/>
              </w:rPr>
              <w:t>1m³</w:t>
            </w:r>
          </w:p>
        </w:tc>
        <w:tc>
          <w:tcPr>
            <w:tcW w:w="1105" w:type="pct"/>
            <w:tcBorders>
              <w:top w:val="single" w:color="auto" w:sz="4" w:space="0"/>
              <w:left w:val="single" w:color="auto" w:sz="4" w:space="0"/>
              <w:bottom w:val="single" w:color="auto" w:sz="4" w:space="0"/>
              <w:right w:val="single" w:color="auto" w:sz="4" w:space="0"/>
            </w:tcBorders>
            <w:vAlign w:val="center"/>
          </w:tcPr>
          <w:p w14:paraId="12EFCAC6">
            <w:pPr>
              <w:pStyle w:val="31"/>
              <w:bidi w:val="0"/>
              <w:rPr>
                <w:color w:val="auto"/>
              </w:rPr>
            </w:pPr>
            <w:r>
              <w:rPr>
                <w:color w:val="auto"/>
              </w:rPr>
              <w:t>台</w:t>
            </w:r>
          </w:p>
        </w:tc>
        <w:tc>
          <w:tcPr>
            <w:tcW w:w="763" w:type="pct"/>
            <w:tcBorders>
              <w:top w:val="single" w:color="auto" w:sz="4" w:space="0"/>
              <w:left w:val="single" w:color="auto" w:sz="4" w:space="0"/>
              <w:bottom w:val="single" w:color="auto" w:sz="4" w:space="0"/>
              <w:right w:val="single" w:color="auto" w:sz="4" w:space="0"/>
            </w:tcBorders>
            <w:vAlign w:val="center"/>
          </w:tcPr>
          <w:p w14:paraId="1E04C93C">
            <w:pPr>
              <w:pStyle w:val="31"/>
              <w:bidi w:val="0"/>
              <w:rPr>
                <w:color w:val="auto"/>
              </w:rPr>
            </w:pPr>
            <w:r>
              <w:rPr>
                <w:color w:val="auto"/>
              </w:rPr>
              <w:t>10</w:t>
            </w:r>
          </w:p>
        </w:tc>
      </w:tr>
      <w:tr w14:paraId="5666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tcBorders>
              <w:top w:val="single" w:color="auto" w:sz="4" w:space="0"/>
              <w:left w:val="single" w:color="auto" w:sz="4" w:space="0"/>
              <w:bottom w:val="single" w:color="auto" w:sz="4" w:space="0"/>
              <w:right w:val="single" w:color="auto" w:sz="4" w:space="0"/>
            </w:tcBorders>
            <w:vAlign w:val="center"/>
          </w:tcPr>
          <w:p w14:paraId="70B2BA9A">
            <w:pPr>
              <w:pStyle w:val="31"/>
              <w:bidi w:val="0"/>
              <w:rPr>
                <w:color w:val="auto"/>
              </w:rPr>
            </w:pPr>
            <w:r>
              <w:rPr>
                <w:color w:val="auto"/>
              </w:rPr>
              <w:t>2</w:t>
            </w:r>
          </w:p>
        </w:tc>
        <w:tc>
          <w:tcPr>
            <w:tcW w:w="1469" w:type="pct"/>
            <w:tcBorders>
              <w:top w:val="single" w:color="auto" w:sz="4" w:space="0"/>
              <w:left w:val="single" w:color="auto" w:sz="4" w:space="0"/>
              <w:bottom w:val="single" w:color="auto" w:sz="4" w:space="0"/>
              <w:right w:val="single" w:color="auto" w:sz="4" w:space="0"/>
            </w:tcBorders>
            <w:vAlign w:val="center"/>
          </w:tcPr>
          <w:p w14:paraId="4FE83335">
            <w:pPr>
              <w:pStyle w:val="31"/>
              <w:bidi w:val="0"/>
              <w:rPr>
                <w:color w:val="auto"/>
                <w:highlight w:val="none"/>
              </w:rPr>
            </w:pPr>
            <w:r>
              <w:rPr>
                <w:color w:val="auto"/>
                <w:highlight w:val="none"/>
              </w:rPr>
              <w:t>液压反铲挖掘机</w:t>
            </w:r>
          </w:p>
        </w:tc>
        <w:tc>
          <w:tcPr>
            <w:tcW w:w="1104" w:type="pct"/>
            <w:tcBorders>
              <w:top w:val="single" w:color="auto" w:sz="4" w:space="0"/>
              <w:left w:val="single" w:color="auto" w:sz="4" w:space="0"/>
              <w:bottom w:val="single" w:color="auto" w:sz="4" w:space="0"/>
              <w:right w:val="single" w:color="auto" w:sz="4" w:space="0"/>
            </w:tcBorders>
            <w:vAlign w:val="center"/>
          </w:tcPr>
          <w:p w14:paraId="322DB4A3">
            <w:pPr>
              <w:pStyle w:val="31"/>
              <w:bidi w:val="0"/>
              <w:rPr>
                <w:color w:val="auto"/>
              </w:rPr>
            </w:pPr>
            <w:r>
              <w:rPr>
                <w:color w:val="auto"/>
              </w:rPr>
              <w:t>0.6m³</w:t>
            </w:r>
          </w:p>
        </w:tc>
        <w:tc>
          <w:tcPr>
            <w:tcW w:w="1105" w:type="pct"/>
            <w:tcBorders>
              <w:top w:val="single" w:color="auto" w:sz="4" w:space="0"/>
              <w:left w:val="single" w:color="auto" w:sz="4" w:space="0"/>
              <w:bottom w:val="single" w:color="auto" w:sz="4" w:space="0"/>
              <w:right w:val="single" w:color="auto" w:sz="4" w:space="0"/>
            </w:tcBorders>
            <w:vAlign w:val="center"/>
          </w:tcPr>
          <w:p w14:paraId="5F800F73">
            <w:pPr>
              <w:pStyle w:val="31"/>
              <w:bidi w:val="0"/>
              <w:rPr>
                <w:color w:val="auto"/>
              </w:rPr>
            </w:pPr>
            <w:r>
              <w:rPr>
                <w:color w:val="auto"/>
              </w:rPr>
              <w:t>台</w:t>
            </w:r>
          </w:p>
        </w:tc>
        <w:tc>
          <w:tcPr>
            <w:tcW w:w="763" w:type="pct"/>
            <w:tcBorders>
              <w:top w:val="single" w:color="auto" w:sz="4" w:space="0"/>
              <w:left w:val="single" w:color="auto" w:sz="4" w:space="0"/>
              <w:bottom w:val="single" w:color="auto" w:sz="4" w:space="0"/>
              <w:right w:val="single" w:color="auto" w:sz="4" w:space="0"/>
            </w:tcBorders>
            <w:vAlign w:val="center"/>
          </w:tcPr>
          <w:p w14:paraId="232A82E0">
            <w:pPr>
              <w:pStyle w:val="31"/>
              <w:bidi w:val="0"/>
              <w:rPr>
                <w:rFonts w:hint="default" w:eastAsia="宋体"/>
                <w:color w:val="auto"/>
                <w:lang w:val="en-US" w:eastAsia="zh-CN"/>
              </w:rPr>
            </w:pPr>
            <w:r>
              <w:rPr>
                <w:rFonts w:hint="eastAsia"/>
                <w:color w:val="auto"/>
                <w:lang w:val="en-US" w:eastAsia="zh-CN"/>
              </w:rPr>
              <w:t>10</w:t>
            </w:r>
          </w:p>
        </w:tc>
      </w:tr>
      <w:tr w14:paraId="3B20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tcBorders>
              <w:top w:val="single" w:color="auto" w:sz="4" w:space="0"/>
              <w:left w:val="single" w:color="auto" w:sz="4" w:space="0"/>
              <w:bottom w:val="single" w:color="auto" w:sz="4" w:space="0"/>
              <w:right w:val="single" w:color="auto" w:sz="4" w:space="0"/>
            </w:tcBorders>
            <w:vAlign w:val="center"/>
          </w:tcPr>
          <w:p w14:paraId="148EF324">
            <w:pPr>
              <w:pStyle w:val="31"/>
              <w:bidi w:val="0"/>
              <w:rPr>
                <w:color w:val="auto"/>
              </w:rPr>
            </w:pPr>
            <w:r>
              <w:rPr>
                <w:color w:val="auto"/>
              </w:rPr>
              <w:t>3</w:t>
            </w:r>
          </w:p>
        </w:tc>
        <w:tc>
          <w:tcPr>
            <w:tcW w:w="1469" w:type="pct"/>
            <w:tcBorders>
              <w:top w:val="single" w:color="auto" w:sz="4" w:space="0"/>
              <w:left w:val="single" w:color="auto" w:sz="4" w:space="0"/>
              <w:bottom w:val="single" w:color="auto" w:sz="4" w:space="0"/>
              <w:right w:val="single" w:color="auto" w:sz="4" w:space="0"/>
            </w:tcBorders>
            <w:vAlign w:val="center"/>
          </w:tcPr>
          <w:p w14:paraId="47FB7DE1">
            <w:pPr>
              <w:pStyle w:val="31"/>
              <w:bidi w:val="0"/>
              <w:rPr>
                <w:color w:val="auto"/>
                <w:highlight w:val="none"/>
              </w:rPr>
            </w:pPr>
            <w:r>
              <w:rPr>
                <w:color w:val="auto"/>
                <w:highlight w:val="none"/>
              </w:rPr>
              <w:t>自卸汽车</w:t>
            </w:r>
          </w:p>
        </w:tc>
        <w:tc>
          <w:tcPr>
            <w:tcW w:w="1104" w:type="pct"/>
            <w:tcBorders>
              <w:top w:val="single" w:color="auto" w:sz="4" w:space="0"/>
              <w:left w:val="single" w:color="auto" w:sz="4" w:space="0"/>
              <w:bottom w:val="single" w:color="auto" w:sz="4" w:space="0"/>
              <w:right w:val="single" w:color="auto" w:sz="4" w:space="0"/>
            </w:tcBorders>
            <w:vAlign w:val="center"/>
          </w:tcPr>
          <w:p w14:paraId="21A40982">
            <w:pPr>
              <w:pStyle w:val="31"/>
              <w:bidi w:val="0"/>
              <w:rPr>
                <w:color w:val="auto"/>
              </w:rPr>
            </w:pPr>
            <w:r>
              <w:rPr>
                <w:color w:val="auto"/>
              </w:rPr>
              <w:t>8t</w:t>
            </w:r>
          </w:p>
        </w:tc>
        <w:tc>
          <w:tcPr>
            <w:tcW w:w="1105" w:type="pct"/>
            <w:tcBorders>
              <w:top w:val="single" w:color="auto" w:sz="4" w:space="0"/>
              <w:left w:val="single" w:color="auto" w:sz="4" w:space="0"/>
              <w:bottom w:val="single" w:color="auto" w:sz="4" w:space="0"/>
              <w:right w:val="single" w:color="auto" w:sz="4" w:space="0"/>
            </w:tcBorders>
            <w:vAlign w:val="center"/>
          </w:tcPr>
          <w:p w14:paraId="57F673CF">
            <w:pPr>
              <w:pStyle w:val="31"/>
              <w:bidi w:val="0"/>
              <w:rPr>
                <w:color w:val="auto"/>
              </w:rPr>
            </w:pPr>
            <w:r>
              <w:rPr>
                <w:color w:val="auto"/>
              </w:rPr>
              <w:t>辆</w:t>
            </w:r>
          </w:p>
        </w:tc>
        <w:tc>
          <w:tcPr>
            <w:tcW w:w="763" w:type="pct"/>
            <w:tcBorders>
              <w:top w:val="single" w:color="auto" w:sz="4" w:space="0"/>
              <w:left w:val="single" w:color="auto" w:sz="4" w:space="0"/>
              <w:bottom w:val="single" w:color="auto" w:sz="4" w:space="0"/>
              <w:right w:val="single" w:color="auto" w:sz="4" w:space="0"/>
            </w:tcBorders>
            <w:vAlign w:val="center"/>
          </w:tcPr>
          <w:p w14:paraId="5BAC22BC">
            <w:pPr>
              <w:pStyle w:val="31"/>
              <w:bidi w:val="0"/>
              <w:rPr>
                <w:color w:val="auto"/>
              </w:rPr>
            </w:pPr>
            <w:r>
              <w:rPr>
                <w:rFonts w:hint="eastAsia"/>
                <w:color w:val="auto"/>
                <w:lang w:val="en-US" w:eastAsia="zh-CN"/>
              </w:rPr>
              <w:t>3</w:t>
            </w:r>
            <w:r>
              <w:rPr>
                <w:color w:val="auto"/>
              </w:rPr>
              <w:t>0</w:t>
            </w:r>
          </w:p>
        </w:tc>
      </w:tr>
      <w:tr w14:paraId="4216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tcBorders>
              <w:top w:val="single" w:color="auto" w:sz="4" w:space="0"/>
              <w:left w:val="single" w:color="auto" w:sz="4" w:space="0"/>
              <w:bottom w:val="single" w:color="auto" w:sz="4" w:space="0"/>
              <w:right w:val="single" w:color="auto" w:sz="4" w:space="0"/>
            </w:tcBorders>
            <w:vAlign w:val="center"/>
          </w:tcPr>
          <w:p w14:paraId="54FC3691">
            <w:pPr>
              <w:pStyle w:val="31"/>
              <w:bidi w:val="0"/>
              <w:rPr>
                <w:color w:val="auto"/>
              </w:rPr>
            </w:pPr>
            <w:r>
              <w:rPr>
                <w:color w:val="auto"/>
              </w:rPr>
              <w:t>4</w:t>
            </w:r>
          </w:p>
        </w:tc>
        <w:tc>
          <w:tcPr>
            <w:tcW w:w="1469" w:type="pct"/>
            <w:tcBorders>
              <w:top w:val="single" w:color="auto" w:sz="4" w:space="0"/>
              <w:left w:val="single" w:color="auto" w:sz="4" w:space="0"/>
              <w:bottom w:val="single" w:color="auto" w:sz="4" w:space="0"/>
              <w:right w:val="single" w:color="auto" w:sz="4" w:space="0"/>
            </w:tcBorders>
            <w:vAlign w:val="center"/>
          </w:tcPr>
          <w:p w14:paraId="696AEE08">
            <w:pPr>
              <w:pStyle w:val="31"/>
              <w:bidi w:val="0"/>
              <w:rPr>
                <w:color w:val="auto"/>
                <w:highlight w:val="none"/>
              </w:rPr>
            </w:pPr>
            <w:r>
              <w:rPr>
                <w:color w:val="auto"/>
                <w:highlight w:val="none"/>
              </w:rPr>
              <w:t>推土机</w:t>
            </w:r>
          </w:p>
        </w:tc>
        <w:tc>
          <w:tcPr>
            <w:tcW w:w="1104" w:type="pct"/>
            <w:tcBorders>
              <w:top w:val="single" w:color="auto" w:sz="4" w:space="0"/>
              <w:left w:val="single" w:color="auto" w:sz="4" w:space="0"/>
              <w:bottom w:val="single" w:color="auto" w:sz="4" w:space="0"/>
              <w:right w:val="single" w:color="auto" w:sz="4" w:space="0"/>
            </w:tcBorders>
            <w:vAlign w:val="center"/>
          </w:tcPr>
          <w:p w14:paraId="1325D789">
            <w:pPr>
              <w:pStyle w:val="31"/>
              <w:bidi w:val="0"/>
              <w:rPr>
                <w:color w:val="auto"/>
              </w:rPr>
            </w:pPr>
            <w:r>
              <w:rPr>
                <w:color w:val="auto"/>
              </w:rPr>
              <w:t>74kW</w:t>
            </w:r>
          </w:p>
        </w:tc>
        <w:tc>
          <w:tcPr>
            <w:tcW w:w="1105" w:type="pct"/>
            <w:tcBorders>
              <w:top w:val="single" w:color="auto" w:sz="4" w:space="0"/>
              <w:left w:val="single" w:color="auto" w:sz="4" w:space="0"/>
              <w:bottom w:val="single" w:color="auto" w:sz="4" w:space="0"/>
              <w:right w:val="single" w:color="auto" w:sz="4" w:space="0"/>
            </w:tcBorders>
            <w:vAlign w:val="center"/>
          </w:tcPr>
          <w:p w14:paraId="305F260E">
            <w:pPr>
              <w:pStyle w:val="31"/>
              <w:bidi w:val="0"/>
              <w:rPr>
                <w:color w:val="auto"/>
              </w:rPr>
            </w:pPr>
            <w:r>
              <w:rPr>
                <w:color w:val="auto"/>
              </w:rPr>
              <w:t>台</w:t>
            </w:r>
          </w:p>
        </w:tc>
        <w:tc>
          <w:tcPr>
            <w:tcW w:w="763" w:type="pct"/>
            <w:tcBorders>
              <w:top w:val="single" w:color="auto" w:sz="4" w:space="0"/>
              <w:left w:val="single" w:color="auto" w:sz="4" w:space="0"/>
              <w:bottom w:val="single" w:color="auto" w:sz="4" w:space="0"/>
              <w:right w:val="single" w:color="auto" w:sz="4" w:space="0"/>
            </w:tcBorders>
            <w:vAlign w:val="center"/>
          </w:tcPr>
          <w:p w14:paraId="3FC1B6D0">
            <w:pPr>
              <w:pStyle w:val="31"/>
              <w:bidi w:val="0"/>
              <w:rPr>
                <w:rFonts w:hint="default" w:eastAsia="宋体"/>
                <w:color w:val="auto"/>
                <w:lang w:val="en-US" w:eastAsia="zh-CN"/>
              </w:rPr>
            </w:pPr>
            <w:r>
              <w:rPr>
                <w:rFonts w:hint="eastAsia"/>
                <w:color w:val="auto"/>
                <w:lang w:val="en-US" w:eastAsia="zh-CN"/>
              </w:rPr>
              <w:t>10</w:t>
            </w:r>
          </w:p>
        </w:tc>
      </w:tr>
      <w:tr w14:paraId="039C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tcBorders>
              <w:top w:val="single" w:color="auto" w:sz="4" w:space="0"/>
              <w:left w:val="single" w:color="auto" w:sz="4" w:space="0"/>
              <w:bottom w:val="single" w:color="auto" w:sz="4" w:space="0"/>
              <w:right w:val="single" w:color="auto" w:sz="4" w:space="0"/>
            </w:tcBorders>
            <w:vAlign w:val="center"/>
          </w:tcPr>
          <w:p w14:paraId="433CBA62">
            <w:pPr>
              <w:pStyle w:val="31"/>
              <w:bidi w:val="0"/>
              <w:rPr>
                <w:rFonts w:hint="eastAsia" w:eastAsia="宋体"/>
                <w:color w:val="auto"/>
                <w:lang w:eastAsia="zh-CN"/>
              </w:rPr>
            </w:pPr>
            <w:r>
              <w:rPr>
                <w:rFonts w:hint="eastAsia"/>
                <w:color w:val="auto"/>
                <w:lang w:val="en-US" w:eastAsia="zh-CN"/>
              </w:rPr>
              <w:t>5</w:t>
            </w:r>
          </w:p>
        </w:tc>
        <w:tc>
          <w:tcPr>
            <w:tcW w:w="1469" w:type="pct"/>
            <w:tcBorders>
              <w:top w:val="single" w:color="auto" w:sz="4" w:space="0"/>
              <w:left w:val="single" w:color="auto" w:sz="4" w:space="0"/>
              <w:bottom w:val="single" w:color="auto" w:sz="4" w:space="0"/>
              <w:right w:val="single" w:color="auto" w:sz="4" w:space="0"/>
            </w:tcBorders>
            <w:vAlign w:val="center"/>
          </w:tcPr>
          <w:p w14:paraId="1B9C90EA">
            <w:pPr>
              <w:pStyle w:val="31"/>
              <w:bidi w:val="0"/>
              <w:rPr>
                <w:color w:val="auto"/>
                <w:highlight w:val="none"/>
              </w:rPr>
            </w:pPr>
            <w:r>
              <w:rPr>
                <w:color w:val="auto"/>
                <w:highlight w:val="none"/>
              </w:rPr>
              <w:t>内燃压路机</w:t>
            </w:r>
          </w:p>
        </w:tc>
        <w:tc>
          <w:tcPr>
            <w:tcW w:w="1104" w:type="pct"/>
            <w:tcBorders>
              <w:top w:val="single" w:color="auto" w:sz="4" w:space="0"/>
              <w:left w:val="single" w:color="auto" w:sz="4" w:space="0"/>
              <w:bottom w:val="single" w:color="auto" w:sz="4" w:space="0"/>
              <w:right w:val="single" w:color="auto" w:sz="4" w:space="0"/>
            </w:tcBorders>
            <w:vAlign w:val="center"/>
          </w:tcPr>
          <w:p w14:paraId="7A532B6C">
            <w:pPr>
              <w:pStyle w:val="31"/>
              <w:bidi w:val="0"/>
              <w:rPr>
                <w:color w:val="auto"/>
              </w:rPr>
            </w:pPr>
            <w:r>
              <w:rPr>
                <w:color w:val="auto"/>
              </w:rPr>
              <w:t>12～15t</w:t>
            </w:r>
          </w:p>
        </w:tc>
        <w:tc>
          <w:tcPr>
            <w:tcW w:w="1105" w:type="pct"/>
            <w:tcBorders>
              <w:top w:val="single" w:color="auto" w:sz="4" w:space="0"/>
              <w:left w:val="single" w:color="auto" w:sz="4" w:space="0"/>
              <w:bottom w:val="single" w:color="auto" w:sz="4" w:space="0"/>
              <w:right w:val="single" w:color="auto" w:sz="4" w:space="0"/>
            </w:tcBorders>
            <w:vAlign w:val="center"/>
          </w:tcPr>
          <w:p w14:paraId="1C902346">
            <w:pPr>
              <w:pStyle w:val="31"/>
              <w:bidi w:val="0"/>
              <w:rPr>
                <w:color w:val="auto"/>
              </w:rPr>
            </w:pPr>
            <w:r>
              <w:rPr>
                <w:color w:val="auto"/>
              </w:rPr>
              <w:t>台</w:t>
            </w:r>
          </w:p>
        </w:tc>
        <w:tc>
          <w:tcPr>
            <w:tcW w:w="763" w:type="pct"/>
            <w:tcBorders>
              <w:top w:val="single" w:color="auto" w:sz="4" w:space="0"/>
              <w:left w:val="single" w:color="auto" w:sz="4" w:space="0"/>
              <w:bottom w:val="single" w:color="auto" w:sz="4" w:space="0"/>
              <w:right w:val="single" w:color="auto" w:sz="4" w:space="0"/>
            </w:tcBorders>
            <w:vAlign w:val="center"/>
          </w:tcPr>
          <w:p w14:paraId="6D01CD85">
            <w:pPr>
              <w:pStyle w:val="31"/>
              <w:bidi w:val="0"/>
              <w:rPr>
                <w:rFonts w:hint="default" w:eastAsia="宋体"/>
                <w:color w:val="auto"/>
                <w:lang w:val="en-US" w:eastAsia="zh-CN"/>
              </w:rPr>
            </w:pPr>
            <w:r>
              <w:rPr>
                <w:rFonts w:hint="eastAsia"/>
                <w:color w:val="auto"/>
                <w:lang w:val="en-US" w:eastAsia="zh-CN"/>
              </w:rPr>
              <w:t>10</w:t>
            </w:r>
          </w:p>
        </w:tc>
      </w:tr>
      <w:tr w14:paraId="5E97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tcBorders>
              <w:top w:val="single" w:color="auto" w:sz="4" w:space="0"/>
              <w:left w:val="single" w:color="auto" w:sz="4" w:space="0"/>
              <w:bottom w:val="single" w:color="auto" w:sz="4" w:space="0"/>
              <w:right w:val="single" w:color="auto" w:sz="4" w:space="0"/>
            </w:tcBorders>
            <w:vAlign w:val="center"/>
          </w:tcPr>
          <w:p w14:paraId="20C8F385">
            <w:pPr>
              <w:pStyle w:val="31"/>
              <w:bidi w:val="0"/>
              <w:rPr>
                <w:rFonts w:hint="default"/>
                <w:color w:val="auto"/>
                <w:lang w:val="en-US" w:eastAsia="zh-CN"/>
              </w:rPr>
            </w:pPr>
            <w:r>
              <w:rPr>
                <w:rFonts w:hint="eastAsia"/>
                <w:color w:val="auto"/>
                <w:lang w:val="en-US" w:eastAsia="zh-CN"/>
              </w:rPr>
              <w:t>6</w:t>
            </w:r>
          </w:p>
        </w:tc>
        <w:tc>
          <w:tcPr>
            <w:tcW w:w="1469" w:type="pct"/>
            <w:tcBorders>
              <w:top w:val="single" w:color="auto" w:sz="4" w:space="0"/>
              <w:left w:val="single" w:color="auto" w:sz="4" w:space="0"/>
              <w:bottom w:val="single" w:color="auto" w:sz="4" w:space="0"/>
              <w:right w:val="single" w:color="auto" w:sz="4" w:space="0"/>
            </w:tcBorders>
            <w:vAlign w:val="center"/>
          </w:tcPr>
          <w:p w14:paraId="2B9E9552">
            <w:pPr>
              <w:pStyle w:val="31"/>
              <w:bidi w:val="0"/>
              <w:rPr>
                <w:color w:val="auto"/>
                <w:highlight w:val="none"/>
              </w:rPr>
            </w:pPr>
            <w:r>
              <w:rPr>
                <w:rFonts w:hint="eastAsia"/>
                <w:color w:val="auto"/>
                <w:highlight w:val="none"/>
              </w:rPr>
              <w:t>洒水车</w:t>
            </w:r>
          </w:p>
        </w:tc>
        <w:tc>
          <w:tcPr>
            <w:tcW w:w="1104" w:type="pct"/>
            <w:tcBorders>
              <w:top w:val="single" w:color="auto" w:sz="4" w:space="0"/>
              <w:left w:val="single" w:color="auto" w:sz="4" w:space="0"/>
              <w:bottom w:val="single" w:color="auto" w:sz="4" w:space="0"/>
              <w:right w:val="single" w:color="auto" w:sz="4" w:space="0"/>
            </w:tcBorders>
            <w:vAlign w:val="center"/>
          </w:tcPr>
          <w:p w14:paraId="11891B93">
            <w:pPr>
              <w:pStyle w:val="31"/>
              <w:bidi w:val="0"/>
              <w:rPr>
                <w:rFonts w:hint="eastAsia" w:eastAsia="宋体"/>
                <w:color w:val="auto"/>
                <w:lang w:val="en-US" w:eastAsia="zh-CN"/>
              </w:rPr>
            </w:pPr>
            <w:r>
              <w:rPr>
                <w:rFonts w:hint="eastAsia"/>
                <w:color w:val="auto"/>
                <w:lang w:val="en-US" w:eastAsia="zh-CN"/>
              </w:rPr>
              <w:t>5t</w:t>
            </w:r>
          </w:p>
        </w:tc>
        <w:tc>
          <w:tcPr>
            <w:tcW w:w="1105" w:type="pct"/>
            <w:tcBorders>
              <w:top w:val="single" w:color="auto" w:sz="4" w:space="0"/>
              <w:left w:val="single" w:color="auto" w:sz="4" w:space="0"/>
              <w:bottom w:val="single" w:color="auto" w:sz="4" w:space="0"/>
              <w:right w:val="single" w:color="auto" w:sz="4" w:space="0"/>
            </w:tcBorders>
            <w:vAlign w:val="center"/>
          </w:tcPr>
          <w:p w14:paraId="5C5960A4">
            <w:pPr>
              <w:pStyle w:val="31"/>
              <w:bidi w:val="0"/>
              <w:rPr>
                <w:rFonts w:hint="eastAsia" w:eastAsia="宋体"/>
                <w:color w:val="auto"/>
                <w:lang w:val="en-US" w:eastAsia="zh-CN"/>
              </w:rPr>
            </w:pPr>
            <w:r>
              <w:rPr>
                <w:rFonts w:hint="eastAsia"/>
                <w:color w:val="auto"/>
                <w:lang w:val="en-US" w:eastAsia="zh-CN"/>
              </w:rPr>
              <w:t>辆</w:t>
            </w:r>
          </w:p>
        </w:tc>
        <w:tc>
          <w:tcPr>
            <w:tcW w:w="763" w:type="pct"/>
            <w:tcBorders>
              <w:top w:val="single" w:color="auto" w:sz="4" w:space="0"/>
              <w:left w:val="single" w:color="auto" w:sz="4" w:space="0"/>
              <w:bottom w:val="single" w:color="auto" w:sz="4" w:space="0"/>
              <w:right w:val="single" w:color="auto" w:sz="4" w:space="0"/>
            </w:tcBorders>
            <w:vAlign w:val="center"/>
          </w:tcPr>
          <w:p w14:paraId="3EFACCB3">
            <w:pPr>
              <w:pStyle w:val="31"/>
              <w:bidi w:val="0"/>
              <w:rPr>
                <w:rFonts w:hint="default"/>
                <w:color w:val="auto"/>
                <w:lang w:val="en-US" w:eastAsia="zh-CN"/>
              </w:rPr>
            </w:pPr>
            <w:r>
              <w:rPr>
                <w:rFonts w:hint="eastAsia"/>
                <w:color w:val="auto"/>
                <w:lang w:val="en-US" w:eastAsia="zh-CN"/>
              </w:rPr>
              <w:t>10</w:t>
            </w:r>
          </w:p>
        </w:tc>
      </w:tr>
    </w:tbl>
    <w:p w14:paraId="00860425">
      <w:pPr>
        <w:pStyle w:val="4"/>
        <w:bidi w:val="0"/>
        <w:rPr>
          <w:rFonts w:hint="default"/>
          <w:color w:val="auto"/>
          <w:lang w:val="en-US" w:eastAsia="zh-CN"/>
        </w:rPr>
      </w:pPr>
      <w:bookmarkStart w:id="91" w:name="_Toc6373"/>
      <w:r>
        <w:rPr>
          <w:rFonts w:hint="eastAsia"/>
          <w:color w:val="auto"/>
          <w:lang w:val="en-US" w:eastAsia="zh-CN"/>
        </w:rPr>
        <w:t>工程占地</w:t>
      </w:r>
      <w:bookmarkEnd w:id="91"/>
    </w:p>
    <w:p w14:paraId="444FC766">
      <w:pPr>
        <w:bidi w:val="0"/>
        <w:rPr>
          <w:rFonts w:hint="default"/>
          <w:color w:val="auto"/>
          <w:lang w:val="en-US" w:eastAsia="zh-CN"/>
        </w:rPr>
      </w:pPr>
      <w:r>
        <w:rPr>
          <w:rFonts w:hint="eastAsia"/>
          <w:color w:val="auto"/>
        </w:rPr>
        <w:t>本工程</w:t>
      </w:r>
      <w:r>
        <w:rPr>
          <w:rFonts w:hint="eastAsia"/>
          <w:color w:val="auto"/>
          <w:lang w:val="en-US" w:eastAsia="zh-CN"/>
        </w:rPr>
        <w:t>涉及抛泥区2个、弃土区有2</w:t>
      </w:r>
      <w:r>
        <w:rPr>
          <w:rFonts w:hint="eastAsia"/>
          <w:color w:val="auto"/>
        </w:rPr>
        <w:t>个</w:t>
      </w:r>
      <w:r>
        <w:rPr>
          <w:rFonts w:hint="eastAsia"/>
          <w:color w:val="auto"/>
          <w:lang w:val="en-US" w:eastAsia="zh-CN"/>
        </w:rPr>
        <w:t>临时道路3条</w:t>
      </w:r>
      <w:r>
        <w:rPr>
          <w:rFonts w:hint="eastAsia"/>
          <w:color w:val="auto"/>
          <w:lang w:eastAsia="zh-CN"/>
        </w:rPr>
        <w:t>，</w:t>
      </w:r>
      <w:r>
        <w:rPr>
          <w:rFonts w:hint="eastAsia"/>
          <w:color w:val="auto"/>
          <w:lang w:val="en-US" w:eastAsia="zh-CN"/>
        </w:rPr>
        <w:t>其中5号抛泥区占地</w:t>
      </w:r>
      <w:r>
        <w:rPr>
          <w:rFonts w:hint="default"/>
          <w:color w:val="auto"/>
          <w:lang w:val="en-US" w:eastAsia="zh-CN"/>
        </w:rPr>
        <w:t>360.56</w:t>
      </w:r>
      <w:r>
        <w:rPr>
          <w:rFonts w:hint="eastAsia"/>
          <w:color w:val="auto"/>
          <w:lang w:val="en-US" w:eastAsia="zh-CN"/>
        </w:rPr>
        <w:t>亩、6号抛泥区占地</w:t>
      </w:r>
      <w:r>
        <w:rPr>
          <w:rFonts w:hint="eastAsia"/>
          <w:color w:val="auto"/>
        </w:rPr>
        <w:t>305</w:t>
      </w:r>
      <w:r>
        <w:rPr>
          <w:rFonts w:hint="eastAsia"/>
          <w:color w:val="auto"/>
          <w:lang w:val="en-US" w:eastAsia="zh-CN"/>
        </w:rPr>
        <w:t>亩、1号弃土区占地117.26亩、2号弃土区占地285.25亩、临时道路占地11.15亩，具体工程布置情况见下图。</w:t>
      </w:r>
    </w:p>
    <w:p w14:paraId="1A578918">
      <w:pPr>
        <w:bidi w:val="0"/>
        <w:rPr>
          <w:rFonts w:hint="eastAsia"/>
          <w:color w:val="auto"/>
        </w:rPr>
      </w:pPr>
    </w:p>
    <w:p w14:paraId="31CCB9FD">
      <w:pPr>
        <w:bidi w:val="0"/>
        <w:rPr>
          <w:rFonts w:hint="eastAsia"/>
          <w:color w:val="auto"/>
        </w:rPr>
        <w:sectPr>
          <w:pgSz w:w="11906" w:h="16838"/>
          <w:pgMar w:top="1440" w:right="1800" w:bottom="1440" w:left="1800"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1EEBABB5">
      <w:pPr>
        <w:pStyle w:val="31"/>
        <w:bidi w:val="0"/>
        <w:rPr>
          <w:rFonts w:hint="eastAsia" w:eastAsia="宋体"/>
          <w:color w:val="auto"/>
          <w:lang w:eastAsia="zh-CN"/>
        </w:rPr>
      </w:pPr>
      <w:r>
        <w:rPr>
          <w:rFonts w:hint="eastAsia" w:eastAsia="宋体"/>
          <w:color w:val="auto"/>
          <w:lang w:eastAsia="zh-CN"/>
        </w:rPr>
        <w:drawing>
          <wp:inline distT="0" distB="0" distL="114300" distR="114300">
            <wp:extent cx="13235940" cy="7926705"/>
            <wp:effectExtent l="0" t="0" r="3810" b="17145"/>
            <wp:docPr id="16" name="图片 16" descr="施工平面布局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施工平面布局图_00"/>
                    <pic:cNvPicPr>
                      <a:picLocks noChangeAspect="1"/>
                    </pic:cNvPicPr>
                  </pic:nvPicPr>
                  <pic:blipFill>
                    <a:blip r:embed="rId16"/>
                    <a:stretch>
                      <a:fillRect/>
                    </a:stretch>
                  </pic:blipFill>
                  <pic:spPr>
                    <a:xfrm>
                      <a:off x="0" y="0"/>
                      <a:ext cx="13235940" cy="7926705"/>
                    </a:xfrm>
                    <a:prstGeom prst="rect">
                      <a:avLst/>
                    </a:prstGeom>
                  </pic:spPr>
                </pic:pic>
              </a:graphicData>
            </a:graphic>
          </wp:inline>
        </w:drawing>
      </w:r>
    </w:p>
    <w:p w14:paraId="39C67CFE">
      <w:pPr>
        <w:pStyle w:val="11"/>
        <w:bidi w:val="0"/>
        <w:rPr>
          <w:rFonts w:hint="eastAsia"/>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3.1</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2</w:t>
      </w:r>
      <w:r>
        <w:rPr>
          <w:color w:val="auto"/>
        </w:rPr>
        <w:fldChar w:fldCharType="end"/>
      </w:r>
      <w:r>
        <w:rPr>
          <w:rFonts w:hint="eastAsia"/>
          <w:color w:val="auto"/>
          <w:lang w:val="en-US" w:eastAsia="zh-CN"/>
        </w:rPr>
        <w:t>本项目临时工程平面布置</w:t>
      </w:r>
    </w:p>
    <w:p w14:paraId="239A55BB">
      <w:pPr>
        <w:pStyle w:val="4"/>
        <w:bidi w:val="0"/>
        <w:rPr>
          <w:rFonts w:hint="eastAsia"/>
          <w:color w:val="auto"/>
        </w:rPr>
        <w:sectPr>
          <w:pgSz w:w="23811" w:h="16838" w:orient="landscape"/>
          <w:pgMar w:top="1803" w:right="1440" w:bottom="1803" w:left="1440" w:header="851" w:footer="992" w:gutter="0"/>
          <w:pgBorders>
            <w:top w:val="none" w:sz="0" w:space="0"/>
            <w:left w:val="none" w:sz="0" w:space="0"/>
            <w:bottom w:val="none" w:sz="0" w:space="0"/>
            <w:right w:val="none" w:sz="0" w:space="0"/>
          </w:pgBorders>
          <w:pgNumType w:fmt="upperRoman"/>
          <w:cols w:space="0" w:num="1"/>
          <w:rtlGutter w:val="0"/>
          <w:docGrid w:type="lines" w:linePitch="330" w:charSpace="0"/>
        </w:sectPr>
      </w:pPr>
    </w:p>
    <w:p w14:paraId="06257320">
      <w:pPr>
        <w:pStyle w:val="4"/>
        <w:bidi w:val="0"/>
        <w:rPr>
          <w:rFonts w:hint="eastAsia"/>
          <w:color w:val="auto"/>
        </w:rPr>
      </w:pPr>
      <w:bookmarkStart w:id="92" w:name="_Toc8616"/>
      <w:r>
        <w:rPr>
          <w:rFonts w:hint="eastAsia"/>
          <w:color w:val="auto"/>
        </w:rPr>
        <w:t>拆迁</w:t>
      </w:r>
      <w:bookmarkEnd w:id="92"/>
    </w:p>
    <w:p w14:paraId="01F45503">
      <w:pPr>
        <w:bidi w:val="0"/>
        <w:rPr>
          <w:rFonts w:hint="eastAsia"/>
          <w:color w:val="auto"/>
        </w:rPr>
      </w:pPr>
      <w:r>
        <w:rPr>
          <w:rFonts w:hint="eastAsia"/>
          <w:color w:val="auto"/>
        </w:rPr>
        <w:t>本工程布置范围内无拆迁房屋及其他设施。</w:t>
      </w:r>
    </w:p>
    <w:p w14:paraId="694C909B">
      <w:pPr>
        <w:pStyle w:val="3"/>
        <w:bidi w:val="0"/>
        <w:ind w:left="480" w:leftChars="0" w:firstLineChars="0"/>
        <w:rPr>
          <w:rFonts w:hint="eastAsia"/>
          <w:color w:val="auto"/>
          <w:lang w:val="zh-CN" w:eastAsia="zh-CN"/>
        </w:rPr>
      </w:pPr>
      <w:bookmarkStart w:id="93" w:name="_Toc13768"/>
      <w:r>
        <w:rPr>
          <w:rFonts w:hint="eastAsia"/>
          <w:color w:val="auto"/>
          <w:lang w:val="zh-CN" w:eastAsia="zh-CN"/>
        </w:rPr>
        <w:t>工程具体内容和方案</w:t>
      </w:r>
      <w:bookmarkEnd w:id="93"/>
    </w:p>
    <w:p w14:paraId="39BB5F8E">
      <w:pPr>
        <w:pStyle w:val="4"/>
        <w:bidi w:val="0"/>
        <w:rPr>
          <w:rFonts w:hint="eastAsia"/>
          <w:color w:val="auto"/>
        </w:rPr>
      </w:pPr>
      <w:bookmarkStart w:id="94" w:name="_Toc21541"/>
      <w:r>
        <w:rPr>
          <w:rFonts w:hint="eastAsia"/>
          <w:color w:val="auto"/>
        </w:rPr>
        <w:t>工程总布置</w:t>
      </w:r>
      <w:bookmarkEnd w:id="94"/>
    </w:p>
    <w:p w14:paraId="3F132A61">
      <w:pPr>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5号抛泥区基本情况</w:t>
      </w:r>
    </w:p>
    <w:p w14:paraId="7A4D9137">
      <w:pPr>
        <w:snapToGrid w:val="0"/>
        <w:ind w:firstLine="0" w:firstLineChars="0"/>
        <w:jc w:val="center"/>
        <w:rPr>
          <w:color w:val="auto"/>
          <w:kern w:val="0"/>
          <w:szCs w:val="22"/>
          <w:highlight w:val="yellow"/>
        </w:rPr>
      </w:pPr>
      <w:r>
        <w:rPr>
          <w:color w:val="auto"/>
        </w:rPr>
        <w:drawing>
          <wp:inline distT="0" distB="0" distL="0" distR="0">
            <wp:extent cx="5400040" cy="2366645"/>
            <wp:effectExtent l="0" t="0" r="10160" b="14605"/>
            <wp:docPr id="4872798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279831" name="图片 1"/>
                    <pic:cNvPicPr>
                      <a:picLocks noChangeAspect="1"/>
                    </pic:cNvPicPr>
                  </pic:nvPicPr>
                  <pic:blipFill>
                    <a:blip r:embed="rId17"/>
                    <a:srcRect l="20" t="12482" r="1"/>
                    <a:stretch>
                      <a:fillRect/>
                    </a:stretch>
                  </pic:blipFill>
                  <pic:spPr>
                    <a:xfrm>
                      <a:off x="0" y="0"/>
                      <a:ext cx="5400040" cy="2366645"/>
                    </a:xfrm>
                    <a:prstGeom prst="rect">
                      <a:avLst/>
                    </a:prstGeom>
                    <a:ln>
                      <a:noFill/>
                    </a:ln>
                  </pic:spPr>
                </pic:pic>
              </a:graphicData>
            </a:graphic>
          </wp:inline>
        </w:drawing>
      </w:r>
    </w:p>
    <w:p w14:paraId="0CC8DF6C">
      <w:pPr>
        <w:snapToGrid w:val="0"/>
        <w:ind w:firstLine="0" w:firstLineChars="0"/>
        <w:jc w:val="center"/>
        <w:rPr>
          <w:color w:val="auto"/>
          <w:kern w:val="0"/>
          <w:szCs w:val="22"/>
          <w:highlight w:val="yellow"/>
        </w:rPr>
      </w:pPr>
      <w:r>
        <w:rPr>
          <w:color w:val="auto"/>
        </w:rPr>
        <w:drawing>
          <wp:inline distT="0" distB="0" distL="0" distR="0">
            <wp:extent cx="5400040" cy="2376170"/>
            <wp:effectExtent l="0" t="0" r="10160" b="5080"/>
            <wp:docPr id="17078881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88178" name="图片 1"/>
                    <pic:cNvPicPr>
                      <a:picLocks noChangeAspect="1"/>
                    </pic:cNvPicPr>
                  </pic:nvPicPr>
                  <pic:blipFill>
                    <a:blip r:embed="rId18"/>
                    <a:stretch>
                      <a:fillRect/>
                    </a:stretch>
                  </pic:blipFill>
                  <pic:spPr>
                    <a:xfrm>
                      <a:off x="0" y="0"/>
                      <a:ext cx="5400040" cy="2376170"/>
                    </a:xfrm>
                    <a:prstGeom prst="rect">
                      <a:avLst/>
                    </a:prstGeom>
                  </pic:spPr>
                </pic:pic>
              </a:graphicData>
            </a:graphic>
          </wp:inline>
        </w:drawing>
      </w:r>
    </w:p>
    <w:p w14:paraId="619694C0">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color w:val="auto"/>
        </w:rPr>
        <w:t>原5号抛泥区平面布置图</w:t>
      </w:r>
    </w:p>
    <w:p w14:paraId="4977CD63">
      <w:pPr>
        <w:snapToGrid w:val="0"/>
        <w:ind w:firstLine="560"/>
        <w:rPr>
          <w:color w:val="auto"/>
          <w:kern w:val="0"/>
          <w:szCs w:val="22"/>
        </w:rPr>
      </w:pPr>
      <w:r>
        <w:rPr>
          <w:color w:val="auto"/>
          <w:kern w:val="0"/>
          <w:szCs w:val="22"/>
        </w:rPr>
        <w:t>5号抛泥区位于贵池区南闸村，占地832亩，抛泥前用地为现有水塘，地面高程为4.5~9.1m。根据《秋浦河航道整治工程施工图设计》5号抛泥区计划抛高3.5m，抛泥1848908m³，土方来源主要是K7+800~K18+800，其中淤泥质土类约1478681m³，砂土类81168m³，碎石土类约1690m³，陆上挖方287369m³。实际抛泥</w:t>
      </w:r>
      <w:r>
        <w:rPr>
          <w:rFonts w:hint="eastAsia"/>
          <w:color w:val="auto"/>
          <w:kern w:val="0"/>
          <w:szCs w:val="22"/>
        </w:rPr>
        <w:t>约85</w:t>
      </w:r>
      <w:r>
        <w:rPr>
          <w:color w:val="auto"/>
          <w:kern w:val="0"/>
          <w:szCs w:val="22"/>
        </w:rPr>
        <w:t>万方，抛泥后形成水塘和部分滩地，水塘地面高程为8.0~10.0m，滩地地面高程为10.6~15.0m。</w:t>
      </w:r>
    </w:p>
    <w:p w14:paraId="10864073">
      <w:pPr>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6号抛泥区基本情况</w:t>
      </w:r>
    </w:p>
    <w:p w14:paraId="70532F76">
      <w:pPr>
        <w:snapToGrid w:val="0"/>
        <w:ind w:firstLine="0" w:firstLineChars="0"/>
        <w:rPr>
          <w:color w:val="auto"/>
          <w:kern w:val="0"/>
          <w:szCs w:val="22"/>
        </w:rPr>
      </w:pPr>
      <w:r>
        <w:rPr>
          <w:color w:val="auto"/>
        </w:rPr>
        <w:drawing>
          <wp:inline distT="0" distB="0" distL="0" distR="0">
            <wp:extent cx="5400040" cy="2140585"/>
            <wp:effectExtent l="0" t="0" r="10160" b="12065"/>
            <wp:docPr id="11282970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97082" name="图片 1"/>
                    <pic:cNvPicPr>
                      <a:picLocks noChangeAspect="1"/>
                    </pic:cNvPicPr>
                  </pic:nvPicPr>
                  <pic:blipFill>
                    <a:blip r:embed="rId19"/>
                    <a:stretch>
                      <a:fillRect/>
                    </a:stretch>
                  </pic:blipFill>
                  <pic:spPr>
                    <a:xfrm>
                      <a:off x="0" y="0"/>
                      <a:ext cx="5400040" cy="2140585"/>
                    </a:xfrm>
                    <a:prstGeom prst="rect">
                      <a:avLst/>
                    </a:prstGeom>
                  </pic:spPr>
                </pic:pic>
              </a:graphicData>
            </a:graphic>
          </wp:inline>
        </w:drawing>
      </w:r>
    </w:p>
    <w:p w14:paraId="4250C49E">
      <w:pPr>
        <w:snapToGrid w:val="0"/>
        <w:ind w:firstLine="0" w:firstLineChars="0"/>
        <w:rPr>
          <w:color w:val="auto"/>
          <w:kern w:val="0"/>
          <w:szCs w:val="22"/>
        </w:rPr>
      </w:pPr>
      <w:r>
        <w:rPr>
          <w:color w:val="auto"/>
        </w:rPr>
        <mc:AlternateContent>
          <mc:Choice Requires="wps">
            <w:drawing>
              <wp:anchor distT="0" distB="0" distL="114300" distR="114300" simplePos="0" relativeHeight="251661312" behindDoc="0" locked="0" layoutInCell="1" allowOverlap="1">
                <wp:simplePos x="0" y="0"/>
                <wp:positionH relativeFrom="column">
                  <wp:posOffset>781050</wp:posOffset>
                </wp:positionH>
                <wp:positionV relativeFrom="paragraph">
                  <wp:posOffset>186690</wp:posOffset>
                </wp:positionV>
                <wp:extent cx="4202430" cy="2733040"/>
                <wp:effectExtent l="6350" t="6350" r="20320" b="22860"/>
                <wp:wrapNone/>
                <wp:docPr id="644460668" name="任意多边形: 形状 17"/>
                <wp:cNvGraphicFramePr/>
                <a:graphic xmlns:a="http://schemas.openxmlformats.org/drawingml/2006/main">
                  <a:graphicData uri="http://schemas.microsoft.com/office/word/2010/wordprocessingShape">
                    <wps:wsp>
                      <wps:cNvSpPr/>
                      <wps:spPr>
                        <a:xfrm>
                          <a:off x="0" y="0"/>
                          <a:ext cx="4202430" cy="2733040"/>
                        </a:xfrm>
                        <a:custGeom>
                          <a:avLst/>
                          <a:gdLst>
                            <a:gd name="connsiteX0" fmla="*/ 36235 w 4761968"/>
                            <a:gd name="connsiteY0" fmla="*/ 2213975 h 3096870"/>
                            <a:gd name="connsiteX1" fmla="*/ 624958 w 4761968"/>
                            <a:gd name="connsiteY1" fmla="*/ 3078271 h 3096870"/>
                            <a:gd name="connsiteX2" fmla="*/ 1270049 w 4761968"/>
                            <a:gd name="connsiteY2" fmla="*/ 2777646 h 3096870"/>
                            <a:gd name="connsiteX3" fmla="*/ 1883824 w 4761968"/>
                            <a:gd name="connsiteY3" fmla="*/ 2433181 h 3096870"/>
                            <a:gd name="connsiteX4" fmla="*/ 2748120 w 4761968"/>
                            <a:gd name="connsiteY4" fmla="*/ 2138819 h 3096870"/>
                            <a:gd name="connsiteX5" fmla="*/ 3405736 w 4761968"/>
                            <a:gd name="connsiteY5" fmla="*/ 1806879 h 3096870"/>
                            <a:gd name="connsiteX6" fmla="*/ 3931829 w 4761968"/>
                            <a:gd name="connsiteY6" fmla="*/ 1487466 h 3096870"/>
                            <a:gd name="connsiteX7" fmla="*/ 4182350 w 4761968"/>
                            <a:gd name="connsiteY7" fmla="*/ 1318364 h 3096870"/>
                            <a:gd name="connsiteX8" fmla="*/ 4614498 w 4761968"/>
                            <a:gd name="connsiteY8" fmla="*/ 1080370 h 3096870"/>
                            <a:gd name="connsiteX9" fmla="*/ 4739758 w 4761968"/>
                            <a:gd name="connsiteY9" fmla="*/ 729641 h 3096870"/>
                            <a:gd name="connsiteX10" fmla="*/ 4733495 w 4761968"/>
                            <a:gd name="connsiteY10" fmla="*/ 560540 h 3096870"/>
                            <a:gd name="connsiteX11" fmla="*/ 4457923 w 4761968"/>
                            <a:gd name="connsiteY11" fmla="*/ 516699 h 3096870"/>
                            <a:gd name="connsiteX12" fmla="*/ 4088405 w 4761968"/>
                            <a:gd name="connsiteY12" fmla="*/ 535488 h 3096870"/>
                            <a:gd name="connsiteX13" fmla="*/ 3887988 w 4761968"/>
                            <a:gd name="connsiteY13" fmla="*/ 316282 h 3096870"/>
                            <a:gd name="connsiteX14" fmla="*/ 3581101 w 4761968"/>
                            <a:gd name="connsiteY14" fmla="*/ 34446 h 3096870"/>
                            <a:gd name="connsiteX15" fmla="*/ 3355632 w 4761968"/>
                            <a:gd name="connsiteY15" fmla="*/ 28183 h 3096870"/>
                            <a:gd name="connsiteX16" fmla="*/ 2503862 w 4761968"/>
                            <a:gd name="connsiteY16" fmla="*/ 247389 h 3096870"/>
                            <a:gd name="connsiteX17" fmla="*/ 1758564 w 4761968"/>
                            <a:gd name="connsiteY17" fmla="*/ 635696 h 3096870"/>
                            <a:gd name="connsiteX18" fmla="*/ 1257523 w 4761968"/>
                            <a:gd name="connsiteY18" fmla="*/ 967635 h 3096870"/>
                            <a:gd name="connsiteX19" fmla="*/ 825375 w 4761968"/>
                            <a:gd name="connsiteY19" fmla="*/ 1337153 h 3096870"/>
                            <a:gd name="connsiteX20" fmla="*/ 518487 w 4761968"/>
                            <a:gd name="connsiteY20" fmla="*/ 1712934 h 3096870"/>
                            <a:gd name="connsiteX21" fmla="*/ 361912 w 4761968"/>
                            <a:gd name="connsiteY21" fmla="*/ 1781827 h 3096870"/>
                            <a:gd name="connsiteX22" fmla="*/ 92602 w 4761968"/>
                            <a:gd name="connsiteY22" fmla="*/ 2001033 h 3096870"/>
                            <a:gd name="connsiteX23" fmla="*/ 36235 w 4761968"/>
                            <a:gd name="connsiteY23" fmla="*/ 2213975 h 30968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4761968" h="3096870">
                              <a:moveTo>
                                <a:pt x="36235" y="2213975"/>
                              </a:moveTo>
                              <a:cubicBezTo>
                                <a:pt x="124961" y="2393515"/>
                                <a:pt x="419322" y="2984326"/>
                                <a:pt x="624958" y="3078271"/>
                              </a:cubicBezTo>
                              <a:cubicBezTo>
                                <a:pt x="830594" y="3172216"/>
                                <a:pt x="1060238" y="2885161"/>
                                <a:pt x="1270049" y="2777646"/>
                              </a:cubicBezTo>
                              <a:cubicBezTo>
                                <a:pt x="1479860" y="2670131"/>
                                <a:pt x="1637479" y="2539652"/>
                                <a:pt x="1883824" y="2433181"/>
                              </a:cubicBezTo>
                              <a:cubicBezTo>
                                <a:pt x="2130169" y="2326710"/>
                                <a:pt x="2494468" y="2243203"/>
                                <a:pt x="2748120" y="2138819"/>
                              </a:cubicBezTo>
                              <a:cubicBezTo>
                                <a:pt x="3001772" y="2034435"/>
                                <a:pt x="3208451" y="1915438"/>
                                <a:pt x="3405736" y="1806879"/>
                              </a:cubicBezTo>
                              <a:cubicBezTo>
                                <a:pt x="3603021" y="1698320"/>
                                <a:pt x="3802393" y="1568885"/>
                                <a:pt x="3931829" y="1487466"/>
                              </a:cubicBezTo>
                              <a:cubicBezTo>
                                <a:pt x="4061265" y="1406047"/>
                                <a:pt x="4068572" y="1386213"/>
                                <a:pt x="4182350" y="1318364"/>
                              </a:cubicBezTo>
                              <a:cubicBezTo>
                                <a:pt x="4296128" y="1250515"/>
                                <a:pt x="4521597" y="1178490"/>
                                <a:pt x="4614498" y="1080370"/>
                              </a:cubicBezTo>
                              <a:cubicBezTo>
                                <a:pt x="4707399" y="982250"/>
                                <a:pt x="4719925" y="816279"/>
                                <a:pt x="4739758" y="729641"/>
                              </a:cubicBezTo>
                              <a:cubicBezTo>
                                <a:pt x="4759591" y="643003"/>
                                <a:pt x="4780468" y="596030"/>
                                <a:pt x="4733495" y="560540"/>
                              </a:cubicBezTo>
                              <a:cubicBezTo>
                                <a:pt x="4686523" y="525050"/>
                                <a:pt x="4565438" y="520874"/>
                                <a:pt x="4457923" y="516699"/>
                              </a:cubicBezTo>
                              <a:cubicBezTo>
                                <a:pt x="4350408" y="512524"/>
                                <a:pt x="4183394" y="568891"/>
                                <a:pt x="4088405" y="535488"/>
                              </a:cubicBezTo>
                              <a:cubicBezTo>
                                <a:pt x="3993416" y="502085"/>
                                <a:pt x="3972539" y="399789"/>
                                <a:pt x="3887988" y="316282"/>
                              </a:cubicBezTo>
                              <a:cubicBezTo>
                                <a:pt x="3803437" y="232775"/>
                                <a:pt x="3669827" y="82462"/>
                                <a:pt x="3581101" y="34446"/>
                              </a:cubicBezTo>
                              <a:cubicBezTo>
                                <a:pt x="3492375" y="-13571"/>
                                <a:pt x="3535172" y="-7307"/>
                                <a:pt x="3355632" y="28183"/>
                              </a:cubicBezTo>
                              <a:cubicBezTo>
                                <a:pt x="3176092" y="63673"/>
                                <a:pt x="2770040" y="146137"/>
                                <a:pt x="2503862" y="247389"/>
                              </a:cubicBezTo>
                              <a:cubicBezTo>
                                <a:pt x="2237684" y="348641"/>
                                <a:pt x="1966287" y="515655"/>
                                <a:pt x="1758564" y="635696"/>
                              </a:cubicBezTo>
                              <a:cubicBezTo>
                                <a:pt x="1550841" y="755737"/>
                                <a:pt x="1413055" y="850725"/>
                                <a:pt x="1257523" y="967635"/>
                              </a:cubicBezTo>
                              <a:cubicBezTo>
                                <a:pt x="1101991" y="1084545"/>
                                <a:pt x="948548" y="1212936"/>
                                <a:pt x="825375" y="1337153"/>
                              </a:cubicBezTo>
                              <a:cubicBezTo>
                                <a:pt x="702202" y="1461370"/>
                                <a:pt x="595731" y="1638822"/>
                                <a:pt x="518487" y="1712934"/>
                              </a:cubicBezTo>
                              <a:cubicBezTo>
                                <a:pt x="441243" y="1787046"/>
                                <a:pt x="432893" y="1733811"/>
                                <a:pt x="361912" y="1781827"/>
                              </a:cubicBezTo>
                              <a:cubicBezTo>
                                <a:pt x="290931" y="1829843"/>
                                <a:pt x="141662" y="1923789"/>
                                <a:pt x="92602" y="2001033"/>
                              </a:cubicBezTo>
                              <a:cubicBezTo>
                                <a:pt x="43542" y="2078277"/>
                                <a:pt x="-52491" y="2034435"/>
                                <a:pt x="36235" y="2213975"/>
                              </a:cubicBezTo>
                              <a:close/>
                            </a:path>
                          </a:pathLst>
                        </a:custGeom>
                        <a:noFill/>
                        <a:ln w="127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任意多边形: 形状 17" o:spid="_x0000_s1026" o:spt="100" style="position:absolute;left:0pt;margin-left:61.5pt;margin-top:14.7pt;height:215.2pt;width:330.9pt;z-index:251661312;v-text-anchor:middle;mso-width-relative:page;mso-height-relative:page;" filled="f" stroked="t" coordsize="4761968,3096870" o:gfxdata="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" path="m36235,2213975c124961,2393515,419322,2984326,624958,3078271c830594,3172216,1060238,2885161,1270049,2777646c1479860,2670131,1637479,2539652,1883824,2433181c2130169,2326710,2494468,2243203,2748120,2138819c3001772,2034435,3208451,1915438,3405736,1806879c3603021,1698320,3802393,1568885,3931829,1487466c4061265,1406047,4068572,1386213,4182350,1318364c4296128,1250515,4521597,1178490,4614498,1080370c4707399,982250,4719925,816279,4739758,729641c4759591,643003,4780468,596030,4733495,560540c4686523,525050,4565438,520874,4457923,516699c4350408,512524,4183394,568891,4088405,535488c3993416,502085,3972539,399789,3887988,316282c3803437,232775,3669827,82462,3581101,34446c3492375,-13571,3535172,-7307,3355632,28183c3176092,63673,2770040,146137,2503862,247389c2237684,348641,1966287,515655,1758564,635696c1550841,755737,1413055,850725,1257523,967635c1101991,1084545,948548,1212936,825375,1337153c702202,1461370,595731,1638822,518487,1712934c441243,1787046,432893,1733811,361912,1781827c290931,1829843,141662,1923789,92602,2001033c43542,2078277,-52491,2034435,36235,2213975xe">
                <v:path o:connectlocs="31977,1953870;551524,2716626;1120816,2451319;1662472,2147323;2425211,1887543;3005557,1594601;3469833,1312713;3690917,1163478;4072287,953444;4182829,643920;4177302,494686;3934110,455995;3608011,472577;3431143,279124;3160316,30399;2961340,24871;2209654,218324;1551930,561012;1109762,853954;728392,1180060;457564,1511693;319386,1572492;81721,1765945;31977,1953870" o:connectangles="0,0,0,0,0,0,0,0,0,0,0,0,0,0,0,0,0,0,0,0,0,0,0,0"/>
                <v:fill on="f" focussize="0,0"/>
                <v:stroke weight="1pt" color="#FF0000 [3204]" miterlimit="8" joinstyle="miter"/>
                <v:imagedata o:title=""/>
                <o:lock v:ext="edit" aspectratio="f"/>
              </v:shape>
            </w:pict>
          </mc:Fallback>
        </mc:AlternateContent>
      </w:r>
      <w:r>
        <w:rPr>
          <w:color w:val="auto"/>
        </w:rPr>
        <w:drawing>
          <wp:inline distT="0" distB="0" distL="0" distR="0">
            <wp:extent cx="5400040" cy="3214370"/>
            <wp:effectExtent l="0" t="0" r="10160" b="5080"/>
            <wp:docPr id="15242720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72010" name="图片 1"/>
                    <pic:cNvPicPr>
                      <a:picLocks noChangeAspect="1"/>
                    </pic:cNvPicPr>
                  </pic:nvPicPr>
                  <pic:blipFill>
                    <a:blip r:embed="rId20"/>
                    <a:stretch>
                      <a:fillRect/>
                    </a:stretch>
                  </pic:blipFill>
                  <pic:spPr>
                    <a:xfrm>
                      <a:off x="0" y="0"/>
                      <a:ext cx="5400040" cy="3214370"/>
                    </a:xfrm>
                    <a:prstGeom prst="rect">
                      <a:avLst/>
                    </a:prstGeom>
                  </pic:spPr>
                </pic:pic>
              </a:graphicData>
            </a:graphic>
          </wp:inline>
        </w:drawing>
      </w:r>
    </w:p>
    <w:p w14:paraId="3F13DC3D">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2</w:t>
      </w:r>
      <w:r>
        <w:rPr>
          <w:color w:val="auto"/>
        </w:rPr>
        <w:fldChar w:fldCharType="end"/>
      </w:r>
      <w:r>
        <w:rPr>
          <w:color w:val="auto"/>
        </w:rPr>
        <w:t>原6号抛泥区平面布置图</w:t>
      </w:r>
    </w:p>
    <w:p w14:paraId="7726B127">
      <w:pPr>
        <w:snapToGrid w:val="0"/>
        <w:ind w:firstLine="560"/>
        <w:rPr>
          <w:color w:val="auto"/>
          <w:kern w:val="0"/>
          <w:szCs w:val="22"/>
        </w:rPr>
      </w:pPr>
      <w:r>
        <w:rPr>
          <w:color w:val="auto"/>
          <w:kern w:val="0"/>
          <w:szCs w:val="22"/>
        </w:rPr>
        <w:t>6号抛泥区位于贵池区中窑，用地451亩，抛泥前用地为现有鱼塘，地面高程为8.0~9.0m。根据《秋浦河航道整治工程施工图设计》6号抛泥区计划抛高3.0m，抛泥859872m³，土方来源主要是K18+800~K21+300，其中淤泥质土类约397639m³，砂土类45006m³，陆上挖方417227m³</w:t>
      </w:r>
      <w:r>
        <w:rPr>
          <w:rFonts w:hint="eastAsia"/>
          <w:color w:val="auto"/>
          <w:kern w:val="0"/>
          <w:szCs w:val="22"/>
        </w:rPr>
        <w:t>，实际抛泥面积为305亩，</w:t>
      </w:r>
      <w:r>
        <w:rPr>
          <w:color w:val="auto"/>
          <w:kern w:val="0"/>
          <w:szCs w:val="22"/>
        </w:rPr>
        <w:t>实际抛泥</w:t>
      </w:r>
      <w:r>
        <w:rPr>
          <w:rFonts w:hint="eastAsia"/>
          <w:color w:val="auto"/>
          <w:kern w:val="0"/>
          <w:szCs w:val="22"/>
        </w:rPr>
        <w:t>2</w:t>
      </w:r>
      <w:r>
        <w:rPr>
          <w:color w:val="auto"/>
          <w:kern w:val="0"/>
          <w:szCs w:val="22"/>
        </w:rPr>
        <w:t>万方，抛泥后形成滩地，滩地地面高程为8.1~9.</w:t>
      </w:r>
      <w:r>
        <w:rPr>
          <w:rFonts w:hint="eastAsia"/>
          <w:color w:val="auto"/>
          <w:kern w:val="0"/>
          <w:szCs w:val="22"/>
        </w:rPr>
        <w:t>5</w:t>
      </w:r>
      <w:r>
        <w:rPr>
          <w:color w:val="auto"/>
          <w:kern w:val="0"/>
          <w:szCs w:val="22"/>
        </w:rPr>
        <w:t>m。</w:t>
      </w:r>
    </w:p>
    <w:p w14:paraId="3DAFC1A0">
      <w:pPr>
        <w:rPr>
          <w:rFonts w:hint="eastAsia"/>
          <w:color w:val="auto"/>
        </w:rPr>
      </w:pPr>
      <w:r>
        <w:rPr>
          <w:color w:val="auto"/>
        </w:rPr>
        <w:t>根据抛泥区设计及实际施工抛泥情况，本次针对5号、6号抛泥区，重点清除现有抛泥，</w:t>
      </w:r>
      <w:r>
        <w:rPr>
          <w:color w:val="auto"/>
          <w:szCs w:val="28"/>
        </w:rPr>
        <w:t>5号抛泥区</w:t>
      </w:r>
      <w:r>
        <w:rPr>
          <w:color w:val="auto"/>
        </w:rPr>
        <w:t>仅</w:t>
      </w:r>
      <w:r>
        <w:rPr>
          <w:rFonts w:hint="eastAsia"/>
          <w:color w:val="auto"/>
        </w:rPr>
        <w:t>清除</w:t>
      </w:r>
      <w:r>
        <w:rPr>
          <w:color w:val="auto"/>
        </w:rPr>
        <w:t>高程较高的2处滩地，开挖底高程为7.8m</w:t>
      </w:r>
      <w:r>
        <w:rPr>
          <w:color w:val="auto"/>
          <w:szCs w:val="28"/>
        </w:rPr>
        <w:t>，6号抛泥区</w:t>
      </w:r>
      <w:r>
        <w:rPr>
          <w:color w:val="auto"/>
        </w:rPr>
        <w:t>开挖底高程为8.4m</w:t>
      </w:r>
      <w:r>
        <w:rPr>
          <w:color w:val="auto"/>
          <w:kern w:val="0"/>
          <w:szCs w:val="22"/>
        </w:rPr>
        <w:t>。</w:t>
      </w:r>
    </w:p>
    <w:p w14:paraId="0B980F7F">
      <w:pPr>
        <w:rPr>
          <w:rFonts w:hint="eastAsia"/>
          <w:color w:val="auto"/>
        </w:rPr>
        <w:sectPr>
          <w:pgSz w:w="11906" w:h="16838"/>
          <w:pgMar w:top="1440" w:right="1800" w:bottom="1440" w:left="1800"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5CFB5AC1">
      <w:pPr>
        <w:pStyle w:val="31"/>
        <w:bidi w:val="0"/>
        <w:jc w:val="center"/>
        <w:rPr>
          <w:color w:val="auto"/>
        </w:rPr>
      </w:pPr>
      <w:r>
        <w:rPr>
          <w:color w:val="auto"/>
        </w:rPr>
        <w:drawing>
          <wp:inline distT="0" distB="0" distL="114300" distR="114300">
            <wp:extent cx="6846570" cy="13277850"/>
            <wp:effectExtent l="0" t="0" r="0" b="11430"/>
            <wp:docPr id="15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9"/>
                    <pic:cNvPicPr>
                      <a:picLocks noChangeAspect="1"/>
                    </pic:cNvPicPr>
                  </pic:nvPicPr>
                  <pic:blipFill>
                    <a:blip r:embed="rId21"/>
                    <a:srcRect l="15531" t="3238" r="15484" b="2154"/>
                    <a:stretch>
                      <a:fillRect/>
                    </a:stretch>
                  </pic:blipFill>
                  <pic:spPr>
                    <a:xfrm rot="16200000">
                      <a:off x="0" y="0"/>
                      <a:ext cx="6846570" cy="13277850"/>
                    </a:xfrm>
                    <a:prstGeom prst="rect">
                      <a:avLst/>
                    </a:prstGeom>
                    <a:noFill/>
                    <a:ln>
                      <a:noFill/>
                    </a:ln>
                  </pic:spPr>
                </pic:pic>
              </a:graphicData>
            </a:graphic>
          </wp:inline>
        </w:drawing>
      </w:r>
    </w:p>
    <w:p w14:paraId="32E5B66D">
      <w:pPr>
        <w:pStyle w:val="31"/>
        <w:bidi w:val="0"/>
        <w:jc w:val="center"/>
        <w:rPr>
          <w:b/>
          <w:bCs w:val="0"/>
          <w:color w:val="auto"/>
        </w:rPr>
      </w:pPr>
      <w:r>
        <w:rPr>
          <w:b/>
          <w:bCs w:val="0"/>
          <w:color w:val="auto"/>
        </w:rPr>
        <w:t>图</w:t>
      </w:r>
      <w:r>
        <w:rPr>
          <w:b/>
          <w:bCs w:val="0"/>
          <w:color w:val="auto"/>
        </w:rPr>
        <w:fldChar w:fldCharType="begin"/>
      </w:r>
      <w:r>
        <w:rPr>
          <w:b/>
          <w:bCs w:val="0"/>
          <w:color w:val="auto"/>
        </w:rPr>
        <w:instrText xml:space="preserve"> STYLEREF 2 \s </w:instrText>
      </w:r>
      <w:r>
        <w:rPr>
          <w:b/>
          <w:bCs w:val="0"/>
          <w:color w:val="auto"/>
        </w:rPr>
        <w:fldChar w:fldCharType="separate"/>
      </w:r>
      <w:r>
        <w:rPr>
          <w:b/>
          <w:bCs w:val="0"/>
          <w:color w:val="auto"/>
        </w:rPr>
        <w:t>3.2</w:t>
      </w:r>
      <w:r>
        <w:rPr>
          <w:b/>
          <w:bCs w:val="0"/>
          <w:color w:val="auto"/>
        </w:rPr>
        <w:fldChar w:fldCharType="end"/>
      </w:r>
      <w:r>
        <w:rPr>
          <w:rFonts w:hint="eastAsia"/>
          <w:b/>
          <w:bCs w:val="0"/>
          <w:color w:val="auto"/>
          <w:lang w:eastAsia="zh-CN"/>
        </w:rPr>
        <w:t>-</w:t>
      </w:r>
      <w:r>
        <w:rPr>
          <w:b/>
          <w:bCs w:val="0"/>
          <w:color w:val="auto"/>
        </w:rPr>
        <w:fldChar w:fldCharType="begin"/>
      </w:r>
      <w:r>
        <w:rPr>
          <w:b/>
          <w:bCs w:val="0"/>
          <w:color w:val="auto"/>
        </w:rPr>
        <w:instrText xml:space="preserve"> SEQ 图 \* ARABIC \s 2 </w:instrText>
      </w:r>
      <w:r>
        <w:rPr>
          <w:b/>
          <w:bCs w:val="0"/>
          <w:color w:val="auto"/>
        </w:rPr>
        <w:fldChar w:fldCharType="separate"/>
      </w:r>
      <w:r>
        <w:rPr>
          <w:b/>
          <w:bCs w:val="0"/>
          <w:color w:val="auto"/>
        </w:rPr>
        <w:t>3</w:t>
      </w:r>
      <w:r>
        <w:rPr>
          <w:b/>
          <w:bCs w:val="0"/>
          <w:color w:val="auto"/>
        </w:rPr>
        <w:fldChar w:fldCharType="end"/>
      </w:r>
      <w:r>
        <w:rPr>
          <w:rFonts w:hint="eastAsia"/>
          <w:b/>
          <w:bCs w:val="0"/>
          <w:color w:val="auto"/>
          <w:lang w:val="en-US" w:eastAsia="zh-CN"/>
        </w:rPr>
        <w:t xml:space="preserve">  5号抛泥区平面布置图</w:t>
      </w:r>
    </w:p>
    <w:p w14:paraId="4269D02B">
      <w:pPr>
        <w:pStyle w:val="31"/>
        <w:bidi w:val="0"/>
        <w:jc w:val="center"/>
        <w:rPr>
          <w:color w:val="auto"/>
        </w:rPr>
        <w:sectPr>
          <w:pgSz w:w="23811" w:h="16838" w:orient="landscape"/>
          <w:pgMar w:top="1803" w:right="1440" w:bottom="1803" w:left="1440" w:header="851" w:footer="992" w:gutter="0"/>
          <w:pgBorders>
            <w:top w:val="none" w:sz="0" w:space="0"/>
            <w:left w:val="none" w:sz="0" w:space="0"/>
            <w:bottom w:val="none" w:sz="0" w:space="0"/>
            <w:right w:val="none" w:sz="0" w:space="0"/>
          </w:pgBorders>
          <w:pgNumType w:fmt="upperRoman"/>
          <w:cols w:space="0" w:num="1"/>
          <w:rtlGutter w:val="0"/>
          <w:docGrid w:type="lines" w:linePitch="330" w:charSpace="0"/>
        </w:sectPr>
      </w:pPr>
    </w:p>
    <w:p w14:paraId="2878B33B">
      <w:pPr>
        <w:pStyle w:val="31"/>
        <w:bidi w:val="0"/>
        <w:jc w:val="center"/>
        <w:rPr>
          <w:rFonts w:hint="eastAsia"/>
          <w:color w:val="auto"/>
          <w:lang w:eastAsia="zh-CN"/>
        </w:rPr>
      </w:pPr>
      <w:r>
        <w:rPr>
          <w:color w:val="auto"/>
        </w:rPr>
        <w:drawing>
          <wp:inline distT="0" distB="0" distL="114300" distR="114300">
            <wp:extent cx="8097520" cy="11386820"/>
            <wp:effectExtent l="0" t="0" r="5080" b="17780"/>
            <wp:docPr id="15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0"/>
                    <pic:cNvPicPr>
                      <a:picLocks noChangeAspect="1"/>
                    </pic:cNvPicPr>
                  </pic:nvPicPr>
                  <pic:blipFill>
                    <a:blip r:embed="rId22"/>
                    <a:srcRect l="3969" t="5126" r="3665" b="3029"/>
                    <a:stretch>
                      <a:fillRect/>
                    </a:stretch>
                  </pic:blipFill>
                  <pic:spPr>
                    <a:xfrm rot="16200000">
                      <a:off x="0" y="0"/>
                      <a:ext cx="8097520" cy="11386820"/>
                    </a:xfrm>
                    <a:prstGeom prst="rect">
                      <a:avLst/>
                    </a:prstGeom>
                    <a:noFill/>
                    <a:ln>
                      <a:noFill/>
                    </a:ln>
                  </pic:spPr>
                </pic:pic>
              </a:graphicData>
            </a:graphic>
          </wp:inline>
        </w:drawing>
      </w:r>
    </w:p>
    <w:p w14:paraId="727A5C56">
      <w:pPr>
        <w:pStyle w:val="11"/>
        <w:bidi w:val="0"/>
        <w:jc w:val="center"/>
        <w:rPr>
          <w:rFonts w:hint="eastAsia" w:eastAsia="宋体"/>
          <w:color w:val="auto"/>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4</w:t>
      </w:r>
      <w:r>
        <w:rPr>
          <w:color w:val="auto"/>
        </w:rPr>
        <w:fldChar w:fldCharType="end"/>
      </w:r>
      <w:r>
        <w:rPr>
          <w:rFonts w:hint="eastAsia"/>
          <w:color w:val="auto"/>
          <w:lang w:val="en-US" w:eastAsia="zh-CN"/>
        </w:rPr>
        <w:t xml:space="preserve">  6号抛泥区平面布置图</w:t>
      </w:r>
    </w:p>
    <w:p w14:paraId="015F8EFD">
      <w:pPr>
        <w:ind w:left="0" w:leftChars="0" w:firstLine="0" w:firstLineChars="0"/>
        <w:rPr>
          <w:color w:val="auto"/>
        </w:rPr>
        <w:sectPr>
          <w:footerReference r:id="rId10" w:type="default"/>
          <w:pgSz w:w="23811" w:h="16838" w:orient="landscape"/>
          <w:pgMar w:top="1803" w:right="1440" w:bottom="1803" w:left="1440" w:header="851" w:footer="992" w:gutter="0"/>
          <w:pgBorders>
            <w:top w:val="none" w:sz="0" w:space="0"/>
            <w:left w:val="none" w:sz="0" w:space="0"/>
            <w:bottom w:val="none" w:sz="0" w:space="0"/>
            <w:right w:val="none" w:sz="0" w:space="0"/>
          </w:pgBorders>
          <w:pgNumType w:fmt="upperRoman"/>
          <w:cols w:space="0" w:num="1"/>
          <w:rtlGutter w:val="0"/>
          <w:docGrid w:type="lines" w:linePitch="330" w:charSpace="0"/>
        </w:sectPr>
      </w:pPr>
    </w:p>
    <w:p w14:paraId="13FEEBEE">
      <w:pPr>
        <w:pStyle w:val="4"/>
        <w:bidi w:val="0"/>
        <w:rPr>
          <w:color w:val="auto"/>
          <w:lang w:val="zh-CN" w:eastAsia="zh-CN"/>
        </w:rPr>
      </w:pPr>
      <w:bookmarkStart w:id="95" w:name="_Toc30790"/>
      <w:r>
        <w:rPr>
          <w:rFonts w:hint="eastAsia"/>
          <w:color w:val="auto"/>
          <w:lang w:val="en-US" w:eastAsia="zh-CN"/>
        </w:rPr>
        <w:t>抛泥区</w:t>
      </w:r>
      <w:r>
        <w:rPr>
          <w:color w:val="auto"/>
          <w:lang w:val="zh-CN"/>
        </w:rPr>
        <w:t>工程</w:t>
      </w:r>
      <w:r>
        <w:rPr>
          <w:rFonts w:hint="eastAsia"/>
          <w:color w:val="auto"/>
          <w:lang w:val="en-US" w:eastAsia="zh-CN"/>
        </w:rPr>
        <w:t>方案</w:t>
      </w:r>
      <w:bookmarkEnd w:id="95"/>
    </w:p>
    <w:p w14:paraId="3C36C9C5">
      <w:pPr>
        <w:bidi w:val="0"/>
        <w:rPr>
          <w:rFonts w:hint="eastAsia"/>
          <w:color w:val="auto"/>
          <w:lang w:val="en-US" w:eastAsia="zh-CN"/>
        </w:rPr>
      </w:pPr>
      <w:r>
        <w:rPr>
          <w:rFonts w:hint="default"/>
          <w:color w:val="auto"/>
          <w:lang w:val="en-US" w:eastAsia="zh-CN"/>
        </w:rPr>
        <w:t>5</w:t>
      </w:r>
      <w:r>
        <w:rPr>
          <w:rFonts w:hint="eastAsia"/>
          <w:color w:val="auto"/>
          <w:lang w:val="en-US" w:eastAsia="zh-CN"/>
        </w:rPr>
        <w:t>号抛泥区抛泥前用地为现有水塘，占地</w:t>
      </w:r>
      <w:r>
        <w:rPr>
          <w:rFonts w:hint="default"/>
          <w:color w:val="auto"/>
          <w:lang w:val="en-US" w:eastAsia="zh-CN"/>
        </w:rPr>
        <w:t>832</w:t>
      </w:r>
      <w:r>
        <w:rPr>
          <w:rFonts w:hint="eastAsia"/>
          <w:color w:val="auto"/>
          <w:lang w:val="en-US" w:eastAsia="zh-CN"/>
        </w:rPr>
        <w:t>亩，原地面高程为</w:t>
      </w:r>
      <w:r>
        <w:rPr>
          <w:rFonts w:hint="default"/>
          <w:color w:val="auto"/>
          <w:lang w:val="en-US" w:eastAsia="zh-CN"/>
        </w:rPr>
        <w:t>4.5m~9.1m</w:t>
      </w:r>
      <w:r>
        <w:rPr>
          <w:rFonts w:hint="eastAsia"/>
          <w:color w:val="auto"/>
          <w:lang w:val="en-US" w:eastAsia="zh-CN"/>
        </w:rPr>
        <w:t>，设计抛泥量为</w:t>
      </w:r>
      <w:r>
        <w:rPr>
          <w:rFonts w:hint="default"/>
          <w:color w:val="auto"/>
          <w:lang w:val="en-US" w:eastAsia="zh-CN"/>
        </w:rPr>
        <w:t>1848908m</w:t>
      </w:r>
      <w:r>
        <w:rPr>
          <w:rFonts w:hint="eastAsia"/>
          <w:color w:val="auto"/>
          <w:vertAlign w:val="superscript"/>
          <w:lang w:val="en-US" w:eastAsia="zh-CN"/>
        </w:rPr>
        <w:t>3</w:t>
      </w:r>
      <w:r>
        <w:rPr>
          <w:rFonts w:hint="eastAsia"/>
          <w:color w:val="auto"/>
          <w:lang w:val="en-US" w:eastAsia="zh-CN"/>
        </w:rPr>
        <w:t>，现状高程为</w:t>
      </w:r>
      <w:r>
        <w:rPr>
          <w:rFonts w:hint="default"/>
          <w:color w:val="auto"/>
          <w:lang w:val="en-US" w:eastAsia="zh-CN"/>
        </w:rPr>
        <w:t>10.6m~15m</w:t>
      </w:r>
      <w:r>
        <w:rPr>
          <w:rFonts w:hint="eastAsia"/>
          <w:color w:val="auto"/>
          <w:lang w:val="en-US" w:eastAsia="zh-CN"/>
        </w:rPr>
        <w:t>，实际抛泥量约</w:t>
      </w:r>
      <w:r>
        <w:rPr>
          <w:rFonts w:hint="default"/>
          <w:color w:val="auto"/>
          <w:lang w:val="en-US" w:eastAsia="zh-CN"/>
        </w:rPr>
        <w:t>85</w:t>
      </w:r>
      <w:r>
        <w:rPr>
          <w:rFonts w:hint="eastAsia"/>
          <w:color w:val="auto"/>
          <w:lang w:val="en-US" w:eastAsia="zh-CN"/>
        </w:rPr>
        <w:t>万方。本次设计仅开挖高程较高的</w:t>
      </w:r>
      <w:r>
        <w:rPr>
          <w:rFonts w:hint="default"/>
          <w:color w:val="auto"/>
          <w:lang w:val="en-US" w:eastAsia="zh-CN"/>
        </w:rPr>
        <w:t>2</w:t>
      </w:r>
      <w:r>
        <w:rPr>
          <w:rFonts w:hint="eastAsia"/>
          <w:color w:val="auto"/>
          <w:lang w:val="en-US" w:eastAsia="zh-CN"/>
        </w:rPr>
        <w:t>处滩地，面积约</w:t>
      </w:r>
      <w:r>
        <w:rPr>
          <w:rFonts w:hint="default"/>
          <w:color w:val="auto"/>
          <w:lang w:val="en-US" w:eastAsia="zh-CN"/>
        </w:rPr>
        <w:t>360.56</w:t>
      </w:r>
      <w:r>
        <w:rPr>
          <w:rFonts w:hint="eastAsia"/>
          <w:color w:val="auto"/>
          <w:lang w:val="en-US" w:eastAsia="zh-CN"/>
        </w:rPr>
        <w:t>亩。根据生物多样性专题要求，抛泥区清理和鸟类栖息地恢复结合起来，鹭科鸟类栖息岛共</w:t>
      </w:r>
      <w:r>
        <w:rPr>
          <w:rFonts w:hint="default"/>
          <w:color w:val="auto"/>
          <w:lang w:val="en-US" w:eastAsia="zh-CN"/>
        </w:rPr>
        <w:t>6</w:t>
      </w:r>
      <w:r>
        <w:rPr>
          <w:rFonts w:hint="eastAsia"/>
          <w:color w:val="auto"/>
          <w:lang w:val="en-US" w:eastAsia="zh-CN"/>
        </w:rPr>
        <w:t>处、涉禽、游禽栖息地共</w:t>
      </w:r>
      <w:r>
        <w:rPr>
          <w:rFonts w:hint="default"/>
          <w:color w:val="auto"/>
          <w:lang w:val="en-US" w:eastAsia="zh-CN"/>
        </w:rPr>
        <w:t>3</w:t>
      </w:r>
      <w:r>
        <w:rPr>
          <w:rFonts w:hint="eastAsia"/>
          <w:color w:val="auto"/>
          <w:lang w:val="en-US" w:eastAsia="zh-CN"/>
        </w:rPr>
        <w:t>处，共计保留面积约</w:t>
      </w:r>
      <w:r>
        <w:rPr>
          <w:rFonts w:hint="default"/>
          <w:color w:val="auto"/>
          <w:lang w:val="en-US" w:eastAsia="zh-CN"/>
        </w:rPr>
        <w:t>36</w:t>
      </w:r>
      <w:r>
        <w:rPr>
          <w:rFonts w:hint="eastAsia"/>
          <w:color w:val="auto"/>
          <w:lang w:val="en-US" w:eastAsia="zh-CN"/>
        </w:rPr>
        <w:t>亩。开挖底高程</w:t>
      </w:r>
      <w:r>
        <w:rPr>
          <w:rFonts w:hint="default"/>
          <w:color w:val="auto"/>
          <w:lang w:val="en-US" w:eastAsia="zh-CN"/>
        </w:rPr>
        <w:t>7.8m</w:t>
      </w:r>
      <w:r>
        <w:rPr>
          <w:rFonts w:hint="eastAsia"/>
          <w:color w:val="auto"/>
          <w:lang w:val="en-US" w:eastAsia="zh-CN"/>
        </w:rPr>
        <w:t>，实际开挖面积</w:t>
      </w:r>
      <w:r>
        <w:rPr>
          <w:rFonts w:hint="default"/>
          <w:color w:val="auto"/>
          <w:lang w:val="en-US" w:eastAsia="zh-CN"/>
        </w:rPr>
        <w:t>324.56</w:t>
      </w:r>
      <w:r>
        <w:rPr>
          <w:rFonts w:hint="eastAsia"/>
          <w:color w:val="auto"/>
          <w:lang w:val="en-US" w:eastAsia="zh-CN"/>
        </w:rPr>
        <w:t>亩，开挖土方</w:t>
      </w:r>
      <w:r>
        <w:rPr>
          <w:rFonts w:hint="default"/>
          <w:color w:val="auto"/>
          <w:lang w:val="en-US" w:eastAsia="zh-CN"/>
        </w:rPr>
        <w:t>765226m</w:t>
      </w:r>
      <w:r>
        <w:rPr>
          <w:rFonts w:hint="eastAsia"/>
          <w:color w:val="auto"/>
          <w:vertAlign w:val="superscript"/>
          <w:lang w:val="en-US" w:eastAsia="zh-CN"/>
        </w:rPr>
        <w:t>3</w:t>
      </w:r>
      <w:r>
        <w:rPr>
          <w:rFonts w:hint="eastAsia"/>
          <w:color w:val="auto"/>
          <w:lang w:val="en-US" w:eastAsia="zh-CN"/>
        </w:rPr>
        <w:t>。开挖边坡均为</w:t>
      </w:r>
      <w:r>
        <w:rPr>
          <w:rFonts w:hint="default"/>
          <w:color w:val="auto"/>
          <w:lang w:val="en-US" w:eastAsia="zh-CN"/>
        </w:rPr>
        <w:t>1:3</w:t>
      </w:r>
      <w:r>
        <w:rPr>
          <w:rFonts w:hint="eastAsia"/>
          <w:color w:val="auto"/>
          <w:lang w:val="en-US" w:eastAsia="zh-CN"/>
        </w:rPr>
        <w:t>。</w:t>
      </w:r>
    </w:p>
    <w:p w14:paraId="1D720EB3">
      <w:pPr>
        <w:bidi w:val="0"/>
        <w:rPr>
          <w:color w:val="auto"/>
        </w:rPr>
      </w:pPr>
      <w:r>
        <w:rPr>
          <w:rFonts w:hint="default"/>
          <w:color w:val="auto"/>
          <w:lang w:val="en-US" w:eastAsia="zh-CN"/>
        </w:rPr>
        <w:t>6</w:t>
      </w:r>
      <w:r>
        <w:rPr>
          <w:rFonts w:hint="eastAsia"/>
          <w:color w:val="auto"/>
          <w:lang w:val="en-US" w:eastAsia="zh-CN"/>
        </w:rPr>
        <w:t>号抛泥区抛泥前用地为现有鱼塘，占地面积</w:t>
      </w:r>
      <w:r>
        <w:rPr>
          <w:rFonts w:hint="default"/>
          <w:color w:val="auto"/>
          <w:lang w:val="en-US" w:eastAsia="zh-CN"/>
        </w:rPr>
        <w:t>451</w:t>
      </w:r>
      <w:r>
        <w:rPr>
          <w:rFonts w:hint="eastAsia"/>
          <w:color w:val="auto"/>
          <w:lang w:val="en-US" w:eastAsia="zh-CN"/>
        </w:rPr>
        <w:t>亩，原地面高程为</w:t>
      </w:r>
      <w:r>
        <w:rPr>
          <w:rFonts w:hint="default"/>
          <w:color w:val="auto"/>
          <w:lang w:val="en-US" w:eastAsia="zh-CN"/>
        </w:rPr>
        <w:t>8.0~9.0m</w:t>
      </w:r>
      <w:r>
        <w:rPr>
          <w:rFonts w:hint="eastAsia"/>
          <w:color w:val="auto"/>
          <w:lang w:val="en-US" w:eastAsia="zh-CN"/>
        </w:rPr>
        <w:t>，设计抛泥量为</w:t>
      </w:r>
      <w:r>
        <w:rPr>
          <w:rFonts w:hint="default"/>
          <w:color w:val="auto"/>
          <w:lang w:val="en-US" w:eastAsia="zh-CN"/>
        </w:rPr>
        <w:t>859872m</w:t>
      </w:r>
      <w:r>
        <w:rPr>
          <w:rFonts w:hint="eastAsia"/>
          <w:color w:val="auto"/>
          <w:vertAlign w:val="superscript"/>
          <w:lang w:val="en-US" w:eastAsia="zh-CN"/>
        </w:rPr>
        <w:t>3</w:t>
      </w:r>
      <w:r>
        <w:rPr>
          <w:rFonts w:hint="eastAsia"/>
          <w:color w:val="auto"/>
          <w:lang w:val="en-US" w:eastAsia="zh-CN"/>
        </w:rPr>
        <w:t>，现状地面高程</w:t>
      </w:r>
      <w:r>
        <w:rPr>
          <w:rFonts w:hint="default"/>
          <w:color w:val="auto"/>
          <w:lang w:val="en-US" w:eastAsia="zh-CN"/>
        </w:rPr>
        <w:t>8.1~9.5m</w:t>
      </w:r>
      <w:r>
        <w:rPr>
          <w:rFonts w:hint="eastAsia"/>
          <w:color w:val="auto"/>
          <w:lang w:val="en-US" w:eastAsia="zh-CN"/>
        </w:rPr>
        <w:t>，实际抛泥量约</w:t>
      </w:r>
      <w:r>
        <w:rPr>
          <w:rFonts w:hint="default"/>
          <w:color w:val="auto"/>
          <w:lang w:val="en-US" w:eastAsia="zh-CN"/>
        </w:rPr>
        <w:t>2</w:t>
      </w:r>
      <w:r>
        <w:rPr>
          <w:rFonts w:hint="eastAsia"/>
          <w:color w:val="auto"/>
          <w:lang w:val="en-US" w:eastAsia="zh-CN"/>
        </w:rPr>
        <w:t>万方，本次设计开挖底高程为</w:t>
      </w:r>
      <w:r>
        <w:rPr>
          <w:rFonts w:hint="default"/>
          <w:color w:val="auto"/>
          <w:lang w:val="en-US" w:eastAsia="zh-CN"/>
        </w:rPr>
        <w:t>8.4m</w:t>
      </w:r>
      <w:r>
        <w:rPr>
          <w:rFonts w:hint="eastAsia"/>
          <w:color w:val="auto"/>
          <w:lang w:val="en-US" w:eastAsia="zh-CN"/>
        </w:rPr>
        <w:t>，开挖面积</w:t>
      </w:r>
      <w:r>
        <w:rPr>
          <w:rFonts w:hint="default"/>
          <w:color w:val="auto"/>
          <w:lang w:val="en-US" w:eastAsia="zh-CN"/>
        </w:rPr>
        <w:t>305</w:t>
      </w:r>
      <w:r>
        <w:rPr>
          <w:rFonts w:hint="eastAsia"/>
          <w:color w:val="auto"/>
          <w:lang w:val="en-US" w:eastAsia="zh-CN"/>
        </w:rPr>
        <w:t>亩，开挖土方</w:t>
      </w:r>
      <w:r>
        <w:rPr>
          <w:rFonts w:hint="default"/>
          <w:color w:val="auto"/>
          <w:lang w:val="en-US" w:eastAsia="zh-CN"/>
        </w:rPr>
        <w:t>20912m</w:t>
      </w:r>
      <w:r>
        <w:rPr>
          <w:rFonts w:hint="eastAsia"/>
          <w:color w:val="auto"/>
          <w:vertAlign w:val="superscript"/>
          <w:lang w:val="en-US" w:eastAsia="zh-CN"/>
        </w:rPr>
        <w:t>3</w:t>
      </w:r>
      <w:r>
        <w:rPr>
          <w:rFonts w:hint="eastAsia"/>
          <w:color w:val="auto"/>
          <w:lang w:val="en-US" w:eastAsia="zh-CN"/>
        </w:rPr>
        <w:t>。开挖边坡均为</w:t>
      </w:r>
      <w:r>
        <w:rPr>
          <w:rFonts w:hint="default"/>
          <w:color w:val="auto"/>
          <w:lang w:val="en-US" w:eastAsia="zh-CN"/>
        </w:rPr>
        <w:t>1:3</w:t>
      </w:r>
      <w:r>
        <w:rPr>
          <w:rFonts w:hint="eastAsia"/>
          <w:color w:val="auto"/>
          <w:lang w:val="en-US" w:eastAsia="zh-CN"/>
        </w:rPr>
        <w:t>。</w:t>
      </w:r>
    </w:p>
    <w:p w14:paraId="35ADB778">
      <w:pPr>
        <w:bidi w:val="0"/>
        <w:rPr>
          <w:color w:val="auto"/>
        </w:rPr>
      </w:pPr>
    </w:p>
    <w:p w14:paraId="1636058A">
      <w:pPr>
        <w:pStyle w:val="11"/>
        <w:bidi w:val="0"/>
        <w:rPr>
          <w:color w:val="auto"/>
        </w:rPr>
      </w:pPr>
      <w:r>
        <w:rPr>
          <w:rFonts w:hint="eastAsia"/>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hint="eastAsia"/>
          <w:color w:val="auto"/>
        </w:rPr>
        <w:t>土方工程一览表</w:t>
      </w:r>
    </w:p>
    <w:tbl>
      <w:tblPr>
        <w:tblStyle w:val="25"/>
        <w:tblW w:w="51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718"/>
        <w:gridCol w:w="815"/>
        <w:gridCol w:w="855"/>
        <w:gridCol w:w="846"/>
        <w:gridCol w:w="691"/>
        <w:gridCol w:w="908"/>
        <w:gridCol w:w="800"/>
        <w:gridCol w:w="901"/>
        <w:gridCol w:w="863"/>
        <w:gridCol w:w="698"/>
      </w:tblGrid>
      <w:tr w14:paraId="6CC6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Align w:val="center"/>
          </w:tcPr>
          <w:p w14:paraId="78DA0845">
            <w:pPr>
              <w:pStyle w:val="31"/>
              <w:widowControl w:val="0"/>
              <w:bidi w:val="0"/>
              <w:jc w:val="center"/>
              <w:rPr>
                <w:color w:val="auto"/>
              </w:rPr>
            </w:pPr>
            <w:r>
              <w:rPr>
                <w:rFonts w:hint="eastAsia"/>
                <w:color w:val="auto"/>
              </w:rPr>
              <w:t>抛泥区编号</w:t>
            </w:r>
          </w:p>
        </w:tc>
        <w:tc>
          <w:tcPr>
            <w:tcW w:w="447" w:type="pct"/>
            <w:vAlign w:val="center"/>
          </w:tcPr>
          <w:p w14:paraId="5F7C3EF8">
            <w:pPr>
              <w:pStyle w:val="31"/>
              <w:widowControl w:val="0"/>
              <w:bidi w:val="0"/>
              <w:jc w:val="center"/>
              <w:rPr>
                <w:color w:val="auto"/>
              </w:rPr>
            </w:pPr>
            <w:r>
              <w:rPr>
                <w:rFonts w:hint="eastAsia"/>
                <w:color w:val="auto"/>
              </w:rPr>
              <w:t>位置</w:t>
            </w:r>
          </w:p>
        </w:tc>
        <w:tc>
          <w:tcPr>
            <w:tcW w:w="503" w:type="pct"/>
            <w:vAlign w:val="center"/>
          </w:tcPr>
          <w:p w14:paraId="3C888C55">
            <w:pPr>
              <w:pStyle w:val="31"/>
              <w:widowControl w:val="0"/>
              <w:bidi w:val="0"/>
              <w:jc w:val="center"/>
              <w:rPr>
                <w:color w:val="auto"/>
              </w:rPr>
            </w:pPr>
            <w:r>
              <w:rPr>
                <w:rFonts w:hint="eastAsia"/>
                <w:color w:val="auto"/>
              </w:rPr>
              <w:t>原用地类型</w:t>
            </w:r>
          </w:p>
        </w:tc>
        <w:tc>
          <w:tcPr>
            <w:tcW w:w="454" w:type="pct"/>
            <w:vAlign w:val="center"/>
          </w:tcPr>
          <w:p w14:paraId="5D7C635B">
            <w:pPr>
              <w:pStyle w:val="31"/>
              <w:widowControl w:val="0"/>
              <w:bidi w:val="0"/>
              <w:jc w:val="center"/>
              <w:rPr>
                <w:color w:val="auto"/>
              </w:rPr>
            </w:pPr>
            <w:r>
              <w:rPr>
                <w:rFonts w:hint="eastAsia"/>
                <w:color w:val="auto"/>
              </w:rPr>
              <w:t>地面高程（m）</w:t>
            </w:r>
          </w:p>
        </w:tc>
        <w:tc>
          <w:tcPr>
            <w:tcW w:w="449" w:type="pct"/>
            <w:vAlign w:val="center"/>
          </w:tcPr>
          <w:p w14:paraId="07FC8908">
            <w:pPr>
              <w:pStyle w:val="31"/>
              <w:widowControl w:val="0"/>
              <w:bidi w:val="0"/>
              <w:jc w:val="center"/>
              <w:rPr>
                <w:color w:val="auto"/>
              </w:rPr>
            </w:pPr>
            <w:r>
              <w:rPr>
                <w:rFonts w:hint="eastAsia"/>
                <w:color w:val="auto"/>
              </w:rPr>
              <w:t>占地面积（亩）</w:t>
            </w:r>
          </w:p>
        </w:tc>
        <w:tc>
          <w:tcPr>
            <w:tcW w:w="431" w:type="pct"/>
            <w:vAlign w:val="center"/>
          </w:tcPr>
          <w:p w14:paraId="40AA5439">
            <w:pPr>
              <w:pStyle w:val="31"/>
              <w:widowControl w:val="0"/>
              <w:bidi w:val="0"/>
              <w:jc w:val="center"/>
              <w:rPr>
                <w:color w:val="auto"/>
              </w:rPr>
            </w:pPr>
            <w:r>
              <w:rPr>
                <w:rFonts w:hint="eastAsia"/>
                <w:color w:val="auto"/>
              </w:rPr>
              <w:t>实际抛泥（万方）</w:t>
            </w:r>
          </w:p>
        </w:tc>
        <w:tc>
          <w:tcPr>
            <w:tcW w:w="482" w:type="pct"/>
            <w:vAlign w:val="center"/>
          </w:tcPr>
          <w:p w14:paraId="7E21ABC1">
            <w:pPr>
              <w:pStyle w:val="31"/>
              <w:widowControl w:val="0"/>
              <w:bidi w:val="0"/>
              <w:jc w:val="center"/>
              <w:rPr>
                <w:color w:val="auto"/>
              </w:rPr>
            </w:pPr>
            <w:r>
              <w:rPr>
                <w:rFonts w:hint="eastAsia"/>
                <w:color w:val="auto"/>
              </w:rPr>
              <w:t>现状高程（m）</w:t>
            </w:r>
          </w:p>
        </w:tc>
        <w:tc>
          <w:tcPr>
            <w:tcW w:w="431" w:type="pct"/>
            <w:vAlign w:val="center"/>
          </w:tcPr>
          <w:p w14:paraId="079A889A">
            <w:pPr>
              <w:pStyle w:val="31"/>
              <w:widowControl w:val="0"/>
              <w:bidi w:val="0"/>
              <w:jc w:val="center"/>
              <w:rPr>
                <w:color w:val="auto"/>
              </w:rPr>
            </w:pPr>
            <w:r>
              <w:rPr>
                <w:rFonts w:hint="eastAsia"/>
                <w:color w:val="auto"/>
              </w:rPr>
              <w:t>开挖底高程（m）</w:t>
            </w:r>
          </w:p>
        </w:tc>
        <w:tc>
          <w:tcPr>
            <w:tcW w:w="552" w:type="pct"/>
            <w:vAlign w:val="center"/>
          </w:tcPr>
          <w:p w14:paraId="434C4333">
            <w:pPr>
              <w:pStyle w:val="31"/>
              <w:widowControl w:val="0"/>
              <w:bidi w:val="0"/>
              <w:jc w:val="center"/>
              <w:rPr>
                <w:color w:val="auto"/>
              </w:rPr>
            </w:pPr>
            <w:r>
              <w:rPr>
                <w:rFonts w:hint="eastAsia"/>
                <w:color w:val="auto"/>
              </w:rPr>
              <w:t>开挖面积（亩）</w:t>
            </w:r>
          </w:p>
        </w:tc>
        <w:tc>
          <w:tcPr>
            <w:tcW w:w="435" w:type="pct"/>
            <w:vAlign w:val="center"/>
          </w:tcPr>
          <w:p w14:paraId="64FC5CBF">
            <w:pPr>
              <w:pStyle w:val="31"/>
              <w:widowControl w:val="0"/>
              <w:bidi w:val="0"/>
              <w:jc w:val="center"/>
              <w:rPr>
                <w:color w:val="auto"/>
              </w:rPr>
            </w:pPr>
            <w:r>
              <w:rPr>
                <w:rFonts w:hint="eastAsia"/>
                <w:color w:val="auto"/>
              </w:rPr>
              <w:t>开挖土方（</w:t>
            </w:r>
            <w:r>
              <w:rPr>
                <w:color w:val="auto"/>
              </w:rPr>
              <w:t>m³</w:t>
            </w:r>
            <w:r>
              <w:rPr>
                <w:rFonts w:hint="eastAsia"/>
                <w:color w:val="auto"/>
              </w:rPr>
              <w:t>）</w:t>
            </w:r>
          </w:p>
        </w:tc>
        <w:tc>
          <w:tcPr>
            <w:tcW w:w="435" w:type="pct"/>
            <w:vAlign w:val="center"/>
          </w:tcPr>
          <w:p w14:paraId="29672106">
            <w:pPr>
              <w:pStyle w:val="31"/>
              <w:widowControl w:val="0"/>
              <w:bidi w:val="0"/>
              <w:jc w:val="center"/>
              <w:rPr>
                <w:color w:val="auto"/>
              </w:rPr>
            </w:pPr>
            <w:r>
              <w:rPr>
                <w:rFonts w:hint="eastAsia"/>
                <w:color w:val="auto"/>
              </w:rPr>
              <w:t>开挖边坡</w:t>
            </w:r>
          </w:p>
        </w:tc>
      </w:tr>
      <w:tr w14:paraId="3BAD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Align w:val="center"/>
          </w:tcPr>
          <w:p w14:paraId="55C08CB3">
            <w:pPr>
              <w:pStyle w:val="31"/>
              <w:widowControl w:val="0"/>
              <w:bidi w:val="0"/>
              <w:jc w:val="center"/>
              <w:rPr>
                <w:color w:val="auto"/>
              </w:rPr>
            </w:pPr>
            <w:r>
              <w:rPr>
                <w:rFonts w:hint="eastAsia"/>
                <w:color w:val="auto"/>
              </w:rPr>
              <w:t>5号</w:t>
            </w:r>
          </w:p>
        </w:tc>
        <w:tc>
          <w:tcPr>
            <w:tcW w:w="447" w:type="pct"/>
            <w:vAlign w:val="center"/>
          </w:tcPr>
          <w:p w14:paraId="56E289D7">
            <w:pPr>
              <w:pStyle w:val="31"/>
              <w:widowControl w:val="0"/>
              <w:bidi w:val="0"/>
              <w:jc w:val="center"/>
              <w:rPr>
                <w:color w:val="auto"/>
              </w:rPr>
            </w:pPr>
            <w:r>
              <w:rPr>
                <w:color w:val="auto"/>
              </w:rPr>
              <w:t>贵池区南闸村</w:t>
            </w:r>
          </w:p>
        </w:tc>
        <w:tc>
          <w:tcPr>
            <w:tcW w:w="503" w:type="pct"/>
            <w:vAlign w:val="center"/>
          </w:tcPr>
          <w:p w14:paraId="4BCEDCA3">
            <w:pPr>
              <w:pStyle w:val="31"/>
              <w:widowControl w:val="0"/>
              <w:bidi w:val="0"/>
              <w:jc w:val="center"/>
              <w:rPr>
                <w:color w:val="auto"/>
              </w:rPr>
            </w:pPr>
            <w:r>
              <w:rPr>
                <w:color w:val="auto"/>
              </w:rPr>
              <w:t>水塘</w:t>
            </w:r>
          </w:p>
        </w:tc>
        <w:tc>
          <w:tcPr>
            <w:tcW w:w="454" w:type="pct"/>
            <w:vAlign w:val="center"/>
          </w:tcPr>
          <w:p w14:paraId="59F349C2">
            <w:pPr>
              <w:pStyle w:val="31"/>
              <w:widowControl w:val="0"/>
              <w:bidi w:val="0"/>
              <w:jc w:val="center"/>
              <w:rPr>
                <w:color w:val="auto"/>
              </w:rPr>
            </w:pPr>
            <w:r>
              <w:rPr>
                <w:rFonts w:hint="eastAsia"/>
                <w:color w:val="auto"/>
              </w:rPr>
              <w:t>4.5~9.1</w:t>
            </w:r>
          </w:p>
        </w:tc>
        <w:tc>
          <w:tcPr>
            <w:tcW w:w="449" w:type="pct"/>
            <w:vAlign w:val="center"/>
          </w:tcPr>
          <w:p w14:paraId="65616A92">
            <w:pPr>
              <w:pStyle w:val="31"/>
              <w:widowControl w:val="0"/>
              <w:bidi w:val="0"/>
              <w:jc w:val="center"/>
              <w:rPr>
                <w:color w:val="auto"/>
              </w:rPr>
            </w:pPr>
            <w:r>
              <w:rPr>
                <w:rFonts w:hint="eastAsia"/>
                <w:color w:val="auto"/>
              </w:rPr>
              <w:t>832</w:t>
            </w:r>
          </w:p>
        </w:tc>
        <w:tc>
          <w:tcPr>
            <w:tcW w:w="431" w:type="pct"/>
            <w:vAlign w:val="center"/>
          </w:tcPr>
          <w:p w14:paraId="4F23442E">
            <w:pPr>
              <w:pStyle w:val="31"/>
              <w:widowControl w:val="0"/>
              <w:bidi w:val="0"/>
              <w:jc w:val="center"/>
              <w:rPr>
                <w:color w:val="auto"/>
              </w:rPr>
            </w:pPr>
            <w:r>
              <w:rPr>
                <w:rFonts w:hint="eastAsia"/>
                <w:color w:val="auto"/>
              </w:rPr>
              <w:t>85</w:t>
            </w:r>
          </w:p>
        </w:tc>
        <w:tc>
          <w:tcPr>
            <w:tcW w:w="482" w:type="pct"/>
            <w:vAlign w:val="center"/>
          </w:tcPr>
          <w:p w14:paraId="65424DBC">
            <w:pPr>
              <w:pStyle w:val="31"/>
              <w:widowControl w:val="0"/>
              <w:bidi w:val="0"/>
              <w:jc w:val="center"/>
              <w:rPr>
                <w:color w:val="auto"/>
              </w:rPr>
            </w:pPr>
            <w:r>
              <w:rPr>
                <w:rFonts w:hint="eastAsia"/>
                <w:color w:val="auto"/>
              </w:rPr>
              <w:t>10.6~15</w:t>
            </w:r>
          </w:p>
        </w:tc>
        <w:tc>
          <w:tcPr>
            <w:tcW w:w="431" w:type="pct"/>
            <w:vAlign w:val="center"/>
          </w:tcPr>
          <w:p w14:paraId="4BDC257E">
            <w:pPr>
              <w:pStyle w:val="31"/>
              <w:widowControl w:val="0"/>
              <w:bidi w:val="0"/>
              <w:jc w:val="center"/>
              <w:rPr>
                <w:color w:val="auto"/>
              </w:rPr>
            </w:pPr>
            <w:r>
              <w:rPr>
                <w:rFonts w:hint="eastAsia"/>
                <w:color w:val="auto"/>
              </w:rPr>
              <w:t>7.8</w:t>
            </w:r>
          </w:p>
        </w:tc>
        <w:tc>
          <w:tcPr>
            <w:tcW w:w="552" w:type="pct"/>
            <w:vAlign w:val="center"/>
          </w:tcPr>
          <w:p w14:paraId="1D226E20">
            <w:pPr>
              <w:pStyle w:val="31"/>
              <w:widowControl w:val="0"/>
              <w:bidi w:val="0"/>
              <w:jc w:val="center"/>
              <w:rPr>
                <w:rFonts w:hint="default" w:eastAsia="宋体"/>
                <w:color w:val="auto"/>
                <w:lang w:val="en-US" w:eastAsia="zh-CN"/>
              </w:rPr>
            </w:pPr>
            <w:r>
              <w:rPr>
                <w:rFonts w:hint="eastAsia"/>
                <w:color w:val="auto"/>
                <w:lang w:val="en-US" w:eastAsia="zh-CN"/>
              </w:rPr>
              <w:t>324.56</w:t>
            </w:r>
          </w:p>
        </w:tc>
        <w:tc>
          <w:tcPr>
            <w:tcW w:w="435" w:type="pct"/>
            <w:vAlign w:val="center"/>
          </w:tcPr>
          <w:p w14:paraId="5FE4AB77">
            <w:pPr>
              <w:pStyle w:val="31"/>
              <w:widowControl w:val="0"/>
              <w:bidi w:val="0"/>
              <w:jc w:val="center"/>
              <w:rPr>
                <w:rFonts w:hint="default" w:eastAsia="宋体"/>
                <w:color w:val="auto"/>
                <w:lang w:val="en-US" w:eastAsia="zh-CN"/>
              </w:rPr>
            </w:pPr>
            <w:r>
              <w:rPr>
                <w:rFonts w:hint="eastAsia"/>
                <w:color w:val="auto"/>
                <w:lang w:val="en-US" w:eastAsia="zh-CN"/>
              </w:rPr>
              <w:t>765226</w:t>
            </w:r>
          </w:p>
        </w:tc>
        <w:tc>
          <w:tcPr>
            <w:tcW w:w="435" w:type="pct"/>
            <w:vAlign w:val="center"/>
          </w:tcPr>
          <w:p w14:paraId="38BDB5B8">
            <w:pPr>
              <w:pStyle w:val="31"/>
              <w:widowControl w:val="0"/>
              <w:bidi w:val="0"/>
              <w:jc w:val="center"/>
              <w:rPr>
                <w:color w:val="auto"/>
              </w:rPr>
            </w:pPr>
            <w:r>
              <w:rPr>
                <w:rFonts w:hint="eastAsia"/>
                <w:color w:val="auto"/>
              </w:rPr>
              <w:t>1:3</w:t>
            </w:r>
          </w:p>
        </w:tc>
      </w:tr>
      <w:tr w14:paraId="5DA23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Align w:val="center"/>
          </w:tcPr>
          <w:p w14:paraId="29498859">
            <w:pPr>
              <w:pStyle w:val="31"/>
              <w:widowControl w:val="0"/>
              <w:bidi w:val="0"/>
              <w:jc w:val="center"/>
              <w:rPr>
                <w:color w:val="auto"/>
              </w:rPr>
            </w:pPr>
            <w:r>
              <w:rPr>
                <w:rFonts w:hint="eastAsia"/>
                <w:color w:val="auto"/>
              </w:rPr>
              <w:t>6号</w:t>
            </w:r>
          </w:p>
        </w:tc>
        <w:tc>
          <w:tcPr>
            <w:tcW w:w="447" w:type="pct"/>
            <w:vAlign w:val="center"/>
          </w:tcPr>
          <w:p w14:paraId="0500957A">
            <w:pPr>
              <w:pStyle w:val="31"/>
              <w:widowControl w:val="0"/>
              <w:bidi w:val="0"/>
              <w:jc w:val="center"/>
              <w:rPr>
                <w:color w:val="auto"/>
              </w:rPr>
            </w:pPr>
            <w:r>
              <w:rPr>
                <w:color w:val="auto"/>
              </w:rPr>
              <w:t>贵池区中窑</w:t>
            </w:r>
          </w:p>
        </w:tc>
        <w:tc>
          <w:tcPr>
            <w:tcW w:w="503" w:type="pct"/>
            <w:vAlign w:val="center"/>
          </w:tcPr>
          <w:p w14:paraId="02732651">
            <w:pPr>
              <w:pStyle w:val="31"/>
              <w:widowControl w:val="0"/>
              <w:bidi w:val="0"/>
              <w:jc w:val="center"/>
              <w:rPr>
                <w:color w:val="auto"/>
              </w:rPr>
            </w:pPr>
            <w:r>
              <w:rPr>
                <w:color w:val="auto"/>
              </w:rPr>
              <w:t>鱼塘</w:t>
            </w:r>
          </w:p>
        </w:tc>
        <w:tc>
          <w:tcPr>
            <w:tcW w:w="454" w:type="pct"/>
            <w:vAlign w:val="center"/>
          </w:tcPr>
          <w:p w14:paraId="16919F5C">
            <w:pPr>
              <w:pStyle w:val="31"/>
              <w:widowControl w:val="0"/>
              <w:bidi w:val="0"/>
              <w:jc w:val="center"/>
              <w:rPr>
                <w:color w:val="auto"/>
              </w:rPr>
            </w:pPr>
            <w:r>
              <w:rPr>
                <w:rFonts w:hint="eastAsia"/>
                <w:color w:val="auto"/>
              </w:rPr>
              <w:t>8.0~9.0</w:t>
            </w:r>
          </w:p>
        </w:tc>
        <w:tc>
          <w:tcPr>
            <w:tcW w:w="449" w:type="pct"/>
            <w:vAlign w:val="center"/>
          </w:tcPr>
          <w:p w14:paraId="6B9B4D29">
            <w:pPr>
              <w:pStyle w:val="31"/>
              <w:widowControl w:val="0"/>
              <w:bidi w:val="0"/>
              <w:jc w:val="center"/>
              <w:rPr>
                <w:color w:val="auto"/>
              </w:rPr>
            </w:pPr>
            <w:r>
              <w:rPr>
                <w:rFonts w:hint="eastAsia"/>
                <w:color w:val="auto"/>
              </w:rPr>
              <w:t>451</w:t>
            </w:r>
          </w:p>
        </w:tc>
        <w:tc>
          <w:tcPr>
            <w:tcW w:w="431" w:type="pct"/>
            <w:vAlign w:val="center"/>
          </w:tcPr>
          <w:p w14:paraId="47523DCD">
            <w:pPr>
              <w:pStyle w:val="31"/>
              <w:widowControl w:val="0"/>
              <w:bidi w:val="0"/>
              <w:jc w:val="center"/>
              <w:rPr>
                <w:color w:val="auto"/>
              </w:rPr>
            </w:pPr>
            <w:r>
              <w:rPr>
                <w:rFonts w:hint="eastAsia"/>
                <w:color w:val="auto"/>
              </w:rPr>
              <w:t>2</w:t>
            </w:r>
          </w:p>
        </w:tc>
        <w:tc>
          <w:tcPr>
            <w:tcW w:w="482" w:type="pct"/>
            <w:vAlign w:val="center"/>
          </w:tcPr>
          <w:p w14:paraId="3FEC0C57">
            <w:pPr>
              <w:pStyle w:val="31"/>
              <w:widowControl w:val="0"/>
              <w:bidi w:val="0"/>
              <w:jc w:val="center"/>
              <w:rPr>
                <w:color w:val="auto"/>
              </w:rPr>
            </w:pPr>
            <w:r>
              <w:rPr>
                <w:rFonts w:hint="eastAsia"/>
                <w:color w:val="auto"/>
              </w:rPr>
              <w:t>8.1~9.5</w:t>
            </w:r>
          </w:p>
        </w:tc>
        <w:tc>
          <w:tcPr>
            <w:tcW w:w="431" w:type="pct"/>
            <w:vAlign w:val="center"/>
          </w:tcPr>
          <w:p w14:paraId="6106ED22">
            <w:pPr>
              <w:pStyle w:val="31"/>
              <w:widowControl w:val="0"/>
              <w:bidi w:val="0"/>
              <w:jc w:val="center"/>
              <w:rPr>
                <w:color w:val="auto"/>
              </w:rPr>
            </w:pPr>
            <w:r>
              <w:rPr>
                <w:rFonts w:hint="eastAsia"/>
                <w:color w:val="auto"/>
              </w:rPr>
              <w:t>8.4</w:t>
            </w:r>
          </w:p>
        </w:tc>
        <w:tc>
          <w:tcPr>
            <w:tcW w:w="552" w:type="pct"/>
            <w:vAlign w:val="center"/>
          </w:tcPr>
          <w:p w14:paraId="68C5FE1F">
            <w:pPr>
              <w:pStyle w:val="31"/>
              <w:widowControl w:val="0"/>
              <w:bidi w:val="0"/>
              <w:jc w:val="center"/>
              <w:rPr>
                <w:color w:val="auto"/>
              </w:rPr>
            </w:pPr>
            <w:r>
              <w:rPr>
                <w:rFonts w:hint="eastAsia"/>
                <w:color w:val="auto"/>
              </w:rPr>
              <w:t>305</w:t>
            </w:r>
          </w:p>
        </w:tc>
        <w:tc>
          <w:tcPr>
            <w:tcW w:w="435" w:type="pct"/>
            <w:vAlign w:val="center"/>
          </w:tcPr>
          <w:p w14:paraId="359F12B6">
            <w:pPr>
              <w:pStyle w:val="31"/>
              <w:widowControl w:val="0"/>
              <w:bidi w:val="0"/>
              <w:jc w:val="center"/>
              <w:rPr>
                <w:color w:val="auto"/>
              </w:rPr>
            </w:pPr>
            <w:r>
              <w:rPr>
                <w:color w:val="auto"/>
              </w:rPr>
              <w:t>20912</w:t>
            </w:r>
          </w:p>
        </w:tc>
        <w:tc>
          <w:tcPr>
            <w:tcW w:w="435" w:type="pct"/>
            <w:vAlign w:val="center"/>
          </w:tcPr>
          <w:p w14:paraId="208657D5">
            <w:pPr>
              <w:pStyle w:val="31"/>
              <w:widowControl w:val="0"/>
              <w:bidi w:val="0"/>
              <w:jc w:val="center"/>
              <w:rPr>
                <w:color w:val="auto"/>
              </w:rPr>
            </w:pPr>
            <w:r>
              <w:rPr>
                <w:rFonts w:hint="eastAsia"/>
                <w:color w:val="auto"/>
              </w:rPr>
              <w:t>1:3</w:t>
            </w:r>
          </w:p>
        </w:tc>
      </w:tr>
      <w:tr w14:paraId="7900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784" w:type="pct"/>
            <w:gridSpan w:val="4"/>
            <w:vAlign w:val="center"/>
          </w:tcPr>
          <w:p w14:paraId="0F6CE746">
            <w:pPr>
              <w:pStyle w:val="31"/>
              <w:widowControl w:val="0"/>
              <w:bidi w:val="0"/>
              <w:jc w:val="center"/>
              <w:rPr>
                <w:color w:val="auto"/>
              </w:rPr>
            </w:pPr>
            <w:r>
              <w:rPr>
                <w:rFonts w:hint="eastAsia"/>
                <w:color w:val="auto"/>
              </w:rPr>
              <w:t>合计</w:t>
            </w:r>
          </w:p>
        </w:tc>
        <w:tc>
          <w:tcPr>
            <w:tcW w:w="449" w:type="pct"/>
            <w:vAlign w:val="center"/>
          </w:tcPr>
          <w:p w14:paraId="5FF12EC9">
            <w:pPr>
              <w:pStyle w:val="31"/>
              <w:widowControl w:val="0"/>
              <w:bidi w:val="0"/>
              <w:jc w:val="center"/>
              <w:rPr>
                <w:color w:val="auto"/>
              </w:rPr>
            </w:pPr>
            <w:r>
              <w:rPr>
                <w:rFonts w:hint="eastAsia"/>
                <w:color w:val="auto"/>
              </w:rPr>
              <w:t>1283</w:t>
            </w:r>
          </w:p>
        </w:tc>
        <w:tc>
          <w:tcPr>
            <w:tcW w:w="431" w:type="pct"/>
            <w:vAlign w:val="center"/>
          </w:tcPr>
          <w:p w14:paraId="29B56EF0">
            <w:pPr>
              <w:pStyle w:val="31"/>
              <w:widowControl w:val="0"/>
              <w:bidi w:val="0"/>
              <w:jc w:val="center"/>
              <w:rPr>
                <w:color w:val="auto"/>
              </w:rPr>
            </w:pPr>
            <w:r>
              <w:rPr>
                <w:rFonts w:hint="eastAsia"/>
                <w:color w:val="auto"/>
              </w:rPr>
              <w:t>87</w:t>
            </w:r>
          </w:p>
        </w:tc>
        <w:tc>
          <w:tcPr>
            <w:tcW w:w="482" w:type="pct"/>
            <w:vAlign w:val="center"/>
          </w:tcPr>
          <w:p w14:paraId="429CC45D">
            <w:pPr>
              <w:pStyle w:val="31"/>
              <w:widowControl w:val="0"/>
              <w:bidi w:val="0"/>
              <w:jc w:val="center"/>
              <w:rPr>
                <w:color w:val="auto"/>
              </w:rPr>
            </w:pPr>
          </w:p>
        </w:tc>
        <w:tc>
          <w:tcPr>
            <w:tcW w:w="431" w:type="pct"/>
            <w:vAlign w:val="center"/>
          </w:tcPr>
          <w:p w14:paraId="1325FA7B">
            <w:pPr>
              <w:pStyle w:val="31"/>
              <w:widowControl w:val="0"/>
              <w:bidi w:val="0"/>
              <w:jc w:val="center"/>
              <w:rPr>
                <w:color w:val="auto"/>
              </w:rPr>
            </w:pPr>
          </w:p>
        </w:tc>
        <w:tc>
          <w:tcPr>
            <w:tcW w:w="552" w:type="pct"/>
            <w:vAlign w:val="center"/>
          </w:tcPr>
          <w:p w14:paraId="3306FA3B">
            <w:pPr>
              <w:pStyle w:val="31"/>
              <w:widowControl w:val="0"/>
              <w:bidi w:val="0"/>
              <w:jc w:val="center"/>
              <w:rPr>
                <w:color w:val="auto"/>
              </w:rPr>
            </w:pPr>
            <w:r>
              <w:rPr>
                <w:rFonts w:hint="eastAsia"/>
                <w:color w:val="auto"/>
              </w:rPr>
              <w:t>6</w:t>
            </w:r>
            <w:r>
              <w:rPr>
                <w:rFonts w:hint="eastAsia"/>
                <w:color w:val="auto"/>
                <w:lang w:val="en-US" w:eastAsia="zh-CN"/>
              </w:rPr>
              <w:t>29</w:t>
            </w:r>
            <w:r>
              <w:rPr>
                <w:rFonts w:hint="eastAsia"/>
                <w:color w:val="auto"/>
              </w:rPr>
              <w:t>.56</w:t>
            </w:r>
          </w:p>
        </w:tc>
        <w:tc>
          <w:tcPr>
            <w:tcW w:w="435" w:type="pct"/>
            <w:vAlign w:val="center"/>
          </w:tcPr>
          <w:p w14:paraId="2DBA7018">
            <w:pPr>
              <w:pStyle w:val="31"/>
              <w:widowControl w:val="0"/>
              <w:bidi w:val="0"/>
              <w:jc w:val="center"/>
              <w:rPr>
                <w:rFonts w:hint="default" w:eastAsia="宋体"/>
                <w:color w:val="auto"/>
                <w:lang w:val="en-US" w:eastAsia="zh-CN"/>
              </w:rPr>
            </w:pPr>
            <w:r>
              <w:rPr>
                <w:rFonts w:hint="eastAsia"/>
                <w:color w:val="auto"/>
                <w:lang w:val="en-US" w:eastAsia="zh-CN"/>
              </w:rPr>
              <w:t>786138</w:t>
            </w:r>
          </w:p>
        </w:tc>
        <w:tc>
          <w:tcPr>
            <w:tcW w:w="435" w:type="pct"/>
            <w:vAlign w:val="center"/>
          </w:tcPr>
          <w:p w14:paraId="646B0735">
            <w:pPr>
              <w:pStyle w:val="31"/>
              <w:widowControl w:val="0"/>
              <w:bidi w:val="0"/>
              <w:jc w:val="center"/>
              <w:rPr>
                <w:color w:val="auto"/>
              </w:rPr>
            </w:pPr>
            <w:r>
              <w:rPr>
                <w:rFonts w:hint="eastAsia"/>
                <w:color w:val="auto"/>
              </w:rPr>
              <w:t>1:3</w:t>
            </w:r>
          </w:p>
        </w:tc>
      </w:tr>
    </w:tbl>
    <w:p w14:paraId="487F76D4">
      <w:pPr>
        <w:pStyle w:val="5"/>
        <w:bidi w:val="0"/>
        <w:rPr>
          <w:color w:val="auto"/>
          <w:lang w:val="zh-CN"/>
        </w:rPr>
      </w:pPr>
      <w:r>
        <w:rPr>
          <w:color w:val="auto"/>
          <w:lang w:val="zh-CN"/>
        </w:rPr>
        <w:t>施工水位</w:t>
      </w:r>
    </w:p>
    <w:p w14:paraId="49BAF9B8">
      <w:pPr>
        <w:bidi w:val="0"/>
        <w:rPr>
          <w:color w:val="auto"/>
        </w:rPr>
      </w:pPr>
      <w:r>
        <w:rPr>
          <w:color w:val="auto"/>
        </w:rPr>
        <w:t>根据秋浦河航道整治经验，秋浦河航道施工水位在5.5m左右，考虑本次抛泥区地面工程情况，本次设计施工水位取为6.0m。</w:t>
      </w:r>
    </w:p>
    <w:p w14:paraId="7634BED3">
      <w:pPr>
        <w:pStyle w:val="5"/>
        <w:bidi w:val="0"/>
        <w:rPr>
          <w:color w:val="auto"/>
          <w:lang w:val="zh-CN" w:eastAsia="zh-CN"/>
        </w:rPr>
      </w:pPr>
      <w:r>
        <w:rPr>
          <w:color w:val="auto"/>
          <w:lang w:val="zh-CN" w:eastAsia="zh-CN"/>
        </w:rPr>
        <w:t>纵断面</w:t>
      </w:r>
    </w:p>
    <w:p w14:paraId="28D699AD">
      <w:pPr>
        <w:bidi w:val="0"/>
        <w:rPr>
          <w:color w:val="auto"/>
        </w:rPr>
      </w:pPr>
      <w:r>
        <w:rPr>
          <w:color w:val="auto"/>
        </w:rPr>
        <w:t>纵坡按平坡设计，5号抛泥区仅</w:t>
      </w:r>
      <w:r>
        <w:rPr>
          <w:rFonts w:hint="eastAsia"/>
          <w:color w:val="auto"/>
        </w:rPr>
        <w:t>清除</w:t>
      </w:r>
      <w:r>
        <w:rPr>
          <w:color w:val="auto"/>
        </w:rPr>
        <w:t>高程较高的2处滩地，开挖底高程为7.8m，6号抛泥区开挖底高程为8.4m。</w:t>
      </w:r>
    </w:p>
    <w:p w14:paraId="3DEC911F">
      <w:pPr>
        <w:pStyle w:val="5"/>
        <w:bidi w:val="0"/>
        <w:rPr>
          <w:color w:val="auto"/>
          <w:lang w:val="zh-CN" w:eastAsia="zh-CN"/>
        </w:rPr>
      </w:pPr>
      <w:r>
        <w:rPr>
          <w:color w:val="auto"/>
          <w:lang w:val="zh-CN" w:eastAsia="zh-CN"/>
        </w:rPr>
        <w:t>横断面</w:t>
      </w:r>
    </w:p>
    <w:p w14:paraId="1E84211E">
      <w:pPr>
        <w:bidi w:val="0"/>
        <w:rPr>
          <w:color w:val="auto"/>
        </w:rPr>
      </w:pPr>
      <w:r>
        <w:rPr>
          <w:color w:val="auto"/>
        </w:rPr>
        <w:t>根据秋浦河航道河道土质及抛泥区地勘资料情况，本次开挖横断面形式均采用梯形断面，坡比1:3，5号抛泥区采用仅高程较高的2处滩地，开挖底高程为7.8m，6号抛泥区开挖底高程为8.4m。5号拋泥区开挖底宽10-351m不等。6号拋泥区开挖底宽10-307m不等。</w:t>
      </w:r>
    </w:p>
    <w:p w14:paraId="75DC4583">
      <w:pPr>
        <w:bidi w:val="0"/>
        <w:ind w:left="0" w:leftChars="0" w:firstLine="0" w:firstLineChars="0"/>
        <w:rPr>
          <w:color w:val="auto"/>
        </w:rPr>
      </w:pPr>
      <w:r>
        <w:rPr>
          <w:color w:val="auto"/>
        </w:rPr>
        <w:drawing>
          <wp:inline distT="0" distB="0" distL="0" distR="0">
            <wp:extent cx="5400040" cy="1094105"/>
            <wp:effectExtent l="0" t="0" r="10160" b="10795"/>
            <wp:docPr id="15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pic:cNvPicPr>
                      <a:picLocks noChangeAspect="1"/>
                    </pic:cNvPicPr>
                  </pic:nvPicPr>
                  <pic:blipFill>
                    <a:blip r:embed="rId23"/>
                    <a:srcRect t="21158" b="25151"/>
                    <a:stretch>
                      <a:fillRect/>
                    </a:stretch>
                  </pic:blipFill>
                  <pic:spPr>
                    <a:xfrm>
                      <a:off x="0" y="0"/>
                      <a:ext cx="5400040" cy="1094105"/>
                    </a:xfrm>
                    <a:prstGeom prst="rect">
                      <a:avLst/>
                    </a:prstGeom>
                    <a:ln>
                      <a:noFill/>
                    </a:ln>
                  </pic:spPr>
                </pic:pic>
              </a:graphicData>
            </a:graphic>
          </wp:inline>
        </w:drawing>
      </w:r>
    </w:p>
    <w:p w14:paraId="483BC78D">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5</w:t>
      </w:r>
      <w:r>
        <w:rPr>
          <w:color w:val="auto"/>
        </w:rPr>
        <w:fldChar w:fldCharType="end"/>
      </w:r>
      <w:r>
        <w:rPr>
          <w:rFonts w:hint="eastAsia"/>
          <w:color w:val="auto"/>
          <w:lang w:val="en-US" w:eastAsia="zh-CN"/>
        </w:rPr>
        <w:t xml:space="preserve">  </w:t>
      </w:r>
      <w:r>
        <w:rPr>
          <w:color w:val="auto"/>
        </w:rPr>
        <w:t>5号抛泥区开挖标准断面图</w:t>
      </w:r>
    </w:p>
    <w:p w14:paraId="65EC7080">
      <w:pPr>
        <w:pStyle w:val="11"/>
        <w:bidi w:val="0"/>
        <w:rPr>
          <w:color w:val="auto"/>
        </w:rPr>
      </w:pPr>
      <w:r>
        <w:rPr>
          <w:color w:val="auto"/>
        </w:rPr>
        <w:drawing>
          <wp:inline distT="0" distB="0" distL="0" distR="0">
            <wp:extent cx="5400040" cy="1810385"/>
            <wp:effectExtent l="0" t="0" r="10160" b="18415"/>
            <wp:docPr id="154"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pic:cNvPicPr>
                      <a:picLocks noChangeAspect="1"/>
                    </pic:cNvPicPr>
                  </pic:nvPicPr>
                  <pic:blipFill>
                    <a:blip r:embed="rId24"/>
                    <a:stretch>
                      <a:fillRect/>
                    </a:stretch>
                  </pic:blipFill>
                  <pic:spPr>
                    <a:xfrm>
                      <a:off x="0" y="0"/>
                      <a:ext cx="5400040" cy="1810385"/>
                    </a:xfrm>
                    <a:prstGeom prst="rect">
                      <a:avLst/>
                    </a:prstGeom>
                  </pic:spPr>
                </pic:pic>
              </a:graphicData>
            </a:graphic>
          </wp:inline>
        </w:drawing>
      </w:r>
    </w:p>
    <w:p w14:paraId="0BE1466C">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6</w:t>
      </w:r>
      <w:r>
        <w:rPr>
          <w:color w:val="auto"/>
        </w:rPr>
        <w:fldChar w:fldCharType="end"/>
      </w:r>
      <w:r>
        <w:rPr>
          <w:rFonts w:hint="eastAsia"/>
          <w:color w:val="auto"/>
          <w:lang w:val="en-US" w:eastAsia="zh-CN"/>
        </w:rPr>
        <w:t xml:space="preserve">  </w:t>
      </w:r>
      <w:r>
        <w:rPr>
          <w:color w:val="auto"/>
        </w:rPr>
        <w:t>6号抛泥区开挖标准断面图</w:t>
      </w:r>
    </w:p>
    <w:p w14:paraId="6018F2DA">
      <w:pPr>
        <w:pStyle w:val="5"/>
        <w:bidi w:val="0"/>
        <w:rPr>
          <w:color w:val="auto"/>
          <w:lang w:val="zh-CN" w:eastAsia="zh-CN"/>
        </w:rPr>
      </w:pPr>
      <w:r>
        <w:rPr>
          <w:color w:val="auto"/>
          <w:lang w:val="zh-CN"/>
        </w:rPr>
        <w:t>土方</w:t>
      </w:r>
      <w:r>
        <w:rPr>
          <w:color w:val="auto"/>
          <w:lang w:val="zh-CN" w:eastAsia="zh-CN"/>
        </w:rPr>
        <w:t>工程量</w:t>
      </w:r>
    </w:p>
    <w:p w14:paraId="6E22C2A2">
      <w:pPr>
        <w:bidi w:val="0"/>
        <w:rPr>
          <w:color w:val="auto"/>
          <w:lang w:val="zh-CN" w:eastAsia="zh-CN"/>
        </w:rPr>
      </w:pPr>
      <w:r>
        <w:rPr>
          <w:color w:val="auto"/>
          <w:lang w:val="zh-CN"/>
        </w:rPr>
        <w:t>（1）</w:t>
      </w:r>
      <w:r>
        <w:rPr>
          <w:color w:val="auto"/>
          <w:lang w:val="zh-CN" w:eastAsia="zh-CN"/>
        </w:rPr>
        <w:t>土分类</w:t>
      </w:r>
    </w:p>
    <w:p w14:paraId="7CF27C83">
      <w:pPr>
        <w:bidi w:val="0"/>
        <w:rPr>
          <w:color w:val="auto"/>
        </w:rPr>
      </w:pPr>
      <w:r>
        <w:rPr>
          <w:color w:val="auto"/>
        </w:rPr>
        <w:t>本次砂石料勘察范围在项目区广泛分布，面积约360亩，按照揭露各岩土层的埋深情况和砂层分布的连续性，砂料场位置分布详见表3-1。</w:t>
      </w:r>
    </w:p>
    <w:p w14:paraId="77AB14D4">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color w:val="auto"/>
        </w:rPr>
        <w:t>砂石料场分布一览表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0"/>
        <w:gridCol w:w="4222"/>
      </w:tblGrid>
      <w:tr w14:paraId="2E77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10064" w:type="dxa"/>
            <w:gridSpan w:val="2"/>
            <w:shd w:val="clear" w:color="auto" w:fill="auto"/>
            <w:vAlign w:val="center"/>
          </w:tcPr>
          <w:p w14:paraId="091250B7">
            <w:pPr>
              <w:pStyle w:val="31"/>
              <w:bidi w:val="0"/>
              <w:rPr>
                <w:rFonts w:hint="eastAsia" w:eastAsia="宋体"/>
                <w:color w:val="auto"/>
                <w:lang w:eastAsia="zh-CN"/>
              </w:rPr>
            </w:pPr>
            <w:r>
              <w:rPr>
                <w:color w:val="auto"/>
              </w:rPr>
              <w:t>揭露的砂料层及区域面积</w:t>
            </w:r>
            <w:r>
              <w:rPr>
                <w:rFonts w:hint="eastAsia"/>
                <w:color w:val="auto"/>
                <w:lang w:eastAsia="zh-CN"/>
              </w:rPr>
              <w:t>（</w:t>
            </w:r>
            <w:r>
              <w:rPr>
                <w:color w:val="auto"/>
              </w:rPr>
              <w:t>m2</w:t>
            </w:r>
            <w:r>
              <w:rPr>
                <w:rFonts w:hint="eastAsia"/>
                <w:color w:val="auto"/>
                <w:lang w:eastAsia="zh-CN"/>
              </w:rPr>
              <w:t>）</w:t>
            </w:r>
          </w:p>
        </w:tc>
      </w:tr>
      <w:tr w14:paraId="60D6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103" w:type="dxa"/>
            <w:shd w:val="clear" w:color="auto" w:fill="auto"/>
            <w:vAlign w:val="center"/>
          </w:tcPr>
          <w:p w14:paraId="75D44E68">
            <w:pPr>
              <w:pStyle w:val="31"/>
              <w:bidi w:val="0"/>
              <w:rPr>
                <w:color w:val="auto"/>
              </w:rPr>
            </w:pPr>
            <w:r>
              <w:rPr>
                <w:rFonts w:hint="eastAsia"/>
                <w:color w:val="auto"/>
              </w:rPr>
              <w:t>①</w:t>
            </w:r>
            <w:r>
              <w:rPr>
                <w:color w:val="auto"/>
              </w:rPr>
              <w:t>层卵石</w:t>
            </w:r>
          </w:p>
        </w:tc>
        <w:tc>
          <w:tcPr>
            <w:tcW w:w="4961" w:type="dxa"/>
            <w:shd w:val="clear" w:color="auto" w:fill="auto"/>
            <w:vAlign w:val="center"/>
          </w:tcPr>
          <w:p w14:paraId="0847C9E6">
            <w:pPr>
              <w:pStyle w:val="31"/>
              <w:bidi w:val="0"/>
              <w:rPr>
                <w:color w:val="auto"/>
              </w:rPr>
            </w:pPr>
            <w:r>
              <w:rPr>
                <w:rFonts w:hint="eastAsia"/>
                <w:color w:val="auto"/>
              </w:rPr>
              <w:t>②</w:t>
            </w:r>
            <w:r>
              <w:rPr>
                <w:color w:val="auto"/>
              </w:rPr>
              <w:t>层中砂</w:t>
            </w:r>
          </w:p>
        </w:tc>
      </w:tr>
      <w:tr w14:paraId="00AC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03" w:type="dxa"/>
            <w:shd w:val="clear" w:color="auto" w:fill="auto"/>
            <w:vAlign w:val="center"/>
          </w:tcPr>
          <w:p w14:paraId="5F9192A3">
            <w:pPr>
              <w:pStyle w:val="31"/>
              <w:bidi w:val="0"/>
              <w:rPr>
                <w:color w:val="auto"/>
              </w:rPr>
            </w:pPr>
            <w:r>
              <w:rPr>
                <w:color w:val="auto"/>
              </w:rPr>
              <w:t>4000</w:t>
            </w:r>
          </w:p>
        </w:tc>
        <w:tc>
          <w:tcPr>
            <w:tcW w:w="4961" w:type="dxa"/>
            <w:shd w:val="clear" w:color="auto" w:fill="auto"/>
            <w:vAlign w:val="center"/>
          </w:tcPr>
          <w:p w14:paraId="4DDF7A30">
            <w:pPr>
              <w:pStyle w:val="31"/>
              <w:bidi w:val="0"/>
              <w:rPr>
                <w:color w:val="auto"/>
              </w:rPr>
            </w:pPr>
            <w:r>
              <w:rPr>
                <w:color w:val="auto"/>
              </w:rPr>
              <w:t>240000</w:t>
            </w:r>
          </w:p>
        </w:tc>
      </w:tr>
    </w:tbl>
    <w:p w14:paraId="74AC828B">
      <w:pPr>
        <w:bidi w:val="0"/>
        <w:rPr>
          <w:color w:val="auto"/>
        </w:rPr>
      </w:pPr>
      <w:r>
        <w:rPr>
          <w:color w:val="auto"/>
        </w:rPr>
        <w:t>注：表中各砂料层区域面积是根据钻探揭露该层的范围划定。</w:t>
      </w:r>
    </w:p>
    <w:p w14:paraId="3AF9298E">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color w:val="auto"/>
        </w:rPr>
        <w:t>砂层的埋深</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9"/>
        <w:gridCol w:w="3101"/>
        <w:gridCol w:w="2922"/>
      </w:tblGrid>
      <w:tr w14:paraId="34A3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50" w:type="dxa"/>
            <w:vAlign w:val="center"/>
          </w:tcPr>
          <w:p w14:paraId="49087A40">
            <w:pPr>
              <w:pStyle w:val="31"/>
              <w:bidi w:val="0"/>
              <w:rPr>
                <w:color w:val="auto"/>
              </w:rPr>
            </w:pPr>
            <w:r>
              <w:rPr>
                <w:color w:val="auto"/>
              </w:rPr>
              <w:t>地层名称</w:t>
            </w:r>
          </w:p>
        </w:tc>
        <w:tc>
          <w:tcPr>
            <w:tcW w:w="3544" w:type="dxa"/>
            <w:vAlign w:val="center"/>
          </w:tcPr>
          <w:p w14:paraId="181F15B0">
            <w:pPr>
              <w:pStyle w:val="31"/>
              <w:bidi w:val="0"/>
              <w:rPr>
                <w:rFonts w:hint="eastAsia" w:eastAsia="宋体"/>
                <w:color w:val="auto"/>
                <w:lang w:eastAsia="zh-CN"/>
              </w:rPr>
            </w:pPr>
            <w:r>
              <w:rPr>
                <w:color w:val="auto"/>
              </w:rPr>
              <w:t>层顶埋深</w:t>
            </w:r>
            <w:r>
              <w:rPr>
                <w:rFonts w:hint="eastAsia"/>
                <w:color w:val="auto"/>
                <w:lang w:eastAsia="zh-CN"/>
              </w:rPr>
              <w:t>（</w:t>
            </w:r>
            <w:r>
              <w:rPr>
                <w:color w:val="auto"/>
              </w:rPr>
              <w:t>m</w:t>
            </w:r>
            <w:r>
              <w:rPr>
                <w:rFonts w:hint="eastAsia"/>
                <w:color w:val="auto"/>
                <w:lang w:eastAsia="zh-CN"/>
              </w:rPr>
              <w:t>）</w:t>
            </w:r>
          </w:p>
        </w:tc>
        <w:tc>
          <w:tcPr>
            <w:tcW w:w="3337" w:type="dxa"/>
            <w:vAlign w:val="center"/>
          </w:tcPr>
          <w:p w14:paraId="3140A312">
            <w:pPr>
              <w:pStyle w:val="31"/>
              <w:bidi w:val="0"/>
              <w:rPr>
                <w:rFonts w:hint="eastAsia" w:eastAsia="宋体"/>
                <w:color w:val="auto"/>
                <w:lang w:eastAsia="zh-CN"/>
              </w:rPr>
            </w:pPr>
            <w:r>
              <w:rPr>
                <w:color w:val="auto"/>
              </w:rPr>
              <w:t>层底埋深</w:t>
            </w:r>
            <w:r>
              <w:rPr>
                <w:rFonts w:hint="eastAsia"/>
                <w:color w:val="auto"/>
                <w:lang w:eastAsia="zh-CN"/>
              </w:rPr>
              <w:t>（</w:t>
            </w:r>
            <w:r>
              <w:rPr>
                <w:color w:val="auto"/>
              </w:rPr>
              <w:t>m</w:t>
            </w:r>
            <w:r>
              <w:rPr>
                <w:rFonts w:hint="eastAsia"/>
                <w:color w:val="auto"/>
                <w:lang w:eastAsia="zh-CN"/>
              </w:rPr>
              <w:t>）</w:t>
            </w:r>
          </w:p>
        </w:tc>
      </w:tr>
      <w:tr w14:paraId="1E3D5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0" w:type="dxa"/>
            <w:vAlign w:val="center"/>
          </w:tcPr>
          <w:p w14:paraId="66D640A8">
            <w:pPr>
              <w:pStyle w:val="31"/>
              <w:bidi w:val="0"/>
              <w:rPr>
                <w:color w:val="auto"/>
              </w:rPr>
            </w:pPr>
            <w:r>
              <w:rPr>
                <w:rFonts w:hint="eastAsia"/>
                <w:color w:val="auto"/>
              </w:rPr>
              <w:t>①</w:t>
            </w:r>
            <w:r>
              <w:rPr>
                <w:color w:val="auto"/>
              </w:rPr>
              <w:t>层卵石</w:t>
            </w:r>
          </w:p>
        </w:tc>
        <w:tc>
          <w:tcPr>
            <w:tcW w:w="3544" w:type="dxa"/>
            <w:vAlign w:val="center"/>
          </w:tcPr>
          <w:p w14:paraId="4869CFE3">
            <w:pPr>
              <w:pStyle w:val="31"/>
              <w:bidi w:val="0"/>
              <w:rPr>
                <w:color w:val="auto"/>
              </w:rPr>
            </w:pPr>
            <w:r>
              <w:rPr>
                <w:color w:val="auto"/>
              </w:rPr>
              <w:t>0</w:t>
            </w:r>
          </w:p>
        </w:tc>
        <w:tc>
          <w:tcPr>
            <w:tcW w:w="3337" w:type="dxa"/>
            <w:vAlign w:val="center"/>
          </w:tcPr>
          <w:p w14:paraId="7DC06945">
            <w:pPr>
              <w:pStyle w:val="31"/>
              <w:bidi w:val="0"/>
              <w:rPr>
                <w:color w:val="auto"/>
              </w:rPr>
            </w:pPr>
            <w:r>
              <w:rPr>
                <w:color w:val="auto"/>
              </w:rPr>
              <w:t>5.30</w:t>
            </w:r>
          </w:p>
        </w:tc>
      </w:tr>
      <w:tr w14:paraId="283D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850" w:type="dxa"/>
            <w:vAlign w:val="center"/>
          </w:tcPr>
          <w:p w14:paraId="090B20FF">
            <w:pPr>
              <w:pStyle w:val="31"/>
              <w:bidi w:val="0"/>
              <w:rPr>
                <w:color w:val="auto"/>
              </w:rPr>
            </w:pPr>
            <w:r>
              <w:rPr>
                <w:rFonts w:hint="eastAsia"/>
                <w:color w:val="auto"/>
              </w:rPr>
              <w:t>②</w:t>
            </w:r>
            <w:r>
              <w:rPr>
                <w:color w:val="auto"/>
              </w:rPr>
              <w:t>层中砂</w:t>
            </w:r>
          </w:p>
        </w:tc>
        <w:tc>
          <w:tcPr>
            <w:tcW w:w="3544" w:type="dxa"/>
            <w:vAlign w:val="center"/>
          </w:tcPr>
          <w:p w14:paraId="70D5E9DF">
            <w:pPr>
              <w:pStyle w:val="31"/>
              <w:bidi w:val="0"/>
              <w:rPr>
                <w:color w:val="auto"/>
              </w:rPr>
            </w:pPr>
            <w:r>
              <w:rPr>
                <w:color w:val="auto"/>
              </w:rPr>
              <w:t>0.0</w:t>
            </w:r>
          </w:p>
        </w:tc>
        <w:tc>
          <w:tcPr>
            <w:tcW w:w="3337" w:type="dxa"/>
            <w:vAlign w:val="center"/>
          </w:tcPr>
          <w:p w14:paraId="5B8E4533">
            <w:pPr>
              <w:pStyle w:val="31"/>
              <w:bidi w:val="0"/>
              <w:rPr>
                <w:color w:val="auto"/>
              </w:rPr>
            </w:pPr>
            <w:r>
              <w:rPr>
                <w:color w:val="auto"/>
              </w:rPr>
              <w:t>0.60～4.40</w:t>
            </w:r>
          </w:p>
        </w:tc>
      </w:tr>
    </w:tbl>
    <w:p w14:paraId="073635D2">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4</w:t>
      </w:r>
      <w:r>
        <w:rPr>
          <w:color w:val="auto"/>
        </w:rPr>
        <w:fldChar w:fldCharType="end"/>
      </w:r>
      <w:r>
        <w:rPr>
          <w:color w:val="auto"/>
        </w:rPr>
        <w:t>砂层储量估算表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1"/>
        <w:gridCol w:w="1612"/>
        <w:gridCol w:w="1696"/>
        <w:gridCol w:w="1557"/>
        <w:gridCol w:w="1286"/>
      </w:tblGrid>
      <w:tr w14:paraId="2DE3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14" w:type="dxa"/>
            <w:tcBorders>
              <w:tl2br w:val="single" w:color="auto" w:sz="4" w:space="0"/>
            </w:tcBorders>
            <w:shd w:val="clear" w:color="auto" w:fill="auto"/>
            <w:vAlign w:val="center"/>
          </w:tcPr>
          <w:p w14:paraId="45B75DB9">
            <w:pPr>
              <w:pStyle w:val="31"/>
              <w:bidi w:val="0"/>
              <w:jc w:val="right"/>
              <w:rPr>
                <w:color w:val="auto"/>
              </w:rPr>
            </w:pPr>
            <w:r>
              <w:rPr>
                <w:color w:val="auto"/>
              </w:rPr>
              <w:t>计算项目</w:t>
            </w:r>
          </w:p>
          <w:p w14:paraId="4A9532B3">
            <w:pPr>
              <w:pStyle w:val="31"/>
              <w:bidi w:val="0"/>
              <w:jc w:val="left"/>
              <w:rPr>
                <w:color w:val="auto"/>
              </w:rPr>
            </w:pPr>
            <w:r>
              <w:rPr>
                <w:color w:val="auto"/>
              </w:rPr>
              <w:t>地层名称</w:t>
            </w:r>
          </w:p>
        </w:tc>
        <w:tc>
          <w:tcPr>
            <w:tcW w:w="1773" w:type="dxa"/>
            <w:shd w:val="clear" w:color="auto" w:fill="auto"/>
            <w:vAlign w:val="center"/>
          </w:tcPr>
          <w:p w14:paraId="0F2DC878">
            <w:pPr>
              <w:pStyle w:val="31"/>
              <w:bidi w:val="0"/>
              <w:rPr>
                <w:color w:val="auto"/>
              </w:rPr>
            </w:pPr>
            <w:r>
              <w:rPr>
                <w:color w:val="auto"/>
              </w:rPr>
              <w:t>计算面积（m2）</w:t>
            </w:r>
          </w:p>
        </w:tc>
        <w:tc>
          <w:tcPr>
            <w:tcW w:w="1900" w:type="dxa"/>
            <w:shd w:val="clear" w:color="auto" w:fill="auto"/>
            <w:vAlign w:val="center"/>
          </w:tcPr>
          <w:p w14:paraId="075A0C11">
            <w:pPr>
              <w:pStyle w:val="31"/>
              <w:bidi w:val="0"/>
              <w:rPr>
                <w:color w:val="auto"/>
              </w:rPr>
            </w:pPr>
            <w:r>
              <w:rPr>
                <w:color w:val="auto"/>
              </w:rPr>
              <w:t>最大厚度（m）</w:t>
            </w:r>
          </w:p>
        </w:tc>
        <w:tc>
          <w:tcPr>
            <w:tcW w:w="1730" w:type="dxa"/>
            <w:vAlign w:val="center"/>
          </w:tcPr>
          <w:p w14:paraId="24C890FF">
            <w:pPr>
              <w:pStyle w:val="31"/>
              <w:bidi w:val="0"/>
              <w:rPr>
                <w:color w:val="auto"/>
              </w:rPr>
            </w:pPr>
            <w:r>
              <w:rPr>
                <w:color w:val="auto"/>
              </w:rPr>
              <w:t>平均厚度（m）</w:t>
            </w:r>
          </w:p>
        </w:tc>
        <w:tc>
          <w:tcPr>
            <w:tcW w:w="1373" w:type="dxa"/>
            <w:vAlign w:val="center"/>
          </w:tcPr>
          <w:p w14:paraId="37D67484">
            <w:pPr>
              <w:pStyle w:val="31"/>
              <w:bidi w:val="0"/>
              <w:rPr>
                <w:color w:val="auto"/>
              </w:rPr>
            </w:pPr>
            <w:r>
              <w:rPr>
                <w:color w:val="auto"/>
              </w:rPr>
              <w:t>体积（m3）</w:t>
            </w:r>
          </w:p>
        </w:tc>
      </w:tr>
      <w:tr w14:paraId="4CB4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14" w:type="dxa"/>
            <w:shd w:val="clear" w:color="auto" w:fill="auto"/>
            <w:vAlign w:val="center"/>
          </w:tcPr>
          <w:p w14:paraId="42387A40">
            <w:pPr>
              <w:pStyle w:val="31"/>
              <w:bidi w:val="0"/>
              <w:rPr>
                <w:color w:val="auto"/>
              </w:rPr>
            </w:pPr>
            <w:r>
              <w:rPr>
                <w:rFonts w:hint="eastAsia"/>
                <w:color w:val="auto"/>
              </w:rPr>
              <w:t>①</w:t>
            </w:r>
            <w:r>
              <w:rPr>
                <w:color w:val="auto"/>
              </w:rPr>
              <w:t>层卵石</w:t>
            </w:r>
          </w:p>
        </w:tc>
        <w:tc>
          <w:tcPr>
            <w:tcW w:w="1773" w:type="dxa"/>
            <w:shd w:val="clear" w:color="auto" w:fill="auto"/>
            <w:vAlign w:val="center"/>
          </w:tcPr>
          <w:p w14:paraId="71C70B37">
            <w:pPr>
              <w:pStyle w:val="31"/>
              <w:bidi w:val="0"/>
              <w:rPr>
                <w:color w:val="auto"/>
              </w:rPr>
            </w:pPr>
            <w:r>
              <w:rPr>
                <w:color w:val="auto"/>
              </w:rPr>
              <w:t>4000</w:t>
            </w:r>
          </w:p>
        </w:tc>
        <w:tc>
          <w:tcPr>
            <w:tcW w:w="1900" w:type="dxa"/>
            <w:shd w:val="clear" w:color="auto" w:fill="auto"/>
            <w:vAlign w:val="center"/>
          </w:tcPr>
          <w:p w14:paraId="54E0B3AD">
            <w:pPr>
              <w:pStyle w:val="31"/>
              <w:bidi w:val="0"/>
              <w:rPr>
                <w:color w:val="auto"/>
              </w:rPr>
            </w:pPr>
            <w:r>
              <w:rPr>
                <w:color w:val="auto"/>
              </w:rPr>
              <w:t>5.30</w:t>
            </w:r>
          </w:p>
        </w:tc>
        <w:tc>
          <w:tcPr>
            <w:tcW w:w="1730" w:type="dxa"/>
            <w:vAlign w:val="center"/>
          </w:tcPr>
          <w:p w14:paraId="5186F028">
            <w:pPr>
              <w:pStyle w:val="31"/>
              <w:bidi w:val="0"/>
              <w:rPr>
                <w:color w:val="auto"/>
              </w:rPr>
            </w:pPr>
            <w:r>
              <w:rPr>
                <w:color w:val="auto"/>
              </w:rPr>
              <w:t>5.30</w:t>
            </w:r>
          </w:p>
        </w:tc>
        <w:tc>
          <w:tcPr>
            <w:tcW w:w="1373" w:type="dxa"/>
            <w:vAlign w:val="center"/>
          </w:tcPr>
          <w:p w14:paraId="3F4A445C">
            <w:pPr>
              <w:pStyle w:val="31"/>
              <w:bidi w:val="0"/>
              <w:rPr>
                <w:color w:val="auto"/>
              </w:rPr>
            </w:pPr>
            <w:r>
              <w:rPr>
                <w:color w:val="auto"/>
              </w:rPr>
              <w:t>21200</w:t>
            </w:r>
          </w:p>
        </w:tc>
      </w:tr>
      <w:tr w14:paraId="187B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14" w:type="dxa"/>
            <w:shd w:val="clear" w:color="auto" w:fill="auto"/>
            <w:vAlign w:val="center"/>
          </w:tcPr>
          <w:p w14:paraId="49E7951B">
            <w:pPr>
              <w:pStyle w:val="31"/>
              <w:bidi w:val="0"/>
              <w:rPr>
                <w:color w:val="auto"/>
              </w:rPr>
            </w:pPr>
            <w:r>
              <w:rPr>
                <w:rFonts w:hint="eastAsia"/>
                <w:color w:val="auto"/>
              </w:rPr>
              <w:t>②</w:t>
            </w:r>
            <w:r>
              <w:rPr>
                <w:color w:val="auto"/>
              </w:rPr>
              <w:t>层中砂</w:t>
            </w:r>
          </w:p>
        </w:tc>
        <w:tc>
          <w:tcPr>
            <w:tcW w:w="1773" w:type="dxa"/>
            <w:shd w:val="clear" w:color="auto" w:fill="auto"/>
            <w:vAlign w:val="center"/>
          </w:tcPr>
          <w:p w14:paraId="134CE256">
            <w:pPr>
              <w:pStyle w:val="31"/>
              <w:bidi w:val="0"/>
              <w:rPr>
                <w:color w:val="auto"/>
              </w:rPr>
            </w:pPr>
            <w:r>
              <w:rPr>
                <w:color w:val="auto"/>
              </w:rPr>
              <w:t>240000</w:t>
            </w:r>
          </w:p>
        </w:tc>
        <w:tc>
          <w:tcPr>
            <w:tcW w:w="1900" w:type="dxa"/>
            <w:shd w:val="clear" w:color="auto" w:fill="auto"/>
            <w:vAlign w:val="center"/>
          </w:tcPr>
          <w:p w14:paraId="1DDE6BE7">
            <w:pPr>
              <w:pStyle w:val="31"/>
              <w:bidi w:val="0"/>
              <w:rPr>
                <w:color w:val="auto"/>
              </w:rPr>
            </w:pPr>
            <w:r>
              <w:rPr>
                <w:color w:val="auto"/>
              </w:rPr>
              <w:t>4.40</w:t>
            </w:r>
          </w:p>
        </w:tc>
        <w:tc>
          <w:tcPr>
            <w:tcW w:w="1730" w:type="dxa"/>
            <w:vAlign w:val="center"/>
          </w:tcPr>
          <w:p w14:paraId="3677C22B">
            <w:pPr>
              <w:pStyle w:val="31"/>
              <w:bidi w:val="0"/>
              <w:rPr>
                <w:color w:val="auto"/>
              </w:rPr>
            </w:pPr>
            <w:r>
              <w:rPr>
                <w:color w:val="auto"/>
              </w:rPr>
              <w:t>1.81</w:t>
            </w:r>
          </w:p>
        </w:tc>
        <w:tc>
          <w:tcPr>
            <w:tcW w:w="1373" w:type="dxa"/>
            <w:vAlign w:val="center"/>
          </w:tcPr>
          <w:p w14:paraId="4663C52C">
            <w:pPr>
              <w:pStyle w:val="31"/>
              <w:bidi w:val="0"/>
              <w:rPr>
                <w:color w:val="auto"/>
              </w:rPr>
            </w:pPr>
            <w:r>
              <w:rPr>
                <w:color w:val="auto"/>
              </w:rPr>
              <w:t>434400</w:t>
            </w:r>
          </w:p>
        </w:tc>
      </w:tr>
    </w:tbl>
    <w:p w14:paraId="0CC330EB">
      <w:pPr>
        <w:bidi w:val="0"/>
        <w:rPr>
          <w:color w:val="auto"/>
          <w:lang w:val="zh-CN" w:eastAsia="zh-CN"/>
        </w:rPr>
      </w:pPr>
      <w:r>
        <w:rPr>
          <w:color w:val="auto"/>
          <w:lang w:val="zh-CN"/>
        </w:rPr>
        <w:t>（2）土方</w:t>
      </w:r>
      <w:r>
        <w:rPr>
          <w:color w:val="auto"/>
          <w:lang w:val="zh-CN" w:eastAsia="zh-CN"/>
        </w:rPr>
        <w:t>工程量</w:t>
      </w:r>
    </w:p>
    <w:p w14:paraId="42194933">
      <w:pPr>
        <w:bidi w:val="0"/>
        <w:rPr>
          <w:color w:val="auto"/>
        </w:rPr>
      </w:pPr>
      <w:r>
        <w:rPr>
          <w:color w:val="auto"/>
        </w:rPr>
        <w:t>本次秋浦河航道整治工程5号、6号抛泥区抛泥清除恢复项目重点对现有抛泥进行清除，5号抛泥区开挖土方850036m³，6号抛泥区开挖土方20912m³。根据施工水位，本次开挖土方均为陆上方，土方工程量计算不包含超宽超深。</w:t>
      </w:r>
    </w:p>
    <w:p w14:paraId="7CFAE8DF">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5</w:t>
      </w:r>
      <w:r>
        <w:rPr>
          <w:color w:val="auto"/>
        </w:rPr>
        <w:fldChar w:fldCharType="end"/>
      </w:r>
      <w:r>
        <w:rPr>
          <w:rFonts w:hint="eastAsia"/>
          <w:color w:val="auto"/>
          <w:lang w:val="en-US" w:eastAsia="zh-CN"/>
        </w:rPr>
        <w:t xml:space="preserve">  </w:t>
      </w:r>
      <w:r>
        <w:rPr>
          <w:color w:val="auto"/>
        </w:rPr>
        <w:t>5号拋泥区工程量表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2"/>
        <w:gridCol w:w="1038"/>
        <w:gridCol w:w="931"/>
        <w:gridCol w:w="2066"/>
        <w:gridCol w:w="1350"/>
        <w:gridCol w:w="875"/>
      </w:tblGrid>
      <w:tr w14:paraId="29BD0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vMerge w:val="restart"/>
            <w:shd w:val="clear" w:color="auto" w:fill="auto"/>
            <w:noWrap/>
            <w:vAlign w:val="center"/>
          </w:tcPr>
          <w:p w14:paraId="4424C56E">
            <w:pPr>
              <w:pStyle w:val="31"/>
              <w:bidi w:val="0"/>
              <w:rPr>
                <w:color w:val="auto"/>
              </w:rPr>
            </w:pPr>
            <w:r>
              <w:rPr>
                <w:color w:val="auto"/>
              </w:rPr>
              <w:t>桩号</w:t>
            </w:r>
          </w:p>
        </w:tc>
        <w:tc>
          <w:tcPr>
            <w:tcW w:w="609" w:type="pct"/>
            <w:vMerge w:val="restart"/>
            <w:shd w:val="clear" w:color="auto" w:fill="auto"/>
            <w:vAlign w:val="center"/>
          </w:tcPr>
          <w:p w14:paraId="11220508">
            <w:pPr>
              <w:pStyle w:val="31"/>
              <w:bidi w:val="0"/>
              <w:rPr>
                <w:rFonts w:hint="eastAsia" w:eastAsia="宋体"/>
                <w:color w:val="auto"/>
                <w:lang w:eastAsia="zh-CN"/>
              </w:rPr>
            </w:pPr>
            <w:r>
              <w:rPr>
                <w:color w:val="auto"/>
              </w:rPr>
              <w:t>距离</w:t>
            </w:r>
            <w:r>
              <w:rPr>
                <w:rFonts w:hint="eastAsia"/>
                <w:color w:val="auto"/>
                <w:lang w:eastAsia="zh-CN"/>
              </w:rPr>
              <w:t>（</w:t>
            </w:r>
            <w:r>
              <w:rPr>
                <w:color w:val="auto"/>
              </w:rPr>
              <w:t>m</w:t>
            </w:r>
            <w:r>
              <w:rPr>
                <w:rFonts w:hint="eastAsia"/>
                <w:color w:val="auto"/>
                <w:lang w:eastAsia="zh-CN"/>
              </w:rPr>
              <w:t>）</w:t>
            </w:r>
          </w:p>
        </w:tc>
        <w:tc>
          <w:tcPr>
            <w:tcW w:w="3063" w:type="pct"/>
            <w:gridSpan w:val="4"/>
            <w:shd w:val="clear" w:color="auto" w:fill="auto"/>
            <w:vAlign w:val="center"/>
          </w:tcPr>
          <w:p w14:paraId="0BA35EE7">
            <w:pPr>
              <w:pStyle w:val="31"/>
              <w:bidi w:val="0"/>
              <w:rPr>
                <w:color w:val="auto"/>
              </w:rPr>
            </w:pPr>
            <w:r>
              <w:rPr>
                <w:color w:val="auto"/>
              </w:rPr>
              <w:t>挖方分类及数量（m³）</w:t>
            </w:r>
          </w:p>
        </w:tc>
      </w:tr>
      <w:tr w14:paraId="6FAA5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vMerge w:val="continue"/>
            <w:vAlign w:val="center"/>
          </w:tcPr>
          <w:p w14:paraId="7EA08319">
            <w:pPr>
              <w:pStyle w:val="31"/>
              <w:bidi w:val="0"/>
              <w:rPr>
                <w:color w:val="auto"/>
              </w:rPr>
            </w:pPr>
          </w:p>
        </w:tc>
        <w:tc>
          <w:tcPr>
            <w:tcW w:w="609" w:type="pct"/>
            <w:vMerge w:val="continue"/>
            <w:vAlign w:val="center"/>
          </w:tcPr>
          <w:p w14:paraId="3E240015">
            <w:pPr>
              <w:pStyle w:val="31"/>
              <w:bidi w:val="0"/>
              <w:rPr>
                <w:color w:val="auto"/>
              </w:rPr>
            </w:pPr>
          </w:p>
        </w:tc>
        <w:tc>
          <w:tcPr>
            <w:tcW w:w="546" w:type="pct"/>
            <w:vMerge w:val="restart"/>
            <w:shd w:val="clear" w:color="auto" w:fill="auto"/>
            <w:noWrap/>
            <w:vAlign w:val="center"/>
          </w:tcPr>
          <w:p w14:paraId="17BACAA3">
            <w:pPr>
              <w:pStyle w:val="31"/>
              <w:bidi w:val="0"/>
              <w:rPr>
                <w:color w:val="auto"/>
              </w:rPr>
            </w:pPr>
            <w:r>
              <w:rPr>
                <w:color w:val="auto"/>
              </w:rPr>
              <w:t>开挖方</w:t>
            </w:r>
          </w:p>
        </w:tc>
        <w:tc>
          <w:tcPr>
            <w:tcW w:w="2516" w:type="pct"/>
            <w:gridSpan w:val="3"/>
            <w:shd w:val="clear" w:color="auto" w:fill="auto"/>
            <w:vAlign w:val="center"/>
          </w:tcPr>
          <w:p w14:paraId="28344309">
            <w:pPr>
              <w:pStyle w:val="31"/>
              <w:bidi w:val="0"/>
              <w:rPr>
                <w:color w:val="auto"/>
              </w:rPr>
            </w:pPr>
            <w:r>
              <w:rPr>
                <w:color w:val="auto"/>
              </w:rPr>
              <w:t>土级别</w:t>
            </w:r>
          </w:p>
        </w:tc>
      </w:tr>
      <w:tr w14:paraId="4B76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vMerge w:val="continue"/>
            <w:vAlign w:val="center"/>
          </w:tcPr>
          <w:p w14:paraId="08BF5788">
            <w:pPr>
              <w:pStyle w:val="31"/>
              <w:bidi w:val="0"/>
              <w:rPr>
                <w:color w:val="auto"/>
              </w:rPr>
            </w:pPr>
          </w:p>
        </w:tc>
        <w:tc>
          <w:tcPr>
            <w:tcW w:w="609" w:type="pct"/>
            <w:vMerge w:val="continue"/>
            <w:vAlign w:val="center"/>
          </w:tcPr>
          <w:p w14:paraId="08D45821">
            <w:pPr>
              <w:pStyle w:val="31"/>
              <w:bidi w:val="0"/>
              <w:rPr>
                <w:color w:val="auto"/>
              </w:rPr>
            </w:pPr>
          </w:p>
        </w:tc>
        <w:tc>
          <w:tcPr>
            <w:tcW w:w="546" w:type="pct"/>
            <w:vMerge w:val="continue"/>
            <w:vAlign w:val="center"/>
          </w:tcPr>
          <w:p w14:paraId="53141506">
            <w:pPr>
              <w:pStyle w:val="31"/>
              <w:bidi w:val="0"/>
              <w:rPr>
                <w:color w:val="auto"/>
              </w:rPr>
            </w:pPr>
          </w:p>
        </w:tc>
        <w:tc>
          <w:tcPr>
            <w:tcW w:w="1212" w:type="pct"/>
            <w:shd w:val="clear" w:color="auto" w:fill="auto"/>
            <w:noWrap/>
            <w:vAlign w:val="center"/>
          </w:tcPr>
          <w:p w14:paraId="684181BB">
            <w:pPr>
              <w:pStyle w:val="31"/>
              <w:bidi w:val="0"/>
              <w:rPr>
                <w:color w:val="auto"/>
              </w:rPr>
            </w:pPr>
            <w:r>
              <w:rPr>
                <w:color w:val="auto"/>
              </w:rPr>
              <w:t>粉质黏土</w:t>
            </w:r>
          </w:p>
        </w:tc>
        <w:tc>
          <w:tcPr>
            <w:tcW w:w="792" w:type="pct"/>
            <w:shd w:val="clear" w:color="auto" w:fill="auto"/>
            <w:noWrap/>
            <w:vAlign w:val="center"/>
          </w:tcPr>
          <w:p w14:paraId="37BA4614">
            <w:pPr>
              <w:pStyle w:val="31"/>
              <w:bidi w:val="0"/>
              <w:rPr>
                <w:color w:val="auto"/>
              </w:rPr>
            </w:pPr>
            <w:r>
              <w:rPr>
                <w:color w:val="auto"/>
              </w:rPr>
              <w:t>细砂</w:t>
            </w:r>
          </w:p>
        </w:tc>
        <w:tc>
          <w:tcPr>
            <w:tcW w:w="512" w:type="pct"/>
            <w:shd w:val="clear" w:color="auto" w:fill="auto"/>
            <w:noWrap/>
            <w:vAlign w:val="center"/>
          </w:tcPr>
          <w:p w14:paraId="77D57D90">
            <w:pPr>
              <w:pStyle w:val="31"/>
              <w:bidi w:val="0"/>
              <w:rPr>
                <w:color w:val="auto"/>
              </w:rPr>
            </w:pPr>
            <w:r>
              <w:rPr>
                <w:color w:val="auto"/>
              </w:rPr>
              <w:t>卵石</w:t>
            </w:r>
          </w:p>
        </w:tc>
      </w:tr>
      <w:tr w14:paraId="14520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shd w:val="clear" w:color="auto" w:fill="auto"/>
            <w:noWrap/>
            <w:vAlign w:val="center"/>
          </w:tcPr>
          <w:p w14:paraId="244159F6">
            <w:pPr>
              <w:pStyle w:val="31"/>
              <w:bidi w:val="0"/>
              <w:rPr>
                <w:rFonts w:hint="eastAsia" w:eastAsia="宋体"/>
                <w:color w:val="auto"/>
                <w:lang w:eastAsia="zh-CN"/>
              </w:rPr>
            </w:pPr>
            <w:r>
              <w:rPr>
                <w:color w:val="auto"/>
              </w:rPr>
              <w:t>1</w:t>
            </w:r>
          </w:p>
        </w:tc>
        <w:tc>
          <w:tcPr>
            <w:tcW w:w="609" w:type="pct"/>
            <w:shd w:val="clear" w:color="auto" w:fill="auto"/>
            <w:noWrap/>
            <w:vAlign w:val="center"/>
          </w:tcPr>
          <w:p w14:paraId="6B949552">
            <w:pPr>
              <w:pStyle w:val="31"/>
              <w:bidi w:val="0"/>
              <w:rPr>
                <w:rFonts w:hint="eastAsia" w:eastAsia="宋体"/>
                <w:color w:val="auto"/>
                <w:lang w:eastAsia="zh-CN"/>
              </w:rPr>
            </w:pPr>
            <w:r>
              <w:rPr>
                <w:color w:val="auto"/>
              </w:rPr>
              <w:t>2</w:t>
            </w:r>
          </w:p>
        </w:tc>
        <w:tc>
          <w:tcPr>
            <w:tcW w:w="546" w:type="pct"/>
            <w:shd w:val="clear" w:color="auto" w:fill="auto"/>
            <w:noWrap/>
            <w:vAlign w:val="center"/>
          </w:tcPr>
          <w:p w14:paraId="287A4724">
            <w:pPr>
              <w:pStyle w:val="31"/>
              <w:bidi w:val="0"/>
              <w:rPr>
                <w:rFonts w:hint="eastAsia" w:eastAsia="宋体"/>
                <w:color w:val="auto"/>
                <w:lang w:eastAsia="zh-CN"/>
              </w:rPr>
            </w:pPr>
            <w:r>
              <w:rPr>
                <w:color w:val="auto"/>
              </w:rPr>
              <w:t>3</w:t>
            </w:r>
          </w:p>
        </w:tc>
        <w:tc>
          <w:tcPr>
            <w:tcW w:w="1212" w:type="pct"/>
            <w:shd w:val="clear" w:color="auto" w:fill="auto"/>
            <w:noWrap/>
            <w:vAlign w:val="center"/>
          </w:tcPr>
          <w:p w14:paraId="243642A9">
            <w:pPr>
              <w:pStyle w:val="31"/>
              <w:bidi w:val="0"/>
              <w:rPr>
                <w:color w:val="auto"/>
              </w:rPr>
            </w:pPr>
            <w:r>
              <w:rPr>
                <w:color w:val="auto"/>
              </w:rPr>
              <w:t>4</w:t>
            </w:r>
          </w:p>
        </w:tc>
        <w:tc>
          <w:tcPr>
            <w:tcW w:w="792" w:type="pct"/>
            <w:shd w:val="clear" w:color="auto" w:fill="auto"/>
            <w:noWrap/>
            <w:vAlign w:val="center"/>
          </w:tcPr>
          <w:p w14:paraId="5F223E34">
            <w:pPr>
              <w:pStyle w:val="31"/>
              <w:bidi w:val="0"/>
              <w:rPr>
                <w:color w:val="auto"/>
              </w:rPr>
            </w:pPr>
            <w:r>
              <w:rPr>
                <w:color w:val="auto"/>
              </w:rPr>
              <w:t>5</w:t>
            </w:r>
          </w:p>
        </w:tc>
        <w:tc>
          <w:tcPr>
            <w:tcW w:w="512" w:type="pct"/>
            <w:shd w:val="clear" w:color="auto" w:fill="auto"/>
            <w:noWrap/>
            <w:vAlign w:val="center"/>
          </w:tcPr>
          <w:p w14:paraId="13A92F2D">
            <w:pPr>
              <w:pStyle w:val="31"/>
              <w:bidi w:val="0"/>
              <w:rPr>
                <w:rFonts w:hint="eastAsia" w:eastAsia="宋体"/>
                <w:color w:val="auto"/>
                <w:lang w:eastAsia="zh-CN"/>
              </w:rPr>
            </w:pPr>
            <w:r>
              <w:rPr>
                <w:color w:val="auto"/>
              </w:rPr>
              <w:t>6</w:t>
            </w:r>
          </w:p>
        </w:tc>
      </w:tr>
      <w:tr w14:paraId="7BC0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shd w:val="clear" w:color="auto" w:fill="auto"/>
            <w:noWrap/>
            <w:vAlign w:val="center"/>
          </w:tcPr>
          <w:p w14:paraId="6C978EF5">
            <w:pPr>
              <w:pStyle w:val="31"/>
              <w:bidi w:val="0"/>
              <w:rPr>
                <w:rFonts w:hint="default" w:eastAsia="宋体"/>
                <w:color w:val="auto"/>
                <w:lang w:val="en-US" w:eastAsia="zh-CN"/>
              </w:rPr>
            </w:pPr>
            <w:r>
              <w:rPr>
                <w:color w:val="auto"/>
              </w:rPr>
              <w:t>K0+100～K</w:t>
            </w:r>
            <w:r>
              <w:rPr>
                <w:rFonts w:hint="eastAsia"/>
                <w:color w:val="auto"/>
                <w:lang w:val="en-US" w:eastAsia="zh-CN"/>
              </w:rPr>
              <w:t>1</w:t>
            </w:r>
            <w:r>
              <w:rPr>
                <w:color w:val="auto"/>
              </w:rPr>
              <w:t>+</w:t>
            </w:r>
            <w:r>
              <w:rPr>
                <w:rFonts w:hint="eastAsia"/>
                <w:color w:val="auto"/>
                <w:lang w:val="en-US" w:eastAsia="zh-CN"/>
              </w:rPr>
              <w:t>332</w:t>
            </w:r>
          </w:p>
        </w:tc>
        <w:tc>
          <w:tcPr>
            <w:tcW w:w="609" w:type="pct"/>
            <w:shd w:val="clear" w:color="auto" w:fill="auto"/>
            <w:noWrap/>
            <w:vAlign w:val="center"/>
          </w:tcPr>
          <w:p w14:paraId="41E7AAA8">
            <w:pPr>
              <w:pStyle w:val="31"/>
              <w:bidi w:val="0"/>
              <w:rPr>
                <w:rFonts w:hint="eastAsia" w:eastAsia="宋体"/>
                <w:color w:val="auto"/>
                <w:lang w:eastAsia="zh-CN"/>
              </w:rPr>
            </w:pPr>
            <w:r>
              <w:rPr>
                <w:color w:val="auto"/>
              </w:rPr>
              <w:t>1001</w:t>
            </w:r>
          </w:p>
        </w:tc>
        <w:tc>
          <w:tcPr>
            <w:tcW w:w="546" w:type="pct"/>
            <w:shd w:val="clear" w:color="auto" w:fill="auto"/>
            <w:noWrap/>
            <w:vAlign w:val="center"/>
          </w:tcPr>
          <w:p w14:paraId="5EA4795F">
            <w:pPr>
              <w:pStyle w:val="31"/>
              <w:bidi w:val="0"/>
              <w:rPr>
                <w:rFonts w:hint="default" w:eastAsia="宋体"/>
                <w:color w:val="auto"/>
                <w:lang w:val="en-US" w:eastAsia="zh-CN"/>
              </w:rPr>
            </w:pPr>
            <w:r>
              <w:rPr>
                <w:rFonts w:hint="eastAsia"/>
                <w:color w:val="auto"/>
                <w:lang w:val="en-US" w:eastAsia="zh-CN"/>
              </w:rPr>
              <w:t>765226</w:t>
            </w:r>
          </w:p>
        </w:tc>
        <w:tc>
          <w:tcPr>
            <w:tcW w:w="1212" w:type="pct"/>
            <w:shd w:val="clear" w:color="auto" w:fill="auto"/>
            <w:noWrap/>
            <w:vAlign w:val="center"/>
          </w:tcPr>
          <w:p w14:paraId="75986CA6">
            <w:pPr>
              <w:pStyle w:val="31"/>
              <w:bidi w:val="0"/>
              <w:rPr>
                <w:rFonts w:hint="default" w:eastAsia="宋体"/>
                <w:color w:val="auto"/>
                <w:lang w:val="en-US" w:eastAsia="zh-CN"/>
              </w:rPr>
            </w:pPr>
            <w:r>
              <w:rPr>
                <w:rFonts w:hint="eastAsia"/>
                <w:color w:val="auto"/>
                <w:lang w:val="en-US" w:eastAsia="zh-CN"/>
              </w:rPr>
              <w:t>320834</w:t>
            </w:r>
          </w:p>
        </w:tc>
        <w:tc>
          <w:tcPr>
            <w:tcW w:w="792" w:type="pct"/>
            <w:shd w:val="clear" w:color="auto" w:fill="auto"/>
            <w:noWrap/>
            <w:vAlign w:val="center"/>
          </w:tcPr>
          <w:p w14:paraId="7555F0CA">
            <w:pPr>
              <w:pStyle w:val="31"/>
              <w:bidi w:val="0"/>
              <w:rPr>
                <w:rFonts w:hint="default" w:eastAsia="宋体"/>
                <w:color w:val="auto"/>
                <w:lang w:val="en-US" w:eastAsia="zh-CN"/>
              </w:rPr>
            </w:pPr>
            <w:r>
              <w:rPr>
                <w:rFonts w:hint="eastAsia"/>
                <w:color w:val="auto"/>
                <w:lang w:val="en-US" w:eastAsia="zh-CN"/>
              </w:rPr>
              <w:t>377148</w:t>
            </w:r>
          </w:p>
        </w:tc>
        <w:tc>
          <w:tcPr>
            <w:tcW w:w="512" w:type="pct"/>
            <w:shd w:val="clear" w:color="auto" w:fill="auto"/>
            <w:noWrap/>
            <w:vAlign w:val="center"/>
          </w:tcPr>
          <w:p w14:paraId="7F2477C6">
            <w:pPr>
              <w:pStyle w:val="31"/>
              <w:bidi w:val="0"/>
              <w:rPr>
                <w:rFonts w:hint="eastAsia" w:eastAsia="宋体"/>
                <w:color w:val="auto"/>
                <w:lang w:eastAsia="zh-CN"/>
              </w:rPr>
            </w:pPr>
            <w:r>
              <w:rPr>
                <w:color w:val="auto"/>
              </w:rPr>
              <w:t>67244</w:t>
            </w:r>
          </w:p>
        </w:tc>
      </w:tr>
      <w:tr w14:paraId="21084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shd w:val="clear" w:color="auto" w:fill="auto"/>
            <w:noWrap/>
            <w:vAlign w:val="center"/>
          </w:tcPr>
          <w:p w14:paraId="00949211">
            <w:pPr>
              <w:pStyle w:val="31"/>
              <w:bidi w:val="0"/>
              <w:rPr>
                <w:color w:val="auto"/>
              </w:rPr>
            </w:pPr>
            <w:r>
              <w:rPr>
                <w:color w:val="auto"/>
              </w:rPr>
              <w:t>合计</w:t>
            </w:r>
          </w:p>
        </w:tc>
        <w:tc>
          <w:tcPr>
            <w:tcW w:w="1038" w:type="dxa"/>
            <w:shd w:val="clear" w:color="auto" w:fill="auto"/>
            <w:noWrap/>
            <w:vAlign w:val="center"/>
          </w:tcPr>
          <w:p w14:paraId="740E59B0">
            <w:pPr>
              <w:pStyle w:val="31"/>
              <w:bidi w:val="0"/>
              <w:ind w:firstLine="0" w:firstLineChars="0"/>
              <w:rPr>
                <w:rFonts w:hint="eastAsia" w:eastAsia="宋体"/>
                <w:color w:val="auto"/>
                <w:lang w:eastAsia="zh-CN"/>
              </w:rPr>
            </w:pPr>
            <w:r>
              <w:rPr>
                <w:color w:val="auto"/>
              </w:rPr>
              <w:t>1001</w:t>
            </w:r>
          </w:p>
        </w:tc>
        <w:tc>
          <w:tcPr>
            <w:tcW w:w="931" w:type="dxa"/>
            <w:shd w:val="clear" w:color="auto" w:fill="auto"/>
            <w:noWrap/>
            <w:vAlign w:val="center"/>
          </w:tcPr>
          <w:p w14:paraId="58566719">
            <w:pPr>
              <w:pStyle w:val="31"/>
              <w:bidi w:val="0"/>
              <w:ind w:firstLine="0" w:firstLineChars="0"/>
              <w:rPr>
                <w:color w:val="auto"/>
              </w:rPr>
            </w:pPr>
            <w:r>
              <w:rPr>
                <w:rFonts w:hint="eastAsia"/>
                <w:color w:val="auto"/>
                <w:lang w:val="en-US" w:eastAsia="zh-CN"/>
              </w:rPr>
              <w:t>765226</w:t>
            </w:r>
          </w:p>
        </w:tc>
        <w:tc>
          <w:tcPr>
            <w:tcW w:w="2066" w:type="dxa"/>
            <w:shd w:val="clear" w:color="auto" w:fill="auto"/>
            <w:noWrap/>
            <w:vAlign w:val="center"/>
          </w:tcPr>
          <w:p w14:paraId="64AD76B2">
            <w:pPr>
              <w:pStyle w:val="31"/>
              <w:bidi w:val="0"/>
              <w:ind w:firstLine="0" w:firstLineChars="0"/>
              <w:rPr>
                <w:color w:val="auto"/>
              </w:rPr>
            </w:pPr>
            <w:r>
              <w:rPr>
                <w:rFonts w:hint="eastAsia"/>
                <w:color w:val="auto"/>
                <w:lang w:val="en-US" w:eastAsia="zh-CN"/>
              </w:rPr>
              <w:t>320834</w:t>
            </w:r>
          </w:p>
        </w:tc>
        <w:tc>
          <w:tcPr>
            <w:tcW w:w="1350" w:type="dxa"/>
            <w:shd w:val="clear" w:color="auto" w:fill="auto"/>
            <w:noWrap/>
            <w:vAlign w:val="center"/>
          </w:tcPr>
          <w:p w14:paraId="5E5EC531">
            <w:pPr>
              <w:pStyle w:val="31"/>
              <w:bidi w:val="0"/>
              <w:ind w:firstLine="0" w:firstLineChars="0"/>
              <w:rPr>
                <w:color w:val="auto"/>
              </w:rPr>
            </w:pPr>
            <w:r>
              <w:rPr>
                <w:rFonts w:hint="eastAsia"/>
                <w:color w:val="auto"/>
                <w:lang w:val="en-US" w:eastAsia="zh-CN"/>
              </w:rPr>
              <w:t>377148</w:t>
            </w:r>
          </w:p>
        </w:tc>
        <w:tc>
          <w:tcPr>
            <w:tcW w:w="875" w:type="dxa"/>
            <w:shd w:val="clear" w:color="auto" w:fill="auto"/>
            <w:noWrap/>
            <w:vAlign w:val="center"/>
          </w:tcPr>
          <w:p w14:paraId="001B76F0">
            <w:pPr>
              <w:pStyle w:val="31"/>
              <w:bidi w:val="0"/>
              <w:ind w:firstLine="0" w:firstLineChars="0"/>
              <w:rPr>
                <w:rFonts w:hint="eastAsia" w:eastAsia="宋体"/>
                <w:color w:val="auto"/>
                <w:lang w:eastAsia="zh-CN"/>
              </w:rPr>
            </w:pPr>
            <w:r>
              <w:rPr>
                <w:color w:val="auto"/>
              </w:rPr>
              <w:t>67244</w:t>
            </w:r>
          </w:p>
        </w:tc>
      </w:tr>
    </w:tbl>
    <w:p w14:paraId="3B03E62F">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6</w:t>
      </w:r>
      <w:r>
        <w:rPr>
          <w:color w:val="auto"/>
        </w:rPr>
        <w:fldChar w:fldCharType="end"/>
      </w:r>
      <w:r>
        <w:rPr>
          <w:rFonts w:hint="eastAsia"/>
          <w:color w:val="auto"/>
          <w:lang w:val="en-US" w:eastAsia="zh-CN"/>
        </w:rPr>
        <w:t xml:space="preserve">  </w:t>
      </w:r>
      <w:r>
        <w:rPr>
          <w:color w:val="auto"/>
        </w:rPr>
        <w:t>6号拋泥区工程量表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2"/>
        <w:gridCol w:w="1036"/>
        <w:gridCol w:w="941"/>
        <w:gridCol w:w="2064"/>
        <w:gridCol w:w="1348"/>
        <w:gridCol w:w="871"/>
      </w:tblGrid>
      <w:tr w14:paraId="197DE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vMerge w:val="restart"/>
            <w:shd w:val="clear" w:color="auto" w:fill="auto"/>
            <w:noWrap/>
            <w:vAlign w:val="center"/>
          </w:tcPr>
          <w:p w14:paraId="73E9747A">
            <w:pPr>
              <w:pStyle w:val="31"/>
              <w:bidi w:val="0"/>
              <w:rPr>
                <w:color w:val="auto"/>
              </w:rPr>
            </w:pPr>
            <w:r>
              <w:rPr>
                <w:color w:val="auto"/>
              </w:rPr>
              <w:t>桩号</w:t>
            </w:r>
          </w:p>
        </w:tc>
        <w:tc>
          <w:tcPr>
            <w:tcW w:w="608" w:type="pct"/>
            <w:vMerge w:val="restart"/>
            <w:shd w:val="clear" w:color="auto" w:fill="auto"/>
            <w:vAlign w:val="center"/>
          </w:tcPr>
          <w:p w14:paraId="385F5C0E">
            <w:pPr>
              <w:pStyle w:val="31"/>
              <w:bidi w:val="0"/>
              <w:rPr>
                <w:rFonts w:hint="eastAsia" w:eastAsia="宋体"/>
                <w:color w:val="auto"/>
                <w:lang w:eastAsia="zh-CN"/>
              </w:rPr>
            </w:pPr>
            <w:r>
              <w:rPr>
                <w:color w:val="auto"/>
              </w:rPr>
              <w:t>距离</w:t>
            </w:r>
            <w:r>
              <w:rPr>
                <w:rFonts w:hint="eastAsia"/>
                <w:color w:val="auto"/>
                <w:lang w:eastAsia="zh-CN"/>
              </w:rPr>
              <w:t>（</w:t>
            </w:r>
            <w:r>
              <w:rPr>
                <w:color w:val="auto"/>
              </w:rPr>
              <w:t>m</w:t>
            </w:r>
            <w:r>
              <w:rPr>
                <w:rFonts w:hint="eastAsia"/>
                <w:color w:val="auto"/>
                <w:lang w:eastAsia="zh-CN"/>
              </w:rPr>
              <w:t>）</w:t>
            </w:r>
          </w:p>
        </w:tc>
        <w:tc>
          <w:tcPr>
            <w:tcW w:w="3065" w:type="pct"/>
            <w:gridSpan w:val="4"/>
            <w:shd w:val="clear" w:color="auto" w:fill="auto"/>
            <w:vAlign w:val="center"/>
          </w:tcPr>
          <w:p w14:paraId="612138E8">
            <w:pPr>
              <w:pStyle w:val="31"/>
              <w:bidi w:val="0"/>
              <w:rPr>
                <w:color w:val="auto"/>
              </w:rPr>
            </w:pPr>
            <w:r>
              <w:rPr>
                <w:color w:val="auto"/>
              </w:rPr>
              <w:t>挖方分类及数量（m³）</w:t>
            </w:r>
          </w:p>
        </w:tc>
      </w:tr>
      <w:tr w14:paraId="2A52F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vMerge w:val="continue"/>
            <w:vAlign w:val="center"/>
          </w:tcPr>
          <w:p w14:paraId="2A5F07F4">
            <w:pPr>
              <w:pStyle w:val="31"/>
              <w:bidi w:val="0"/>
              <w:rPr>
                <w:color w:val="auto"/>
              </w:rPr>
            </w:pPr>
          </w:p>
        </w:tc>
        <w:tc>
          <w:tcPr>
            <w:tcW w:w="608" w:type="pct"/>
            <w:vMerge w:val="continue"/>
            <w:vAlign w:val="center"/>
          </w:tcPr>
          <w:p w14:paraId="00C80755">
            <w:pPr>
              <w:pStyle w:val="31"/>
              <w:bidi w:val="0"/>
              <w:rPr>
                <w:color w:val="auto"/>
              </w:rPr>
            </w:pPr>
          </w:p>
        </w:tc>
        <w:tc>
          <w:tcPr>
            <w:tcW w:w="552" w:type="pct"/>
            <w:vMerge w:val="restart"/>
            <w:shd w:val="clear" w:color="auto" w:fill="auto"/>
            <w:noWrap/>
            <w:vAlign w:val="center"/>
          </w:tcPr>
          <w:p w14:paraId="5DF523F5">
            <w:pPr>
              <w:pStyle w:val="31"/>
              <w:bidi w:val="0"/>
              <w:rPr>
                <w:color w:val="auto"/>
              </w:rPr>
            </w:pPr>
            <w:r>
              <w:rPr>
                <w:color w:val="auto"/>
              </w:rPr>
              <w:t>开挖方</w:t>
            </w:r>
          </w:p>
        </w:tc>
        <w:tc>
          <w:tcPr>
            <w:tcW w:w="2513" w:type="pct"/>
            <w:gridSpan w:val="3"/>
            <w:shd w:val="clear" w:color="auto" w:fill="auto"/>
            <w:vAlign w:val="center"/>
          </w:tcPr>
          <w:p w14:paraId="790FCE89">
            <w:pPr>
              <w:pStyle w:val="31"/>
              <w:bidi w:val="0"/>
              <w:rPr>
                <w:color w:val="auto"/>
              </w:rPr>
            </w:pPr>
            <w:r>
              <w:rPr>
                <w:color w:val="auto"/>
              </w:rPr>
              <w:t>土级别</w:t>
            </w:r>
          </w:p>
        </w:tc>
      </w:tr>
      <w:tr w14:paraId="6A81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vMerge w:val="continue"/>
            <w:vAlign w:val="center"/>
          </w:tcPr>
          <w:p w14:paraId="1D0B16A3">
            <w:pPr>
              <w:pStyle w:val="31"/>
              <w:bidi w:val="0"/>
              <w:rPr>
                <w:color w:val="auto"/>
              </w:rPr>
            </w:pPr>
          </w:p>
        </w:tc>
        <w:tc>
          <w:tcPr>
            <w:tcW w:w="608" w:type="pct"/>
            <w:vMerge w:val="continue"/>
            <w:vAlign w:val="center"/>
          </w:tcPr>
          <w:p w14:paraId="75989DD1">
            <w:pPr>
              <w:pStyle w:val="31"/>
              <w:bidi w:val="0"/>
              <w:rPr>
                <w:color w:val="auto"/>
              </w:rPr>
            </w:pPr>
          </w:p>
        </w:tc>
        <w:tc>
          <w:tcPr>
            <w:tcW w:w="552" w:type="pct"/>
            <w:vMerge w:val="continue"/>
            <w:vAlign w:val="center"/>
          </w:tcPr>
          <w:p w14:paraId="2F18B94C">
            <w:pPr>
              <w:pStyle w:val="31"/>
              <w:bidi w:val="0"/>
              <w:rPr>
                <w:color w:val="auto"/>
              </w:rPr>
            </w:pPr>
          </w:p>
        </w:tc>
        <w:tc>
          <w:tcPr>
            <w:tcW w:w="1211" w:type="pct"/>
            <w:shd w:val="clear" w:color="auto" w:fill="auto"/>
            <w:noWrap/>
            <w:vAlign w:val="center"/>
          </w:tcPr>
          <w:p w14:paraId="75A86870">
            <w:pPr>
              <w:pStyle w:val="31"/>
              <w:bidi w:val="0"/>
              <w:rPr>
                <w:color w:val="auto"/>
              </w:rPr>
            </w:pPr>
            <w:r>
              <w:rPr>
                <w:color w:val="auto"/>
              </w:rPr>
              <w:t>粉质黏土</w:t>
            </w:r>
          </w:p>
        </w:tc>
        <w:tc>
          <w:tcPr>
            <w:tcW w:w="791" w:type="pct"/>
            <w:shd w:val="clear" w:color="auto" w:fill="auto"/>
            <w:noWrap/>
            <w:vAlign w:val="center"/>
          </w:tcPr>
          <w:p w14:paraId="5A1DF7F7">
            <w:pPr>
              <w:pStyle w:val="31"/>
              <w:bidi w:val="0"/>
              <w:rPr>
                <w:color w:val="auto"/>
              </w:rPr>
            </w:pPr>
            <w:r>
              <w:rPr>
                <w:color w:val="auto"/>
              </w:rPr>
              <w:t>细砂</w:t>
            </w:r>
          </w:p>
        </w:tc>
        <w:tc>
          <w:tcPr>
            <w:tcW w:w="511" w:type="pct"/>
            <w:shd w:val="clear" w:color="auto" w:fill="auto"/>
            <w:noWrap/>
            <w:vAlign w:val="center"/>
          </w:tcPr>
          <w:p w14:paraId="3593816F">
            <w:pPr>
              <w:pStyle w:val="31"/>
              <w:bidi w:val="0"/>
              <w:rPr>
                <w:color w:val="auto"/>
              </w:rPr>
            </w:pPr>
            <w:r>
              <w:rPr>
                <w:color w:val="auto"/>
              </w:rPr>
              <w:t>卵石</w:t>
            </w:r>
          </w:p>
        </w:tc>
      </w:tr>
      <w:tr w14:paraId="4030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shd w:val="clear" w:color="auto" w:fill="auto"/>
            <w:noWrap/>
            <w:vAlign w:val="center"/>
          </w:tcPr>
          <w:p w14:paraId="75040794">
            <w:pPr>
              <w:pStyle w:val="31"/>
              <w:bidi w:val="0"/>
              <w:rPr>
                <w:rFonts w:hint="eastAsia" w:eastAsia="宋体"/>
                <w:color w:val="auto"/>
                <w:lang w:eastAsia="zh-CN"/>
              </w:rPr>
            </w:pPr>
            <w:r>
              <w:rPr>
                <w:color w:val="auto"/>
              </w:rPr>
              <w:t>1</w:t>
            </w:r>
          </w:p>
        </w:tc>
        <w:tc>
          <w:tcPr>
            <w:tcW w:w="608" w:type="pct"/>
            <w:shd w:val="clear" w:color="auto" w:fill="auto"/>
            <w:noWrap/>
            <w:vAlign w:val="center"/>
          </w:tcPr>
          <w:p w14:paraId="54D81152">
            <w:pPr>
              <w:pStyle w:val="31"/>
              <w:bidi w:val="0"/>
              <w:rPr>
                <w:rFonts w:hint="eastAsia" w:eastAsia="宋体"/>
                <w:color w:val="auto"/>
                <w:lang w:eastAsia="zh-CN"/>
              </w:rPr>
            </w:pPr>
            <w:r>
              <w:rPr>
                <w:color w:val="auto"/>
              </w:rPr>
              <w:t>2</w:t>
            </w:r>
          </w:p>
        </w:tc>
        <w:tc>
          <w:tcPr>
            <w:tcW w:w="552" w:type="pct"/>
            <w:shd w:val="clear" w:color="auto" w:fill="auto"/>
            <w:noWrap/>
            <w:vAlign w:val="center"/>
          </w:tcPr>
          <w:p w14:paraId="34A1FA77">
            <w:pPr>
              <w:pStyle w:val="31"/>
              <w:bidi w:val="0"/>
              <w:rPr>
                <w:rFonts w:hint="eastAsia" w:eastAsia="宋体"/>
                <w:color w:val="auto"/>
                <w:lang w:eastAsia="zh-CN"/>
              </w:rPr>
            </w:pPr>
            <w:r>
              <w:rPr>
                <w:color w:val="auto"/>
              </w:rPr>
              <w:t>3</w:t>
            </w:r>
          </w:p>
        </w:tc>
        <w:tc>
          <w:tcPr>
            <w:tcW w:w="1211" w:type="pct"/>
            <w:shd w:val="clear" w:color="auto" w:fill="auto"/>
            <w:noWrap/>
            <w:vAlign w:val="center"/>
          </w:tcPr>
          <w:p w14:paraId="31042EA3">
            <w:pPr>
              <w:pStyle w:val="31"/>
              <w:bidi w:val="0"/>
              <w:rPr>
                <w:color w:val="auto"/>
              </w:rPr>
            </w:pPr>
            <w:r>
              <w:rPr>
                <w:color w:val="auto"/>
              </w:rPr>
              <w:t>4</w:t>
            </w:r>
          </w:p>
        </w:tc>
        <w:tc>
          <w:tcPr>
            <w:tcW w:w="791" w:type="pct"/>
            <w:shd w:val="clear" w:color="auto" w:fill="auto"/>
            <w:noWrap/>
            <w:vAlign w:val="center"/>
          </w:tcPr>
          <w:p w14:paraId="2409F12B">
            <w:pPr>
              <w:pStyle w:val="31"/>
              <w:bidi w:val="0"/>
              <w:rPr>
                <w:color w:val="auto"/>
              </w:rPr>
            </w:pPr>
            <w:r>
              <w:rPr>
                <w:color w:val="auto"/>
              </w:rPr>
              <w:t>5</w:t>
            </w:r>
          </w:p>
        </w:tc>
        <w:tc>
          <w:tcPr>
            <w:tcW w:w="511" w:type="pct"/>
            <w:shd w:val="clear" w:color="auto" w:fill="auto"/>
            <w:noWrap/>
            <w:vAlign w:val="center"/>
          </w:tcPr>
          <w:p w14:paraId="1A710629">
            <w:pPr>
              <w:pStyle w:val="31"/>
              <w:bidi w:val="0"/>
              <w:rPr>
                <w:rFonts w:hint="eastAsia" w:eastAsia="宋体"/>
                <w:color w:val="auto"/>
                <w:lang w:eastAsia="zh-CN"/>
              </w:rPr>
            </w:pPr>
            <w:r>
              <w:rPr>
                <w:color w:val="auto"/>
              </w:rPr>
              <w:t>6</w:t>
            </w:r>
          </w:p>
        </w:tc>
      </w:tr>
      <w:tr w14:paraId="63A0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shd w:val="clear" w:color="auto" w:fill="auto"/>
            <w:noWrap/>
            <w:vAlign w:val="center"/>
          </w:tcPr>
          <w:p w14:paraId="3247DD3B">
            <w:pPr>
              <w:pStyle w:val="31"/>
              <w:bidi w:val="0"/>
              <w:rPr>
                <w:color w:val="auto"/>
              </w:rPr>
            </w:pPr>
            <w:r>
              <w:rPr>
                <w:color w:val="auto"/>
              </w:rPr>
              <w:t>K0+000～K0+780</w:t>
            </w:r>
          </w:p>
        </w:tc>
        <w:tc>
          <w:tcPr>
            <w:tcW w:w="608" w:type="pct"/>
            <w:shd w:val="clear" w:color="auto" w:fill="auto"/>
            <w:noWrap/>
            <w:vAlign w:val="center"/>
          </w:tcPr>
          <w:p w14:paraId="35BACD7C">
            <w:pPr>
              <w:pStyle w:val="31"/>
              <w:bidi w:val="0"/>
              <w:rPr>
                <w:rFonts w:hint="eastAsia" w:eastAsia="宋体"/>
                <w:color w:val="auto"/>
                <w:lang w:eastAsia="zh-CN"/>
              </w:rPr>
            </w:pPr>
            <w:r>
              <w:rPr>
                <w:color w:val="auto"/>
              </w:rPr>
              <w:t>780</w:t>
            </w:r>
          </w:p>
        </w:tc>
        <w:tc>
          <w:tcPr>
            <w:tcW w:w="552" w:type="pct"/>
            <w:shd w:val="clear" w:color="auto" w:fill="auto"/>
            <w:noWrap/>
            <w:vAlign w:val="center"/>
          </w:tcPr>
          <w:p w14:paraId="63D99BE4">
            <w:pPr>
              <w:pStyle w:val="31"/>
              <w:bidi w:val="0"/>
              <w:rPr>
                <w:rFonts w:hint="eastAsia" w:eastAsia="宋体"/>
                <w:color w:val="auto"/>
                <w:lang w:eastAsia="zh-CN"/>
              </w:rPr>
            </w:pPr>
            <w:r>
              <w:rPr>
                <w:color w:val="auto"/>
              </w:rPr>
              <w:t>20912</w:t>
            </w:r>
          </w:p>
        </w:tc>
        <w:tc>
          <w:tcPr>
            <w:tcW w:w="1211" w:type="pct"/>
            <w:shd w:val="clear" w:color="auto" w:fill="auto"/>
            <w:noWrap/>
            <w:vAlign w:val="center"/>
          </w:tcPr>
          <w:p w14:paraId="3088267B">
            <w:pPr>
              <w:pStyle w:val="31"/>
              <w:bidi w:val="0"/>
              <w:rPr>
                <w:rFonts w:hint="eastAsia" w:eastAsia="宋体"/>
                <w:color w:val="auto"/>
                <w:lang w:eastAsia="zh-CN"/>
              </w:rPr>
            </w:pPr>
            <w:r>
              <w:rPr>
                <w:color w:val="auto"/>
              </w:rPr>
              <w:t>10456</w:t>
            </w:r>
          </w:p>
        </w:tc>
        <w:tc>
          <w:tcPr>
            <w:tcW w:w="791" w:type="pct"/>
            <w:shd w:val="clear" w:color="auto" w:fill="auto"/>
            <w:noWrap/>
            <w:vAlign w:val="center"/>
          </w:tcPr>
          <w:p w14:paraId="76192A70">
            <w:pPr>
              <w:pStyle w:val="31"/>
              <w:bidi w:val="0"/>
              <w:rPr>
                <w:color w:val="auto"/>
              </w:rPr>
            </w:pPr>
            <w:r>
              <w:rPr>
                <w:color w:val="auto"/>
              </w:rPr>
              <w:t>10456</w:t>
            </w:r>
          </w:p>
        </w:tc>
        <w:tc>
          <w:tcPr>
            <w:tcW w:w="511" w:type="pct"/>
            <w:shd w:val="clear" w:color="auto" w:fill="auto"/>
            <w:noWrap/>
            <w:vAlign w:val="center"/>
          </w:tcPr>
          <w:p w14:paraId="557A87B9">
            <w:pPr>
              <w:pStyle w:val="31"/>
              <w:bidi w:val="0"/>
              <w:rPr>
                <w:rFonts w:hint="eastAsia" w:eastAsia="宋体"/>
                <w:color w:val="auto"/>
                <w:lang w:eastAsia="zh-CN"/>
              </w:rPr>
            </w:pPr>
            <w:r>
              <w:rPr>
                <w:color w:val="auto"/>
              </w:rPr>
              <w:t>0</w:t>
            </w:r>
          </w:p>
        </w:tc>
      </w:tr>
      <w:tr w14:paraId="7456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7" w:type="pct"/>
            <w:shd w:val="clear" w:color="auto" w:fill="auto"/>
            <w:noWrap/>
            <w:vAlign w:val="center"/>
          </w:tcPr>
          <w:p w14:paraId="0BCEF792">
            <w:pPr>
              <w:pStyle w:val="31"/>
              <w:bidi w:val="0"/>
              <w:rPr>
                <w:color w:val="auto"/>
              </w:rPr>
            </w:pPr>
            <w:r>
              <w:rPr>
                <w:color w:val="auto"/>
              </w:rPr>
              <w:t>合计</w:t>
            </w:r>
          </w:p>
        </w:tc>
        <w:tc>
          <w:tcPr>
            <w:tcW w:w="608" w:type="pct"/>
            <w:shd w:val="clear" w:color="auto" w:fill="auto"/>
            <w:noWrap/>
            <w:vAlign w:val="center"/>
          </w:tcPr>
          <w:p w14:paraId="09402BF8">
            <w:pPr>
              <w:pStyle w:val="31"/>
              <w:bidi w:val="0"/>
              <w:rPr>
                <w:rFonts w:hint="eastAsia" w:eastAsia="宋体"/>
                <w:color w:val="auto"/>
                <w:lang w:eastAsia="zh-CN"/>
              </w:rPr>
            </w:pPr>
            <w:r>
              <w:rPr>
                <w:color w:val="auto"/>
              </w:rPr>
              <w:t>780</w:t>
            </w:r>
          </w:p>
        </w:tc>
        <w:tc>
          <w:tcPr>
            <w:tcW w:w="552" w:type="pct"/>
            <w:shd w:val="clear" w:color="auto" w:fill="auto"/>
            <w:noWrap/>
            <w:vAlign w:val="center"/>
          </w:tcPr>
          <w:p w14:paraId="38AE5697">
            <w:pPr>
              <w:pStyle w:val="31"/>
              <w:bidi w:val="0"/>
              <w:rPr>
                <w:rFonts w:hint="eastAsia" w:eastAsia="宋体"/>
                <w:color w:val="auto"/>
                <w:lang w:eastAsia="zh-CN"/>
              </w:rPr>
            </w:pPr>
            <w:r>
              <w:rPr>
                <w:color w:val="auto"/>
              </w:rPr>
              <w:t>20912</w:t>
            </w:r>
          </w:p>
        </w:tc>
        <w:tc>
          <w:tcPr>
            <w:tcW w:w="1211" w:type="pct"/>
            <w:shd w:val="clear" w:color="auto" w:fill="auto"/>
            <w:noWrap/>
            <w:vAlign w:val="center"/>
          </w:tcPr>
          <w:p w14:paraId="0B8DF6A7">
            <w:pPr>
              <w:pStyle w:val="31"/>
              <w:bidi w:val="0"/>
              <w:rPr>
                <w:rFonts w:hint="eastAsia" w:eastAsia="宋体"/>
                <w:color w:val="auto"/>
                <w:lang w:eastAsia="zh-CN"/>
              </w:rPr>
            </w:pPr>
            <w:r>
              <w:rPr>
                <w:color w:val="auto"/>
              </w:rPr>
              <w:t>10456</w:t>
            </w:r>
          </w:p>
        </w:tc>
        <w:tc>
          <w:tcPr>
            <w:tcW w:w="791" w:type="pct"/>
            <w:shd w:val="clear" w:color="auto" w:fill="auto"/>
            <w:noWrap/>
            <w:vAlign w:val="center"/>
          </w:tcPr>
          <w:p w14:paraId="1596F720">
            <w:pPr>
              <w:pStyle w:val="31"/>
              <w:bidi w:val="0"/>
              <w:rPr>
                <w:color w:val="auto"/>
              </w:rPr>
            </w:pPr>
            <w:r>
              <w:rPr>
                <w:color w:val="auto"/>
              </w:rPr>
              <w:t>10456</w:t>
            </w:r>
          </w:p>
        </w:tc>
        <w:tc>
          <w:tcPr>
            <w:tcW w:w="511" w:type="pct"/>
            <w:shd w:val="clear" w:color="auto" w:fill="auto"/>
            <w:noWrap/>
            <w:vAlign w:val="center"/>
          </w:tcPr>
          <w:p w14:paraId="79A390E3">
            <w:pPr>
              <w:pStyle w:val="31"/>
              <w:bidi w:val="0"/>
              <w:rPr>
                <w:rFonts w:hint="eastAsia" w:eastAsia="宋体"/>
                <w:color w:val="auto"/>
                <w:lang w:eastAsia="zh-CN"/>
              </w:rPr>
            </w:pPr>
            <w:r>
              <w:rPr>
                <w:color w:val="auto"/>
              </w:rPr>
              <w:t>0</w:t>
            </w:r>
          </w:p>
        </w:tc>
      </w:tr>
    </w:tbl>
    <w:p w14:paraId="64643E4C">
      <w:pPr>
        <w:pStyle w:val="4"/>
        <w:bidi w:val="0"/>
        <w:rPr>
          <w:color w:val="auto"/>
          <w:lang w:val="zh-CN" w:eastAsia="zh-CN"/>
        </w:rPr>
      </w:pPr>
      <w:bookmarkStart w:id="96" w:name="_Toc8169"/>
      <w:r>
        <w:rPr>
          <w:color w:val="auto"/>
          <w:lang w:val="zh-CN"/>
        </w:rPr>
        <w:t>临时道路方案</w:t>
      </w:r>
      <w:bookmarkEnd w:id="96"/>
    </w:p>
    <w:p w14:paraId="35134AE2">
      <w:pPr>
        <w:bidi w:val="0"/>
        <w:rPr>
          <w:color w:val="auto"/>
        </w:rPr>
      </w:pPr>
      <w:r>
        <w:rPr>
          <w:color w:val="auto"/>
        </w:rPr>
        <w:t>本次设计主要分为三条临时性道路，道路一服务原6号抛泥区，路线全长0.23km，道路二和道路三服务原5号抛泥区，道路二路线全长0.308km，道路三路线全长0.949km。</w:t>
      </w:r>
    </w:p>
    <w:p w14:paraId="502FD9E1">
      <w:pPr>
        <w:bidi w:val="0"/>
        <w:rPr>
          <w:color w:val="auto"/>
        </w:rPr>
      </w:pPr>
      <w:r>
        <w:rPr>
          <w:color w:val="auto"/>
        </w:rPr>
        <w:t>本次设计考虑为临时道路，纵断面可根据现场实际情况拟合现状道路高程。</w:t>
      </w:r>
    </w:p>
    <w:p w14:paraId="74B6E34A">
      <w:pPr>
        <w:bidi w:val="0"/>
        <w:rPr>
          <w:color w:val="auto"/>
        </w:rPr>
      </w:pPr>
      <w:r>
        <w:rPr>
          <w:color w:val="auto"/>
        </w:rPr>
        <w:t>本项目路基宽度5m，横断面布置为：0.25m土路肩+4.5m行车道+0.25m土路肩，路基填料采用秋浦河航道</w:t>
      </w:r>
      <w:r>
        <w:rPr>
          <w:rFonts w:hint="eastAsia"/>
          <w:color w:val="auto"/>
        </w:rPr>
        <w:t>弃土区</w:t>
      </w:r>
      <w:r>
        <w:rPr>
          <w:color w:val="auto"/>
        </w:rPr>
        <w:t>挖方石渣填筑。</w:t>
      </w:r>
    </w:p>
    <w:p w14:paraId="625F56EB">
      <w:pPr>
        <w:pStyle w:val="11"/>
        <w:bidi w:val="0"/>
        <w:rPr>
          <w:rFonts w:hint="eastAsia"/>
          <w:color w:val="auto"/>
        </w:rPr>
      </w:pPr>
    </w:p>
    <w:p w14:paraId="2B16D330">
      <w:pPr>
        <w:pStyle w:val="11"/>
        <w:bidi w:val="0"/>
        <w:rPr>
          <w:rFonts w:hint="eastAsia"/>
          <w:color w:val="auto"/>
        </w:rPr>
      </w:pPr>
    </w:p>
    <w:p w14:paraId="1B99770A">
      <w:pPr>
        <w:pStyle w:val="11"/>
        <w:bidi w:val="0"/>
        <w:rPr>
          <w:color w:val="auto"/>
        </w:rPr>
      </w:pPr>
      <w:r>
        <w:rPr>
          <w:rFonts w:hint="eastAsia"/>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7</w:t>
      </w:r>
      <w:r>
        <w:rPr>
          <w:color w:val="auto"/>
        </w:rPr>
        <w:fldChar w:fldCharType="end"/>
      </w:r>
      <w:r>
        <w:rPr>
          <w:rFonts w:hint="eastAsia"/>
          <w:color w:val="auto"/>
        </w:rPr>
        <w:t>临时道路一览表</w:t>
      </w:r>
    </w:p>
    <w:tbl>
      <w:tblPr>
        <w:tblStyle w:val="25"/>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
        <w:gridCol w:w="1381"/>
        <w:gridCol w:w="933"/>
        <w:gridCol w:w="1066"/>
        <w:gridCol w:w="1066"/>
        <w:gridCol w:w="1064"/>
        <w:gridCol w:w="1066"/>
        <w:gridCol w:w="1052"/>
      </w:tblGrid>
      <w:tr w14:paraId="237F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516" w:type="pct"/>
            <w:vAlign w:val="center"/>
          </w:tcPr>
          <w:p w14:paraId="69787DEB">
            <w:pPr>
              <w:pStyle w:val="31"/>
              <w:widowControl w:val="0"/>
              <w:bidi w:val="0"/>
              <w:rPr>
                <w:color w:val="auto"/>
              </w:rPr>
            </w:pPr>
            <w:r>
              <w:rPr>
                <w:rFonts w:hint="eastAsia"/>
                <w:color w:val="auto"/>
              </w:rPr>
              <w:t>抛泥区编号</w:t>
            </w:r>
          </w:p>
        </w:tc>
        <w:tc>
          <w:tcPr>
            <w:tcW w:w="811" w:type="pct"/>
            <w:vAlign w:val="center"/>
          </w:tcPr>
          <w:p w14:paraId="259AF3CA">
            <w:pPr>
              <w:pStyle w:val="31"/>
              <w:widowControl w:val="0"/>
              <w:bidi w:val="0"/>
              <w:rPr>
                <w:color w:val="auto"/>
              </w:rPr>
            </w:pPr>
            <w:r>
              <w:rPr>
                <w:rFonts w:hint="eastAsia"/>
                <w:color w:val="auto"/>
              </w:rPr>
              <w:t>临时道路</w:t>
            </w:r>
          </w:p>
        </w:tc>
        <w:tc>
          <w:tcPr>
            <w:tcW w:w="548" w:type="pct"/>
            <w:vAlign w:val="center"/>
          </w:tcPr>
          <w:p w14:paraId="44875CEE">
            <w:pPr>
              <w:pStyle w:val="31"/>
              <w:widowControl w:val="0"/>
              <w:bidi w:val="0"/>
              <w:rPr>
                <w:color w:val="auto"/>
              </w:rPr>
            </w:pPr>
            <w:r>
              <w:rPr>
                <w:rFonts w:hint="eastAsia"/>
                <w:color w:val="auto"/>
              </w:rPr>
              <w:t>长度（km）</w:t>
            </w:r>
          </w:p>
        </w:tc>
        <w:tc>
          <w:tcPr>
            <w:tcW w:w="626" w:type="pct"/>
            <w:vAlign w:val="center"/>
          </w:tcPr>
          <w:p w14:paraId="511F97C1">
            <w:pPr>
              <w:pStyle w:val="31"/>
              <w:widowControl w:val="0"/>
              <w:bidi w:val="0"/>
              <w:rPr>
                <w:color w:val="auto"/>
              </w:rPr>
            </w:pPr>
            <w:r>
              <w:rPr>
                <w:rFonts w:hint="eastAsia"/>
                <w:color w:val="auto"/>
              </w:rPr>
              <w:t>路基宽度（m）</w:t>
            </w:r>
          </w:p>
        </w:tc>
        <w:tc>
          <w:tcPr>
            <w:tcW w:w="626" w:type="pct"/>
            <w:vAlign w:val="center"/>
          </w:tcPr>
          <w:p w14:paraId="1804FA6B">
            <w:pPr>
              <w:pStyle w:val="31"/>
              <w:widowControl w:val="0"/>
              <w:bidi w:val="0"/>
              <w:rPr>
                <w:color w:val="auto"/>
              </w:rPr>
            </w:pPr>
            <w:r>
              <w:rPr>
                <w:rFonts w:hint="eastAsia"/>
                <w:color w:val="auto"/>
              </w:rPr>
              <w:t>交通标志（套）</w:t>
            </w:r>
          </w:p>
        </w:tc>
        <w:tc>
          <w:tcPr>
            <w:tcW w:w="625" w:type="pct"/>
            <w:vAlign w:val="center"/>
          </w:tcPr>
          <w:p w14:paraId="17D3E3B9">
            <w:pPr>
              <w:pStyle w:val="31"/>
              <w:widowControl w:val="0"/>
              <w:bidi w:val="0"/>
              <w:rPr>
                <w:color w:val="auto"/>
              </w:rPr>
            </w:pPr>
            <w:r>
              <w:rPr>
                <w:rFonts w:hint="eastAsia"/>
                <w:color w:val="auto"/>
              </w:rPr>
              <w:t>道口标注（套）</w:t>
            </w:r>
          </w:p>
        </w:tc>
        <w:tc>
          <w:tcPr>
            <w:tcW w:w="626" w:type="pct"/>
            <w:vAlign w:val="center"/>
          </w:tcPr>
          <w:p w14:paraId="7520D686">
            <w:pPr>
              <w:pStyle w:val="31"/>
              <w:widowControl w:val="0"/>
              <w:bidi w:val="0"/>
              <w:rPr>
                <w:color w:val="auto"/>
              </w:rPr>
            </w:pPr>
            <w:r>
              <w:rPr>
                <w:rFonts w:hint="eastAsia"/>
                <w:color w:val="auto"/>
              </w:rPr>
              <w:t>爆闪灯（套）</w:t>
            </w:r>
          </w:p>
        </w:tc>
        <w:tc>
          <w:tcPr>
            <w:tcW w:w="618" w:type="pct"/>
            <w:vAlign w:val="center"/>
          </w:tcPr>
          <w:p w14:paraId="5562E29C">
            <w:pPr>
              <w:pStyle w:val="31"/>
              <w:widowControl w:val="0"/>
              <w:bidi w:val="0"/>
              <w:rPr>
                <w:color w:val="auto"/>
              </w:rPr>
            </w:pPr>
            <w:r>
              <w:rPr>
                <w:rFonts w:hint="eastAsia"/>
                <w:color w:val="auto"/>
              </w:rPr>
              <w:t>橡胶减速带（m）</w:t>
            </w:r>
          </w:p>
        </w:tc>
      </w:tr>
      <w:tr w14:paraId="46A9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516" w:type="pct"/>
            <w:vMerge w:val="restart"/>
            <w:vAlign w:val="center"/>
          </w:tcPr>
          <w:p w14:paraId="6943D757">
            <w:pPr>
              <w:pStyle w:val="31"/>
              <w:widowControl w:val="0"/>
              <w:bidi w:val="0"/>
              <w:rPr>
                <w:color w:val="auto"/>
              </w:rPr>
            </w:pPr>
            <w:r>
              <w:rPr>
                <w:rFonts w:hint="eastAsia"/>
                <w:color w:val="auto"/>
              </w:rPr>
              <w:t>5号</w:t>
            </w:r>
          </w:p>
        </w:tc>
        <w:tc>
          <w:tcPr>
            <w:tcW w:w="811" w:type="pct"/>
            <w:vAlign w:val="center"/>
          </w:tcPr>
          <w:p w14:paraId="722D3673">
            <w:pPr>
              <w:pStyle w:val="31"/>
              <w:widowControl w:val="0"/>
              <w:bidi w:val="0"/>
              <w:rPr>
                <w:color w:val="auto"/>
              </w:rPr>
            </w:pPr>
            <w:r>
              <w:rPr>
                <w:rFonts w:hint="eastAsia"/>
                <w:color w:val="auto"/>
              </w:rPr>
              <w:t>临时道路</w:t>
            </w:r>
            <w:r>
              <w:rPr>
                <w:color w:val="auto"/>
              </w:rPr>
              <w:t>二</w:t>
            </w:r>
          </w:p>
        </w:tc>
        <w:tc>
          <w:tcPr>
            <w:tcW w:w="548" w:type="pct"/>
            <w:vAlign w:val="center"/>
          </w:tcPr>
          <w:p w14:paraId="4B8EE13F">
            <w:pPr>
              <w:pStyle w:val="31"/>
              <w:widowControl w:val="0"/>
              <w:bidi w:val="0"/>
              <w:rPr>
                <w:color w:val="auto"/>
              </w:rPr>
            </w:pPr>
            <w:r>
              <w:rPr>
                <w:rFonts w:hint="eastAsia"/>
                <w:color w:val="auto"/>
              </w:rPr>
              <w:t>0.308</w:t>
            </w:r>
          </w:p>
        </w:tc>
        <w:tc>
          <w:tcPr>
            <w:tcW w:w="626" w:type="pct"/>
            <w:vAlign w:val="center"/>
          </w:tcPr>
          <w:p w14:paraId="58C22F60">
            <w:pPr>
              <w:pStyle w:val="31"/>
              <w:widowControl w:val="0"/>
              <w:bidi w:val="0"/>
              <w:rPr>
                <w:color w:val="auto"/>
              </w:rPr>
            </w:pPr>
            <w:r>
              <w:rPr>
                <w:rFonts w:hint="eastAsia"/>
                <w:color w:val="auto"/>
              </w:rPr>
              <w:t>5</w:t>
            </w:r>
          </w:p>
        </w:tc>
        <w:tc>
          <w:tcPr>
            <w:tcW w:w="626" w:type="pct"/>
            <w:vAlign w:val="center"/>
          </w:tcPr>
          <w:p w14:paraId="43641750">
            <w:pPr>
              <w:pStyle w:val="31"/>
              <w:widowControl w:val="0"/>
              <w:bidi w:val="0"/>
              <w:rPr>
                <w:color w:val="auto"/>
              </w:rPr>
            </w:pPr>
            <w:r>
              <w:rPr>
                <w:rFonts w:hint="eastAsia"/>
                <w:color w:val="auto"/>
              </w:rPr>
              <w:t>5</w:t>
            </w:r>
          </w:p>
        </w:tc>
        <w:tc>
          <w:tcPr>
            <w:tcW w:w="625" w:type="pct"/>
            <w:vAlign w:val="center"/>
          </w:tcPr>
          <w:p w14:paraId="7DBAD53D">
            <w:pPr>
              <w:pStyle w:val="31"/>
              <w:widowControl w:val="0"/>
              <w:bidi w:val="0"/>
              <w:rPr>
                <w:color w:val="auto"/>
              </w:rPr>
            </w:pPr>
            <w:r>
              <w:rPr>
                <w:rFonts w:hint="eastAsia"/>
                <w:color w:val="auto"/>
              </w:rPr>
              <w:t>4</w:t>
            </w:r>
          </w:p>
        </w:tc>
        <w:tc>
          <w:tcPr>
            <w:tcW w:w="626" w:type="pct"/>
            <w:vAlign w:val="center"/>
          </w:tcPr>
          <w:p w14:paraId="3E8C3E67">
            <w:pPr>
              <w:pStyle w:val="31"/>
              <w:widowControl w:val="0"/>
              <w:bidi w:val="0"/>
              <w:rPr>
                <w:color w:val="auto"/>
              </w:rPr>
            </w:pPr>
            <w:r>
              <w:rPr>
                <w:rFonts w:hint="eastAsia"/>
                <w:color w:val="auto"/>
              </w:rPr>
              <w:t>1</w:t>
            </w:r>
          </w:p>
        </w:tc>
        <w:tc>
          <w:tcPr>
            <w:tcW w:w="618" w:type="pct"/>
            <w:vAlign w:val="center"/>
          </w:tcPr>
          <w:p w14:paraId="03FDD943">
            <w:pPr>
              <w:pStyle w:val="31"/>
              <w:widowControl w:val="0"/>
              <w:bidi w:val="0"/>
              <w:rPr>
                <w:color w:val="auto"/>
              </w:rPr>
            </w:pPr>
            <w:r>
              <w:rPr>
                <w:rFonts w:hint="eastAsia"/>
                <w:color w:val="auto"/>
              </w:rPr>
              <w:t>6</w:t>
            </w:r>
          </w:p>
        </w:tc>
      </w:tr>
      <w:tr w14:paraId="5DC0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516" w:type="pct"/>
            <w:vMerge w:val="continue"/>
            <w:vAlign w:val="center"/>
          </w:tcPr>
          <w:p w14:paraId="513F9C95">
            <w:pPr>
              <w:pStyle w:val="31"/>
              <w:widowControl w:val="0"/>
              <w:bidi w:val="0"/>
              <w:rPr>
                <w:color w:val="auto"/>
              </w:rPr>
            </w:pPr>
          </w:p>
        </w:tc>
        <w:tc>
          <w:tcPr>
            <w:tcW w:w="811" w:type="pct"/>
            <w:vAlign w:val="center"/>
          </w:tcPr>
          <w:p w14:paraId="567F7CD9">
            <w:pPr>
              <w:pStyle w:val="31"/>
              <w:widowControl w:val="0"/>
              <w:bidi w:val="0"/>
              <w:rPr>
                <w:color w:val="auto"/>
              </w:rPr>
            </w:pPr>
            <w:r>
              <w:rPr>
                <w:rFonts w:hint="eastAsia"/>
                <w:color w:val="auto"/>
              </w:rPr>
              <w:t>临时道路三</w:t>
            </w:r>
          </w:p>
        </w:tc>
        <w:tc>
          <w:tcPr>
            <w:tcW w:w="548" w:type="pct"/>
            <w:vAlign w:val="center"/>
          </w:tcPr>
          <w:p w14:paraId="73E57BC0">
            <w:pPr>
              <w:pStyle w:val="31"/>
              <w:widowControl w:val="0"/>
              <w:bidi w:val="0"/>
              <w:rPr>
                <w:color w:val="auto"/>
              </w:rPr>
            </w:pPr>
            <w:r>
              <w:rPr>
                <w:rFonts w:hint="eastAsia"/>
                <w:color w:val="auto"/>
              </w:rPr>
              <w:t>0.949</w:t>
            </w:r>
          </w:p>
        </w:tc>
        <w:tc>
          <w:tcPr>
            <w:tcW w:w="626" w:type="pct"/>
            <w:vAlign w:val="center"/>
          </w:tcPr>
          <w:p w14:paraId="1C305BE4">
            <w:pPr>
              <w:pStyle w:val="31"/>
              <w:widowControl w:val="0"/>
              <w:bidi w:val="0"/>
              <w:rPr>
                <w:color w:val="auto"/>
              </w:rPr>
            </w:pPr>
            <w:r>
              <w:rPr>
                <w:rFonts w:hint="eastAsia"/>
                <w:color w:val="auto"/>
              </w:rPr>
              <w:t>5</w:t>
            </w:r>
          </w:p>
        </w:tc>
        <w:tc>
          <w:tcPr>
            <w:tcW w:w="626" w:type="pct"/>
            <w:vAlign w:val="center"/>
          </w:tcPr>
          <w:p w14:paraId="45C97CAB">
            <w:pPr>
              <w:pStyle w:val="31"/>
              <w:widowControl w:val="0"/>
              <w:bidi w:val="0"/>
              <w:rPr>
                <w:color w:val="auto"/>
              </w:rPr>
            </w:pPr>
            <w:r>
              <w:rPr>
                <w:rFonts w:hint="eastAsia"/>
                <w:color w:val="auto"/>
              </w:rPr>
              <w:t>5</w:t>
            </w:r>
          </w:p>
        </w:tc>
        <w:tc>
          <w:tcPr>
            <w:tcW w:w="625" w:type="pct"/>
            <w:vAlign w:val="center"/>
          </w:tcPr>
          <w:p w14:paraId="4B2B6CA8">
            <w:pPr>
              <w:pStyle w:val="31"/>
              <w:widowControl w:val="0"/>
              <w:bidi w:val="0"/>
              <w:rPr>
                <w:color w:val="auto"/>
              </w:rPr>
            </w:pPr>
            <w:r>
              <w:rPr>
                <w:rFonts w:hint="eastAsia"/>
                <w:color w:val="auto"/>
              </w:rPr>
              <w:t>4</w:t>
            </w:r>
          </w:p>
        </w:tc>
        <w:tc>
          <w:tcPr>
            <w:tcW w:w="626" w:type="pct"/>
            <w:vAlign w:val="center"/>
          </w:tcPr>
          <w:p w14:paraId="110CF205">
            <w:pPr>
              <w:pStyle w:val="31"/>
              <w:widowControl w:val="0"/>
              <w:bidi w:val="0"/>
              <w:rPr>
                <w:color w:val="auto"/>
              </w:rPr>
            </w:pPr>
            <w:r>
              <w:rPr>
                <w:rFonts w:hint="eastAsia"/>
                <w:color w:val="auto"/>
              </w:rPr>
              <w:t>1</w:t>
            </w:r>
          </w:p>
        </w:tc>
        <w:tc>
          <w:tcPr>
            <w:tcW w:w="618" w:type="pct"/>
            <w:vAlign w:val="center"/>
          </w:tcPr>
          <w:p w14:paraId="4562E933">
            <w:pPr>
              <w:pStyle w:val="31"/>
              <w:widowControl w:val="0"/>
              <w:bidi w:val="0"/>
              <w:rPr>
                <w:color w:val="auto"/>
              </w:rPr>
            </w:pPr>
            <w:r>
              <w:rPr>
                <w:rFonts w:hint="eastAsia"/>
                <w:color w:val="auto"/>
              </w:rPr>
              <w:t>6</w:t>
            </w:r>
          </w:p>
        </w:tc>
      </w:tr>
      <w:tr w14:paraId="7DBE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516" w:type="pct"/>
            <w:vAlign w:val="center"/>
          </w:tcPr>
          <w:p w14:paraId="69E48D30">
            <w:pPr>
              <w:pStyle w:val="31"/>
              <w:widowControl w:val="0"/>
              <w:bidi w:val="0"/>
              <w:rPr>
                <w:color w:val="auto"/>
              </w:rPr>
            </w:pPr>
            <w:r>
              <w:rPr>
                <w:rFonts w:hint="eastAsia"/>
                <w:color w:val="auto"/>
              </w:rPr>
              <w:t>6号</w:t>
            </w:r>
          </w:p>
        </w:tc>
        <w:tc>
          <w:tcPr>
            <w:tcW w:w="811" w:type="pct"/>
            <w:vAlign w:val="center"/>
          </w:tcPr>
          <w:p w14:paraId="7F424150">
            <w:pPr>
              <w:pStyle w:val="31"/>
              <w:widowControl w:val="0"/>
              <w:bidi w:val="0"/>
              <w:rPr>
                <w:color w:val="auto"/>
              </w:rPr>
            </w:pPr>
            <w:r>
              <w:rPr>
                <w:rFonts w:hint="eastAsia"/>
                <w:color w:val="auto"/>
              </w:rPr>
              <w:t>临时道路一</w:t>
            </w:r>
          </w:p>
        </w:tc>
        <w:tc>
          <w:tcPr>
            <w:tcW w:w="548" w:type="pct"/>
            <w:vAlign w:val="center"/>
          </w:tcPr>
          <w:p w14:paraId="2BD0A2BC">
            <w:pPr>
              <w:pStyle w:val="31"/>
              <w:widowControl w:val="0"/>
              <w:bidi w:val="0"/>
              <w:rPr>
                <w:color w:val="auto"/>
              </w:rPr>
            </w:pPr>
            <w:r>
              <w:rPr>
                <w:rFonts w:hint="eastAsia"/>
                <w:color w:val="auto"/>
              </w:rPr>
              <w:t>0.23</w:t>
            </w:r>
          </w:p>
        </w:tc>
        <w:tc>
          <w:tcPr>
            <w:tcW w:w="626" w:type="pct"/>
            <w:vAlign w:val="center"/>
          </w:tcPr>
          <w:p w14:paraId="29ACC159">
            <w:pPr>
              <w:pStyle w:val="31"/>
              <w:widowControl w:val="0"/>
              <w:bidi w:val="0"/>
              <w:rPr>
                <w:color w:val="auto"/>
              </w:rPr>
            </w:pPr>
            <w:r>
              <w:rPr>
                <w:rFonts w:hint="eastAsia"/>
                <w:color w:val="auto"/>
              </w:rPr>
              <w:t>5</w:t>
            </w:r>
          </w:p>
        </w:tc>
        <w:tc>
          <w:tcPr>
            <w:tcW w:w="626" w:type="pct"/>
            <w:vAlign w:val="center"/>
          </w:tcPr>
          <w:p w14:paraId="7DFFD38B">
            <w:pPr>
              <w:pStyle w:val="31"/>
              <w:widowControl w:val="0"/>
              <w:bidi w:val="0"/>
              <w:rPr>
                <w:color w:val="auto"/>
              </w:rPr>
            </w:pPr>
            <w:r>
              <w:rPr>
                <w:rFonts w:hint="eastAsia"/>
                <w:color w:val="auto"/>
              </w:rPr>
              <w:t>5</w:t>
            </w:r>
          </w:p>
        </w:tc>
        <w:tc>
          <w:tcPr>
            <w:tcW w:w="625" w:type="pct"/>
            <w:vAlign w:val="center"/>
          </w:tcPr>
          <w:p w14:paraId="43F59F59">
            <w:pPr>
              <w:pStyle w:val="31"/>
              <w:widowControl w:val="0"/>
              <w:bidi w:val="0"/>
              <w:rPr>
                <w:color w:val="auto"/>
              </w:rPr>
            </w:pPr>
            <w:r>
              <w:rPr>
                <w:rFonts w:hint="eastAsia"/>
                <w:color w:val="auto"/>
              </w:rPr>
              <w:t>4</w:t>
            </w:r>
          </w:p>
        </w:tc>
        <w:tc>
          <w:tcPr>
            <w:tcW w:w="626" w:type="pct"/>
            <w:vAlign w:val="center"/>
          </w:tcPr>
          <w:p w14:paraId="6EF7AB5F">
            <w:pPr>
              <w:pStyle w:val="31"/>
              <w:widowControl w:val="0"/>
              <w:bidi w:val="0"/>
              <w:rPr>
                <w:color w:val="auto"/>
              </w:rPr>
            </w:pPr>
            <w:r>
              <w:rPr>
                <w:rFonts w:hint="eastAsia"/>
                <w:color w:val="auto"/>
              </w:rPr>
              <w:t>1</w:t>
            </w:r>
          </w:p>
        </w:tc>
        <w:tc>
          <w:tcPr>
            <w:tcW w:w="618" w:type="pct"/>
            <w:vAlign w:val="center"/>
          </w:tcPr>
          <w:p w14:paraId="55DD0893">
            <w:pPr>
              <w:pStyle w:val="31"/>
              <w:widowControl w:val="0"/>
              <w:bidi w:val="0"/>
              <w:rPr>
                <w:color w:val="auto"/>
              </w:rPr>
            </w:pPr>
            <w:r>
              <w:rPr>
                <w:rFonts w:hint="eastAsia"/>
                <w:color w:val="auto"/>
              </w:rPr>
              <w:t>6</w:t>
            </w:r>
          </w:p>
        </w:tc>
      </w:tr>
      <w:tr w14:paraId="6913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327" w:type="pct"/>
            <w:gridSpan w:val="2"/>
            <w:vAlign w:val="center"/>
          </w:tcPr>
          <w:p w14:paraId="25BD8D3C">
            <w:pPr>
              <w:pStyle w:val="31"/>
              <w:widowControl w:val="0"/>
              <w:bidi w:val="0"/>
              <w:rPr>
                <w:color w:val="auto"/>
              </w:rPr>
            </w:pPr>
            <w:r>
              <w:rPr>
                <w:rFonts w:hint="eastAsia"/>
                <w:color w:val="auto"/>
              </w:rPr>
              <w:t>合计</w:t>
            </w:r>
          </w:p>
        </w:tc>
        <w:tc>
          <w:tcPr>
            <w:tcW w:w="548" w:type="pct"/>
            <w:vAlign w:val="center"/>
          </w:tcPr>
          <w:p w14:paraId="73DFFE0D">
            <w:pPr>
              <w:pStyle w:val="31"/>
              <w:widowControl w:val="0"/>
              <w:bidi w:val="0"/>
              <w:rPr>
                <w:color w:val="auto"/>
              </w:rPr>
            </w:pPr>
            <w:r>
              <w:rPr>
                <w:rFonts w:hint="eastAsia"/>
                <w:color w:val="auto"/>
              </w:rPr>
              <w:t>1.487</w:t>
            </w:r>
          </w:p>
        </w:tc>
        <w:tc>
          <w:tcPr>
            <w:tcW w:w="626" w:type="pct"/>
            <w:vAlign w:val="center"/>
          </w:tcPr>
          <w:p w14:paraId="73222EF5">
            <w:pPr>
              <w:pStyle w:val="31"/>
              <w:widowControl w:val="0"/>
              <w:bidi w:val="0"/>
              <w:rPr>
                <w:color w:val="auto"/>
              </w:rPr>
            </w:pPr>
          </w:p>
        </w:tc>
        <w:tc>
          <w:tcPr>
            <w:tcW w:w="626" w:type="pct"/>
            <w:vAlign w:val="center"/>
          </w:tcPr>
          <w:p w14:paraId="01705F20">
            <w:pPr>
              <w:pStyle w:val="31"/>
              <w:widowControl w:val="0"/>
              <w:bidi w:val="0"/>
              <w:rPr>
                <w:color w:val="auto"/>
              </w:rPr>
            </w:pPr>
            <w:r>
              <w:rPr>
                <w:rFonts w:hint="eastAsia"/>
                <w:color w:val="auto"/>
              </w:rPr>
              <w:t>15</w:t>
            </w:r>
          </w:p>
        </w:tc>
        <w:tc>
          <w:tcPr>
            <w:tcW w:w="625" w:type="pct"/>
            <w:vAlign w:val="center"/>
          </w:tcPr>
          <w:p w14:paraId="4EFDF450">
            <w:pPr>
              <w:pStyle w:val="31"/>
              <w:widowControl w:val="0"/>
              <w:bidi w:val="0"/>
              <w:rPr>
                <w:color w:val="auto"/>
              </w:rPr>
            </w:pPr>
            <w:r>
              <w:rPr>
                <w:rFonts w:hint="eastAsia"/>
                <w:color w:val="auto"/>
              </w:rPr>
              <w:t>13</w:t>
            </w:r>
          </w:p>
        </w:tc>
        <w:tc>
          <w:tcPr>
            <w:tcW w:w="626" w:type="pct"/>
            <w:vAlign w:val="center"/>
          </w:tcPr>
          <w:p w14:paraId="7F9288E9">
            <w:pPr>
              <w:pStyle w:val="31"/>
              <w:widowControl w:val="0"/>
              <w:bidi w:val="0"/>
              <w:rPr>
                <w:color w:val="auto"/>
              </w:rPr>
            </w:pPr>
            <w:r>
              <w:rPr>
                <w:rFonts w:hint="eastAsia"/>
                <w:color w:val="auto"/>
              </w:rPr>
              <w:t>3</w:t>
            </w:r>
          </w:p>
        </w:tc>
        <w:tc>
          <w:tcPr>
            <w:tcW w:w="618" w:type="pct"/>
            <w:vAlign w:val="center"/>
          </w:tcPr>
          <w:p w14:paraId="339B54DF">
            <w:pPr>
              <w:pStyle w:val="31"/>
              <w:widowControl w:val="0"/>
              <w:bidi w:val="0"/>
              <w:rPr>
                <w:color w:val="auto"/>
              </w:rPr>
            </w:pPr>
            <w:r>
              <w:rPr>
                <w:rFonts w:hint="eastAsia"/>
                <w:color w:val="auto"/>
              </w:rPr>
              <w:t>18</w:t>
            </w:r>
          </w:p>
        </w:tc>
      </w:tr>
    </w:tbl>
    <w:p w14:paraId="22BC6A02">
      <w:pPr>
        <w:bidi w:val="0"/>
        <w:rPr>
          <w:color w:val="auto"/>
          <w:lang w:val="zh-CN" w:eastAsia="zh-CN"/>
        </w:rPr>
      </w:pPr>
    </w:p>
    <w:p w14:paraId="7955AC63">
      <w:pPr>
        <w:pStyle w:val="5"/>
        <w:bidi w:val="0"/>
        <w:rPr>
          <w:color w:val="auto"/>
          <w:lang w:val="zh-CN" w:eastAsia="zh-CN"/>
        </w:rPr>
      </w:pPr>
      <w:bookmarkStart w:id="97" w:name="_Toc183250257"/>
      <w:r>
        <w:rPr>
          <w:color w:val="auto"/>
          <w:lang w:val="zh-CN" w:eastAsia="zh-CN"/>
        </w:rPr>
        <w:t>平面</w:t>
      </w:r>
      <w:r>
        <w:rPr>
          <w:color w:val="auto"/>
          <w:lang w:val="zh-CN"/>
        </w:rPr>
        <w:t>设计</w:t>
      </w:r>
      <w:bookmarkEnd w:id="97"/>
    </w:p>
    <w:p w14:paraId="66C35862">
      <w:pPr>
        <w:bidi w:val="0"/>
        <w:rPr>
          <w:color w:val="auto"/>
        </w:rPr>
      </w:pPr>
      <w:r>
        <w:rPr>
          <w:color w:val="auto"/>
        </w:rPr>
        <w:t>本项目临时接线道路主要作为抛泥区弃渣转运通道，考虑为临时性道路，本次设计参照《小交通量农村公路工程设计规范》（JTGT3311-2021）标准，公路等级参照四级公路（Ⅱ类）标准，设计速度20km/h。</w:t>
      </w:r>
    </w:p>
    <w:p w14:paraId="6F22A2B5">
      <w:pPr>
        <w:bidi w:val="0"/>
        <w:rPr>
          <w:color w:val="auto"/>
        </w:rPr>
      </w:pPr>
      <w:r>
        <w:rPr>
          <w:color w:val="auto"/>
        </w:rPr>
        <w:t>本次设计主要分为三条临时性道路，道路一服务原6</w:t>
      </w:r>
      <w:r>
        <w:rPr>
          <w:rFonts w:hint="eastAsia"/>
          <w:color w:val="auto"/>
        </w:rPr>
        <w:t>号</w:t>
      </w:r>
      <w:r>
        <w:rPr>
          <w:color w:val="auto"/>
        </w:rPr>
        <w:t>抛泥区，路线全长0.23km，道路二和道路三服务原5</w:t>
      </w:r>
      <w:r>
        <w:rPr>
          <w:rFonts w:hint="eastAsia"/>
          <w:color w:val="auto"/>
        </w:rPr>
        <w:t>号</w:t>
      </w:r>
      <w:r>
        <w:rPr>
          <w:color w:val="auto"/>
        </w:rPr>
        <w:t>抛泥区，道路二路线全长0.308km，道路三路线全长0.949km。</w:t>
      </w:r>
    </w:p>
    <w:p w14:paraId="1EC8E44E">
      <w:pPr>
        <w:pStyle w:val="11"/>
        <w:bidi w:val="0"/>
        <w:rPr>
          <w:color w:val="auto"/>
        </w:rPr>
      </w:pPr>
      <w:r>
        <w:rPr>
          <w:color w:val="auto"/>
        </w:rPr>
        <w:drawing>
          <wp:inline distT="0" distB="0" distL="0" distR="0">
            <wp:extent cx="5400040" cy="3552825"/>
            <wp:effectExtent l="0" t="0" r="10160" b="9525"/>
            <wp:docPr id="4993434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43419" name="图片 1"/>
                    <pic:cNvPicPr>
                      <a:picLocks noChangeAspect="1"/>
                    </pic:cNvPicPr>
                  </pic:nvPicPr>
                  <pic:blipFill>
                    <a:blip r:embed="rId25"/>
                    <a:stretch>
                      <a:fillRect/>
                    </a:stretch>
                  </pic:blipFill>
                  <pic:spPr>
                    <a:xfrm>
                      <a:off x="0" y="0"/>
                      <a:ext cx="5400040" cy="3552825"/>
                    </a:xfrm>
                    <a:prstGeom prst="rect">
                      <a:avLst/>
                    </a:prstGeom>
                  </pic:spPr>
                </pic:pic>
              </a:graphicData>
            </a:graphic>
          </wp:inline>
        </w:drawing>
      </w:r>
    </w:p>
    <w:p w14:paraId="1BEB4334">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7</w:t>
      </w:r>
      <w:r>
        <w:rPr>
          <w:color w:val="auto"/>
        </w:rPr>
        <w:fldChar w:fldCharType="end"/>
      </w:r>
      <w:r>
        <w:rPr>
          <w:color w:val="auto"/>
        </w:rPr>
        <w:t>临时道路一平面布置图</w:t>
      </w:r>
    </w:p>
    <w:p w14:paraId="2B7DE494">
      <w:pPr>
        <w:pStyle w:val="11"/>
        <w:bidi w:val="0"/>
        <w:rPr>
          <w:color w:val="auto"/>
        </w:rPr>
      </w:pPr>
      <w:r>
        <w:rPr>
          <w:color w:val="auto"/>
        </w:rPr>
        <w:drawing>
          <wp:inline distT="0" distB="0" distL="0" distR="0">
            <wp:extent cx="5400040" cy="3307080"/>
            <wp:effectExtent l="0" t="0" r="10160" b="7620"/>
            <wp:docPr id="16430487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48787" name="图片 1"/>
                    <pic:cNvPicPr>
                      <a:picLocks noChangeAspect="1"/>
                    </pic:cNvPicPr>
                  </pic:nvPicPr>
                  <pic:blipFill>
                    <a:blip r:embed="rId26"/>
                    <a:stretch>
                      <a:fillRect/>
                    </a:stretch>
                  </pic:blipFill>
                  <pic:spPr>
                    <a:xfrm>
                      <a:off x="0" y="0"/>
                      <a:ext cx="5400040" cy="3307080"/>
                    </a:xfrm>
                    <a:prstGeom prst="rect">
                      <a:avLst/>
                    </a:prstGeom>
                  </pic:spPr>
                </pic:pic>
              </a:graphicData>
            </a:graphic>
          </wp:inline>
        </w:drawing>
      </w:r>
    </w:p>
    <w:p w14:paraId="17B6CE92">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8</w:t>
      </w:r>
      <w:r>
        <w:rPr>
          <w:color w:val="auto"/>
        </w:rPr>
        <w:fldChar w:fldCharType="end"/>
      </w:r>
      <w:r>
        <w:rPr>
          <w:color w:val="auto"/>
        </w:rPr>
        <w:t>临时道路二平面布置图</w:t>
      </w:r>
    </w:p>
    <w:p w14:paraId="5B1F717B">
      <w:pPr>
        <w:pStyle w:val="11"/>
        <w:bidi w:val="0"/>
        <w:rPr>
          <w:color w:val="auto"/>
        </w:rPr>
      </w:pPr>
      <w:r>
        <w:rPr>
          <w:color w:val="auto"/>
        </w:rPr>
        <w:drawing>
          <wp:inline distT="0" distB="0" distL="0" distR="0">
            <wp:extent cx="5400040" cy="3005455"/>
            <wp:effectExtent l="0" t="0" r="10160" b="4445"/>
            <wp:docPr id="1761590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9042" name="图片 1"/>
                    <pic:cNvPicPr>
                      <a:picLocks noChangeAspect="1"/>
                    </pic:cNvPicPr>
                  </pic:nvPicPr>
                  <pic:blipFill>
                    <a:blip r:embed="rId27"/>
                    <a:stretch>
                      <a:fillRect/>
                    </a:stretch>
                  </pic:blipFill>
                  <pic:spPr>
                    <a:xfrm>
                      <a:off x="0" y="0"/>
                      <a:ext cx="5400040" cy="3005455"/>
                    </a:xfrm>
                    <a:prstGeom prst="rect">
                      <a:avLst/>
                    </a:prstGeom>
                  </pic:spPr>
                </pic:pic>
              </a:graphicData>
            </a:graphic>
          </wp:inline>
        </w:drawing>
      </w:r>
    </w:p>
    <w:p w14:paraId="60516F99">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9</w:t>
      </w:r>
      <w:r>
        <w:rPr>
          <w:color w:val="auto"/>
        </w:rPr>
        <w:fldChar w:fldCharType="end"/>
      </w:r>
      <w:r>
        <w:rPr>
          <w:color w:val="auto"/>
        </w:rPr>
        <w:t>临时道路三平面图</w:t>
      </w:r>
    </w:p>
    <w:p w14:paraId="2F331A59">
      <w:pPr>
        <w:pStyle w:val="5"/>
        <w:bidi w:val="0"/>
        <w:rPr>
          <w:color w:val="auto"/>
          <w:lang w:val="zh-CN" w:eastAsia="zh-CN"/>
        </w:rPr>
      </w:pPr>
      <w:bookmarkStart w:id="98" w:name="_Toc183250258"/>
      <w:r>
        <w:rPr>
          <w:color w:val="auto"/>
          <w:lang w:val="zh-CN"/>
        </w:rPr>
        <w:t>纵断面设计</w:t>
      </w:r>
      <w:bookmarkEnd w:id="98"/>
    </w:p>
    <w:p w14:paraId="56869309">
      <w:pPr>
        <w:bidi w:val="0"/>
        <w:rPr>
          <w:color w:val="auto"/>
        </w:rPr>
      </w:pPr>
      <w:r>
        <w:rPr>
          <w:color w:val="auto"/>
        </w:rPr>
        <w:t>本次设计考虑为临时道路，纵断面可根据现场实际情况拟合现状道路高程。</w:t>
      </w:r>
    </w:p>
    <w:p w14:paraId="03C39DC9">
      <w:pPr>
        <w:pStyle w:val="5"/>
        <w:bidi w:val="0"/>
        <w:rPr>
          <w:color w:val="auto"/>
          <w:lang w:val="zh-CN" w:eastAsia="zh-CN"/>
        </w:rPr>
      </w:pPr>
      <w:bookmarkStart w:id="99" w:name="_Toc183250259"/>
      <w:r>
        <w:rPr>
          <w:color w:val="auto"/>
          <w:lang w:val="zh-CN"/>
        </w:rPr>
        <w:t>路基路面设计</w:t>
      </w:r>
      <w:bookmarkEnd w:id="99"/>
    </w:p>
    <w:p w14:paraId="0288CF83">
      <w:pPr>
        <w:bidi w:val="0"/>
        <w:rPr>
          <w:color w:val="auto"/>
          <w:lang w:val="zh-CN"/>
        </w:rPr>
      </w:pPr>
      <w:r>
        <w:rPr>
          <w:rFonts w:hint="eastAsia"/>
          <w:color w:val="auto"/>
          <w:lang w:val="en-US" w:eastAsia="zh-CN"/>
        </w:rPr>
        <w:t>一、</w:t>
      </w:r>
      <w:r>
        <w:rPr>
          <w:color w:val="auto"/>
          <w:lang w:val="zh-CN"/>
        </w:rPr>
        <w:t>路基设计</w:t>
      </w:r>
    </w:p>
    <w:p w14:paraId="558D7D80">
      <w:pPr>
        <w:bidi w:val="0"/>
        <w:rPr>
          <w:color w:val="auto"/>
          <w:lang w:val="zh-CN" w:eastAsia="zh-CN"/>
        </w:rPr>
      </w:pPr>
      <w:r>
        <w:rPr>
          <w:color w:val="auto"/>
          <w:lang w:val="zh-CN"/>
        </w:rPr>
        <w:t>（1）设计标准</w:t>
      </w:r>
    </w:p>
    <w:p w14:paraId="30147816">
      <w:pPr>
        <w:bidi w:val="0"/>
        <w:rPr>
          <w:color w:val="auto"/>
        </w:rPr>
      </w:pPr>
      <w:r>
        <w:rPr>
          <w:rFonts w:hint="eastAsia"/>
          <w:color w:val="auto"/>
          <w:lang w:val="en-US" w:eastAsia="zh-CN"/>
        </w:rPr>
        <w:t>①</w:t>
      </w:r>
      <w:r>
        <w:rPr>
          <w:color w:val="auto"/>
        </w:rPr>
        <w:t>公路等级：四级公路（Ⅱ类）</w:t>
      </w:r>
    </w:p>
    <w:p w14:paraId="1C4FB3A5">
      <w:pPr>
        <w:bidi w:val="0"/>
        <w:rPr>
          <w:color w:val="auto"/>
        </w:rPr>
      </w:pPr>
      <w:r>
        <w:rPr>
          <w:rFonts w:hint="eastAsia"/>
          <w:color w:val="auto"/>
          <w:lang w:val="en-US" w:eastAsia="zh-CN"/>
        </w:rPr>
        <w:t>②</w:t>
      </w:r>
      <w:r>
        <w:rPr>
          <w:color w:val="auto"/>
        </w:rPr>
        <w:t>设计速度：20公里/小时</w:t>
      </w:r>
    </w:p>
    <w:p w14:paraId="38AB77A4">
      <w:pPr>
        <w:bidi w:val="0"/>
        <w:rPr>
          <w:color w:val="auto"/>
          <w:lang w:val="zh-CN" w:eastAsia="zh-CN"/>
        </w:rPr>
      </w:pPr>
      <w:r>
        <w:rPr>
          <w:color w:val="auto"/>
          <w:lang w:val="zh-CN"/>
        </w:rPr>
        <w:t>（2）设计原则</w:t>
      </w:r>
    </w:p>
    <w:p w14:paraId="251998FC">
      <w:pPr>
        <w:bidi w:val="0"/>
        <w:rPr>
          <w:color w:val="auto"/>
        </w:rPr>
      </w:pPr>
      <w:r>
        <w:rPr>
          <w:color w:val="auto"/>
        </w:rPr>
        <w:t>按国家、部颁规范，路基工程设计坚持“不破坏就是最大的保护”的原则，因地制宜、就地取材、以防为主、防治结合、安全经济、造型美观、顺应自然、与环境景观协调的原则，采取有效的措施防治路基病害和保证路基的稳定。</w:t>
      </w:r>
    </w:p>
    <w:p w14:paraId="620EBD2F">
      <w:pPr>
        <w:bidi w:val="0"/>
        <w:rPr>
          <w:color w:val="auto"/>
        </w:rPr>
      </w:pPr>
      <w:r>
        <w:rPr>
          <w:color w:val="auto"/>
        </w:rPr>
        <w:t>结合本项目特点，确定如下设计原则：</w:t>
      </w:r>
    </w:p>
    <w:p w14:paraId="6A7C9268">
      <w:pPr>
        <w:bidi w:val="0"/>
        <w:rPr>
          <w:color w:val="auto"/>
        </w:rPr>
      </w:pPr>
      <w:r>
        <w:rPr>
          <w:rFonts w:hint="eastAsia"/>
          <w:color w:val="auto"/>
          <w:lang w:val="en-US" w:eastAsia="zh-CN"/>
        </w:rPr>
        <w:t>①</w:t>
      </w:r>
      <w:r>
        <w:rPr>
          <w:color w:val="auto"/>
        </w:rPr>
        <w:t>遵循现行规范的要求，按照路基的填挖高度、地下水位情况以及填料的本身性质，划分路基的干湿类型，并综合考虑全线的工况，确定路基设计方案，同时提出适宜的路基设计回弹模量，为路面结构组合设计提供依据。</w:t>
      </w:r>
    </w:p>
    <w:p w14:paraId="480993EC">
      <w:pPr>
        <w:bidi w:val="0"/>
        <w:rPr>
          <w:color w:val="auto"/>
        </w:rPr>
      </w:pPr>
      <w:r>
        <w:rPr>
          <w:rFonts w:hint="eastAsia"/>
          <w:color w:val="auto"/>
          <w:lang w:val="en-US" w:eastAsia="zh-CN"/>
        </w:rPr>
        <w:t>②</w:t>
      </w:r>
      <w:r>
        <w:rPr>
          <w:color w:val="auto"/>
        </w:rPr>
        <w:t>路基设计因地制宜，充分考虑地形、地质、气象、水文等自然条件，做到与地形、周围环境相协调，充分考虑不良地质及特殊路段路基不均匀沉降对路基的影响，同时针对地区多雨湿热的气候环境特征，以及该地区常见的路基病害，提出合理的路基高度和针对性的路基防护与排水措施。</w:t>
      </w:r>
    </w:p>
    <w:p w14:paraId="327C8D0B">
      <w:pPr>
        <w:bidi w:val="0"/>
        <w:rPr>
          <w:color w:val="auto"/>
        </w:rPr>
      </w:pPr>
      <w:r>
        <w:rPr>
          <w:rFonts w:hint="eastAsia"/>
          <w:color w:val="auto"/>
          <w:lang w:val="en-US" w:eastAsia="zh-CN"/>
        </w:rPr>
        <w:t>③</w:t>
      </w:r>
      <w:r>
        <w:rPr>
          <w:color w:val="auto"/>
        </w:rPr>
        <w:t>路基设计要兼顾当地农业、绿化等基本设计的需要，与当地的水利等建设与规划相配合，同时严防农业等用水渗入路基，从而影响路基边坡的长久稳定。</w:t>
      </w:r>
    </w:p>
    <w:p w14:paraId="6F3B9D55">
      <w:pPr>
        <w:bidi w:val="0"/>
        <w:rPr>
          <w:color w:val="auto"/>
        </w:rPr>
      </w:pPr>
      <w:r>
        <w:rPr>
          <w:rFonts w:hint="eastAsia"/>
          <w:color w:val="auto"/>
          <w:lang w:val="en-US" w:eastAsia="zh-CN"/>
        </w:rPr>
        <w:t>④</w:t>
      </w:r>
      <w:r>
        <w:rPr>
          <w:color w:val="auto"/>
        </w:rPr>
        <w:t>路基路面一体化设计。路基作为路面的基础工程，应严格掌握路基填挖料的特性，并提出经济合理的填挖方案，确保路基的强度和稳定性。特殊路基段，例如陡坡路基、低填浅挖路基等都应加强路基和排水设计，确保路基的强度和稳定性。</w:t>
      </w:r>
    </w:p>
    <w:p w14:paraId="5D0FCAE0">
      <w:pPr>
        <w:bidi w:val="0"/>
        <w:rPr>
          <w:color w:val="auto"/>
        </w:rPr>
      </w:pPr>
      <w:r>
        <w:rPr>
          <w:rFonts w:hint="eastAsia"/>
          <w:color w:val="auto"/>
          <w:lang w:val="en-US" w:eastAsia="zh-CN"/>
        </w:rPr>
        <w:t>⑤</w:t>
      </w:r>
      <w:r>
        <w:rPr>
          <w:color w:val="auto"/>
        </w:rPr>
        <w:t>路基设计要注意水土保持和环境保护，并加强沿线绿化，尽量减少对沿线景观的破坏，改善和美化施工变化后的地形景观。</w:t>
      </w:r>
    </w:p>
    <w:p w14:paraId="41E6DD19">
      <w:pPr>
        <w:bidi w:val="0"/>
        <w:rPr>
          <w:color w:val="auto"/>
        </w:rPr>
      </w:pPr>
      <w:r>
        <w:rPr>
          <w:rFonts w:hint="eastAsia"/>
          <w:color w:val="auto"/>
          <w:lang w:val="en-US" w:eastAsia="zh-CN"/>
        </w:rPr>
        <w:t>⑥</w:t>
      </w:r>
      <w:r>
        <w:rPr>
          <w:color w:val="auto"/>
        </w:rPr>
        <w:t>挖方边坡坡率的拟定：一般边坡以坡率设计为主，治理为辅兼顾绿化恢复。特殊边坡应重视地质模型构建，加强多方案比选决策。对规模较大的不良地质体坚持“以避为主，以治为辅”，对局部不稳定体要提倡超前加固。</w:t>
      </w:r>
    </w:p>
    <w:p w14:paraId="50BCED3C">
      <w:pPr>
        <w:bidi w:val="0"/>
        <w:rPr>
          <w:color w:val="auto"/>
          <w:lang w:val="zh-CN" w:eastAsia="zh-CN"/>
        </w:rPr>
      </w:pPr>
      <w:r>
        <w:rPr>
          <w:color w:val="auto"/>
          <w:lang w:val="zh-CN"/>
        </w:rPr>
        <w:t>（3）路基标准横断面设计</w:t>
      </w:r>
    </w:p>
    <w:p w14:paraId="7AE5F8E0">
      <w:pPr>
        <w:bidi w:val="0"/>
        <w:rPr>
          <w:color w:val="auto"/>
        </w:rPr>
      </w:pPr>
      <w:r>
        <w:rPr>
          <w:color w:val="auto"/>
        </w:rPr>
        <w:t>本项目路基宽度5m，横断面布置为：0.25m土路肩+4.5m行车道+0.25m土路肩。</w:t>
      </w:r>
    </w:p>
    <w:p w14:paraId="6389A0A9">
      <w:pPr>
        <w:pStyle w:val="11"/>
        <w:bidi w:val="0"/>
        <w:rPr>
          <w:color w:val="auto"/>
        </w:rPr>
      </w:pPr>
      <w:r>
        <w:rPr>
          <w:color w:val="auto"/>
        </w:rPr>
        <w:drawing>
          <wp:inline distT="0" distB="0" distL="0" distR="0">
            <wp:extent cx="5400040" cy="2867660"/>
            <wp:effectExtent l="0" t="0" r="10160" b="8890"/>
            <wp:docPr id="1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
                    <pic:cNvPicPr>
                      <a:picLocks noChangeAspect="1"/>
                    </pic:cNvPicPr>
                  </pic:nvPicPr>
                  <pic:blipFill>
                    <a:blip r:embed="rId28"/>
                    <a:srcRect t="11878"/>
                    <a:stretch>
                      <a:fillRect/>
                    </a:stretch>
                  </pic:blipFill>
                  <pic:spPr>
                    <a:xfrm>
                      <a:off x="0" y="0"/>
                      <a:ext cx="5400040" cy="2867660"/>
                    </a:xfrm>
                    <a:prstGeom prst="rect">
                      <a:avLst/>
                    </a:prstGeom>
                    <a:ln>
                      <a:noFill/>
                    </a:ln>
                  </pic:spPr>
                </pic:pic>
              </a:graphicData>
            </a:graphic>
          </wp:inline>
        </w:drawing>
      </w:r>
    </w:p>
    <w:p w14:paraId="31E553D4">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10</w:t>
      </w:r>
      <w:r>
        <w:rPr>
          <w:color w:val="auto"/>
        </w:rPr>
        <w:fldChar w:fldCharType="end"/>
      </w:r>
      <w:r>
        <w:rPr>
          <w:color w:val="auto"/>
        </w:rPr>
        <w:t>路基标准横断面图</w:t>
      </w:r>
    </w:p>
    <w:p w14:paraId="45CDBD17">
      <w:pPr>
        <w:bidi w:val="0"/>
        <w:rPr>
          <w:color w:val="auto"/>
          <w:lang w:val="zh-CN"/>
        </w:rPr>
      </w:pPr>
      <w:r>
        <w:rPr>
          <w:color w:val="auto"/>
          <w:lang w:val="zh-CN"/>
        </w:rPr>
        <w:t>（3）路基填料设计</w:t>
      </w:r>
    </w:p>
    <w:p w14:paraId="00DBE35E">
      <w:pPr>
        <w:bidi w:val="0"/>
        <w:rPr>
          <w:color w:val="auto"/>
          <w:lang w:val="zh-CN"/>
        </w:rPr>
      </w:pPr>
      <w:r>
        <w:rPr>
          <w:color w:val="auto"/>
        </w:rPr>
        <w:t>本项目位于秋浦河航道地区，区域内填料来源丰富。考虑到挖方材料分布以及路段内相互调配</w:t>
      </w:r>
      <w:r>
        <w:rPr>
          <w:color w:val="auto"/>
          <w:lang w:val="zh-CN"/>
        </w:rPr>
        <w:t>，</w:t>
      </w:r>
      <w:r>
        <w:rPr>
          <w:color w:val="auto"/>
        </w:rPr>
        <w:t>本项目采用挖方石渣作为路基填料，路基材料主要来源于秋浦河航道。</w:t>
      </w:r>
    </w:p>
    <w:p w14:paraId="0EAE2F9E">
      <w:pPr>
        <w:bidi w:val="0"/>
        <w:rPr>
          <w:color w:val="auto"/>
          <w:lang w:val="zh-CN"/>
        </w:rPr>
      </w:pPr>
      <w:r>
        <w:rPr>
          <w:color w:val="auto"/>
          <w:lang w:val="zh-CN"/>
        </w:rPr>
        <w:t>（4）路基压实度要求</w:t>
      </w:r>
    </w:p>
    <w:p w14:paraId="4B658928">
      <w:pPr>
        <w:bidi w:val="0"/>
        <w:rPr>
          <w:color w:val="auto"/>
          <w:lang w:val="zh-CN"/>
        </w:rPr>
      </w:pPr>
      <w:r>
        <w:rPr>
          <w:color w:val="auto"/>
          <w:lang w:val="zh-CN"/>
        </w:rPr>
        <w:t>根据《小交通量农村公路工程技术标准》（JTG2111-2019）中的相关规定，道路路基压实度应满足以下要求。</w:t>
      </w:r>
    </w:p>
    <w:p w14:paraId="567FC081">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8</w:t>
      </w:r>
      <w:r>
        <w:rPr>
          <w:color w:val="auto"/>
        </w:rPr>
        <w:fldChar w:fldCharType="end"/>
      </w:r>
      <w:r>
        <w:rPr>
          <w:color w:val="auto"/>
        </w:rPr>
        <w:t>路基压实度要求</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2"/>
        <w:gridCol w:w="5090"/>
      </w:tblGrid>
      <w:tr w14:paraId="5B2F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3" w:type="dxa"/>
            <w:vAlign w:val="center"/>
          </w:tcPr>
          <w:p w14:paraId="114B90D3">
            <w:pPr>
              <w:pStyle w:val="31"/>
              <w:widowControl w:val="0"/>
              <w:bidi w:val="0"/>
              <w:jc w:val="center"/>
              <w:rPr>
                <w:color w:val="auto"/>
                <w:lang w:val="zh-CN"/>
              </w:rPr>
            </w:pPr>
            <w:r>
              <w:rPr>
                <w:color w:val="auto"/>
                <w:lang w:val="zh-CN"/>
              </w:rPr>
              <w:t>路床顶面以下深度（m）</w:t>
            </w:r>
          </w:p>
        </w:tc>
        <w:tc>
          <w:tcPr>
            <w:tcW w:w="5767" w:type="dxa"/>
            <w:vAlign w:val="center"/>
          </w:tcPr>
          <w:p w14:paraId="1AFF9CD0">
            <w:pPr>
              <w:pStyle w:val="31"/>
              <w:widowControl w:val="0"/>
              <w:bidi w:val="0"/>
              <w:jc w:val="center"/>
              <w:rPr>
                <w:color w:val="auto"/>
                <w:lang w:val="zh-CN"/>
              </w:rPr>
            </w:pPr>
            <w:r>
              <w:rPr>
                <w:color w:val="auto"/>
                <w:lang w:val="zh-CN"/>
              </w:rPr>
              <w:t>路基压实度（%）</w:t>
            </w:r>
          </w:p>
        </w:tc>
      </w:tr>
      <w:tr w14:paraId="1B47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3" w:type="dxa"/>
            <w:vAlign w:val="center"/>
          </w:tcPr>
          <w:p w14:paraId="4954D78C">
            <w:pPr>
              <w:pStyle w:val="31"/>
              <w:widowControl w:val="0"/>
              <w:bidi w:val="0"/>
              <w:jc w:val="center"/>
              <w:rPr>
                <w:color w:val="auto"/>
                <w:lang w:val="zh-CN"/>
              </w:rPr>
            </w:pPr>
            <w:r>
              <w:rPr>
                <w:color w:val="auto"/>
                <w:lang w:val="zh-CN"/>
              </w:rPr>
              <w:t>0~0.80</w:t>
            </w:r>
          </w:p>
        </w:tc>
        <w:tc>
          <w:tcPr>
            <w:tcW w:w="5767" w:type="dxa"/>
            <w:vAlign w:val="center"/>
          </w:tcPr>
          <w:p w14:paraId="56DDEFD9">
            <w:pPr>
              <w:pStyle w:val="31"/>
              <w:widowControl w:val="0"/>
              <w:bidi w:val="0"/>
              <w:jc w:val="center"/>
              <w:rPr>
                <w:color w:val="auto"/>
                <w:lang w:val="zh-CN"/>
              </w:rPr>
            </w:pPr>
            <w:r>
              <w:rPr>
                <w:color w:val="auto"/>
                <w:lang w:val="zh-CN"/>
              </w:rPr>
              <w:t>≥94</w:t>
            </w:r>
          </w:p>
        </w:tc>
      </w:tr>
      <w:tr w14:paraId="7C17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3" w:type="dxa"/>
            <w:vAlign w:val="center"/>
          </w:tcPr>
          <w:p w14:paraId="1626BB33">
            <w:pPr>
              <w:pStyle w:val="31"/>
              <w:widowControl w:val="0"/>
              <w:bidi w:val="0"/>
              <w:jc w:val="center"/>
              <w:rPr>
                <w:color w:val="auto"/>
                <w:lang w:val="zh-CN"/>
              </w:rPr>
            </w:pPr>
            <w:r>
              <w:rPr>
                <w:color w:val="auto"/>
                <w:lang w:val="zh-CN"/>
              </w:rPr>
              <w:t>0.8~1.50</w:t>
            </w:r>
          </w:p>
        </w:tc>
        <w:tc>
          <w:tcPr>
            <w:tcW w:w="5767" w:type="dxa"/>
            <w:vAlign w:val="center"/>
          </w:tcPr>
          <w:p w14:paraId="66E86280">
            <w:pPr>
              <w:pStyle w:val="31"/>
              <w:widowControl w:val="0"/>
              <w:bidi w:val="0"/>
              <w:jc w:val="center"/>
              <w:rPr>
                <w:color w:val="auto"/>
                <w:lang w:val="zh-CN"/>
              </w:rPr>
            </w:pPr>
            <w:r>
              <w:rPr>
                <w:color w:val="auto"/>
                <w:lang w:val="zh-CN"/>
              </w:rPr>
              <w:t>≥93</w:t>
            </w:r>
          </w:p>
        </w:tc>
      </w:tr>
      <w:tr w14:paraId="11BC6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3" w:type="dxa"/>
            <w:vAlign w:val="center"/>
          </w:tcPr>
          <w:p w14:paraId="3450D789">
            <w:pPr>
              <w:pStyle w:val="31"/>
              <w:widowControl w:val="0"/>
              <w:bidi w:val="0"/>
              <w:jc w:val="center"/>
              <w:rPr>
                <w:color w:val="auto"/>
                <w:lang w:val="zh-CN"/>
              </w:rPr>
            </w:pPr>
            <w:r>
              <w:rPr>
                <w:color w:val="auto"/>
                <w:lang w:val="zh-CN"/>
              </w:rPr>
              <w:t>&gt;1.50</w:t>
            </w:r>
          </w:p>
        </w:tc>
        <w:tc>
          <w:tcPr>
            <w:tcW w:w="5767" w:type="dxa"/>
            <w:vAlign w:val="center"/>
          </w:tcPr>
          <w:p w14:paraId="1C69610A">
            <w:pPr>
              <w:pStyle w:val="31"/>
              <w:widowControl w:val="0"/>
              <w:bidi w:val="0"/>
              <w:jc w:val="center"/>
              <w:rPr>
                <w:color w:val="auto"/>
                <w:lang w:val="zh-CN"/>
              </w:rPr>
            </w:pPr>
            <w:r>
              <w:rPr>
                <w:color w:val="auto"/>
                <w:lang w:val="zh-CN"/>
              </w:rPr>
              <w:t>≥90</w:t>
            </w:r>
          </w:p>
        </w:tc>
      </w:tr>
    </w:tbl>
    <w:p w14:paraId="04D25799">
      <w:pPr>
        <w:bidi w:val="0"/>
        <w:rPr>
          <w:color w:val="auto"/>
          <w:lang w:val="zh-CN"/>
        </w:rPr>
      </w:pPr>
      <w:r>
        <w:rPr>
          <w:color w:val="auto"/>
          <w:lang w:val="zh-CN"/>
        </w:rPr>
        <w:t>路床顶面回弹模量不应低于30MPa，填石路基应通过试验路段确定合适的填筑层厚、压实工艺以及质量控制标准，建议采用孔隙率法。</w:t>
      </w:r>
    </w:p>
    <w:p w14:paraId="14774008">
      <w:pPr>
        <w:bidi w:val="0"/>
        <w:rPr>
          <w:color w:val="auto"/>
          <w:lang w:val="zh-CN"/>
        </w:rPr>
      </w:pPr>
      <w:r>
        <w:rPr>
          <w:color w:val="auto"/>
          <w:lang w:val="zh-CN"/>
        </w:rPr>
        <w:t>（5）土石路堤施工要点</w:t>
      </w:r>
    </w:p>
    <w:p w14:paraId="3DE03644">
      <w:pPr>
        <w:bidi w:val="0"/>
        <w:rPr>
          <w:color w:val="auto"/>
          <w:lang w:val="zh-CN"/>
        </w:rPr>
      </w:pPr>
      <w:r>
        <w:rPr>
          <w:color w:val="auto"/>
          <w:lang w:val="zh-CN"/>
        </w:rPr>
        <w:t>路基施工前应根据挖方地层地质条件及其调运利用计划对土石混填路堤进行排查，制定填筑施工和试验段施工计划。</w:t>
      </w:r>
    </w:p>
    <w:p w14:paraId="5D8EB3DB">
      <w:pPr>
        <w:bidi w:val="0"/>
        <w:rPr>
          <w:color w:val="auto"/>
          <w:lang w:val="zh-CN"/>
        </w:rPr>
      </w:pPr>
      <w:r>
        <w:rPr>
          <w:color w:val="auto"/>
          <w:lang w:val="zh-CN"/>
        </w:rPr>
        <w:t>施工前，应根据土石混合材料的类别分别进行试验路段施工，确保能达到最大压实干密度的松铺厚度、压实机械型号及组合、压实速度及压实遍数、沉降差等参数。</w:t>
      </w:r>
    </w:p>
    <w:p w14:paraId="4696BAA4">
      <w:pPr>
        <w:bidi w:val="0"/>
        <w:rPr>
          <w:color w:val="auto"/>
          <w:lang w:val="zh-CN"/>
        </w:rPr>
      </w:pPr>
      <w:r>
        <w:rPr>
          <w:color w:val="auto"/>
          <w:lang w:val="zh-CN"/>
        </w:rPr>
        <w:t>填筑时不得倾填，应分层填筑压实，碾压前超粒径石料应人工挑除或解碎，满足规范要求的大粒径石料均匀分散在填料中，石料间空隙应充填小粒径石料、土和石渣，压实后透水性差异大的土石混合材料，应分层或分段填筑，不应纵向分幅填筑，填料由土石混合材料变化为其他填料时，土石混合材料最后一层的压实厚度应小于300mm，该层填料最大粒径应小于150mm，压实后，该层表面应无孔洞。</w:t>
      </w:r>
    </w:p>
    <w:p w14:paraId="1F82F681">
      <w:pPr>
        <w:bidi w:val="0"/>
        <w:rPr>
          <w:color w:val="auto"/>
          <w:lang w:val="zh-CN"/>
        </w:rPr>
      </w:pPr>
      <w:r>
        <w:rPr>
          <w:color w:val="auto"/>
          <w:lang w:val="zh-CN"/>
        </w:rPr>
        <w:t>为了确保路基填筑质量，每填筑2m左右进行一次冲压夯实补强处理，确保路基填筑质量。</w:t>
      </w:r>
    </w:p>
    <w:p w14:paraId="7E376CEE">
      <w:pPr>
        <w:bidi w:val="0"/>
        <w:rPr>
          <w:color w:val="auto"/>
          <w:lang w:val="zh-CN"/>
        </w:rPr>
      </w:pPr>
      <w:r>
        <w:rPr>
          <w:color w:val="auto"/>
          <w:lang w:val="zh-CN"/>
        </w:rPr>
        <w:t>施工过程中的每一压实层，可用试验段确定的工艺流程和工艺参数，控制压实过程；用试验路段确保的沉降差指标，检测压实质量，外观质量标准：路基表层无明显孔洞；大粒径填石无松动，铁锹挖动困难。路基成型后质量应符合《公路路基施工技术规范》（JTG/T3610-2019）、《公路工程质量检验评定标准》（JTGF80/1-2017）中土石路堤施工质量标准。</w:t>
      </w:r>
    </w:p>
    <w:p w14:paraId="2F5ADDE6">
      <w:pPr>
        <w:bidi w:val="0"/>
        <w:rPr>
          <w:color w:val="auto"/>
          <w:lang w:val="zh-CN"/>
        </w:rPr>
      </w:pPr>
      <w:r>
        <w:rPr>
          <w:color w:val="auto"/>
          <w:lang w:val="zh-CN"/>
        </w:rPr>
        <w:t>（6）地基压实标准</w:t>
      </w:r>
    </w:p>
    <w:p w14:paraId="4BFF88B6">
      <w:pPr>
        <w:bidi w:val="0"/>
        <w:rPr>
          <w:color w:val="auto"/>
          <w:lang w:val="zh-CN"/>
        </w:rPr>
      </w:pPr>
      <w:r>
        <w:rPr>
          <w:color w:val="auto"/>
          <w:lang w:val="zh-CN"/>
        </w:rPr>
        <w:t>一般路基清表处理后的压实度（重型）应不低于90%。当路堤基底为耕地或土质松散时，应在填筑前清表，就地夯实，穿越水稻田及河塘地段应采取排水、清淤、晾晒、换填等措施进行处理，以使其达到路基填筑标准。</w:t>
      </w:r>
    </w:p>
    <w:p w14:paraId="252C84E3">
      <w:pPr>
        <w:bidi w:val="0"/>
        <w:rPr>
          <w:color w:val="auto"/>
          <w:lang w:val="zh-CN"/>
        </w:rPr>
      </w:pPr>
      <w:r>
        <w:rPr>
          <w:color w:val="auto"/>
          <w:lang w:val="zh-CN"/>
        </w:rPr>
        <w:t>低填浅挖路基段路床底超挖20cm/40cm，就地夯实采用挖方石渣填筑，路床底面以下土体压实度（重型）不得小于94%。</w:t>
      </w:r>
    </w:p>
    <w:p w14:paraId="37F2B8FB">
      <w:pPr>
        <w:bidi w:val="0"/>
        <w:rPr>
          <w:color w:val="auto"/>
          <w:lang w:val="zh-CN"/>
        </w:rPr>
      </w:pPr>
      <w:r>
        <w:rPr>
          <w:color w:val="auto"/>
          <w:lang w:val="zh-CN"/>
        </w:rPr>
        <w:t>桥涵台背处原地表清表处理后要保证压实度（重型）不小于90％。</w:t>
      </w:r>
    </w:p>
    <w:p w14:paraId="75AF37B8">
      <w:pPr>
        <w:bidi w:val="0"/>
        <w:rPr>
          <w:color w:val="auto"/>
          <w:lang w:val="zh-CN"/>
        </w:rPr>
      </w:pPr>
      <w:r>
        <w:rPr>
          <w:color w:val="auto"/>
          <w:lang w:val="zh-CN"/>
        </w:rPr>
        <w:t>沟塘段清淤处理后要保证压实度（重型）不小于90％。</w:t>
      </w:r>
    </w:p>
    <w:p w14:paraId="5DF97312">
      <w:pPr>
        <w:bidi w:val="0"/>
        <w:rPr>
          <w:color w:val="auto"/>
          <w:lang w:val="zh-CN"/>
        </w:rPr>
      </w:pPr>
      <w:r>
        <w:rPr>
          <w:rFonts w:hint="eastAsia"/>
          <w:color w:val="auto"/>
          <w:lang w:val="en-US" w:eastAsia="zh-CN"/>
        </w:rPr>
        <w:t>二、</w:t>
      </w:r>
      <w:r>
        <w:rPr>
          <w:color w:val="auto"/>
          <w:lang w:val="zh-CN"/>
        </w:rPr>
        <w:t>路面设计</w:t>
      </w:r>
    </w:p>
    <w:p w14:paraId="45C062AA">
      <w:pPr>
        <w:bidi w:val="0"/>
        <w:rPr>
          <w:color w:val="auto"/>
          <w:lang w:val="zh-CN" w:eastAsia="zh-CN"/>
        </w:rPr>
      </w:pPr>
      <w:r>
        <w:rPr>
          <w:color w:val="auto"/>
          <w:lang w:val="zh-CN"/>
        </w:rPr>
        <w:t>（1）路面设计原则</w:t>
      </w:r>
    </w:p>
    <w:p w14:paraId="0095E788">
      <w:pPr>
        <w:bidi w:val="0"/>
        <w:rPr>
          <w:color w:val="auto"/>
          <w:lang w:val="zh-CN"/>
        </w:rPr>
      </w:pPr>
      <w:r>
        <w:rPr>
          <w:color w:val="auto"/>
          <w:lang w:val="zh-CN"/>
        </w:rPr>
        <w:t>路面设计应做到满足交通量的需要，适应道路服务功能要求，符合当地筑路材料状况，适应当地自然环境要求，技术成熟、性能优良、造价合理。</w:t>
      </w:r>
    </w:p>
    <w:p w14:paraId="11E002BB">
      <w:pPr>
        <w:bidi w:val="0"/>
        <w:rPr>
          <w:color w:val="auto"/>
          <w:lang w:eastAsia="zh-CN"/>
        </w:rPr>
      </w:pPr>
      <w:r>
        <w:rPr>
          <w:color w:val="auto"/>
        </w:rPr>
        <w:t>（2）路面结构方案</w:t>
      </w:r>
    </w:p>
    <w:p w14:paraId="59D58DDC">
      <w:pPr>
        <w:bidi w:val="0"/>
        <w:rPr>
          <w:color w:val="auto"/>
          <w:lang w:val="zh-CN"/>
        </w:rPr>
      </w:pPr>
      <w:r>
        <w:rPr>
          <w:color w:val="auto"/>
          <w:lang w:val="zh-CN"/>
        </w:rPr>
        <w:t>本项目采用级配碎石作为路面面层材料，路面结构层厚度为30cm。级配碎石路面作为一种经济、实用的路面建设材料，其广泛应用于不同等级的公路建设中，不仅满足了公路建设对路面性能的需求，同时也降低了建设成本，提高了路面的经济性和可持续性。</w:t>
      </w:r>
    </w:p>
    <w:p w14:paraId="70B012AA">
      <w:pPr>
        <w:bidi w:val="0"/>
        <w:rPr>
          <w:color w:val="auto"/>
          <w:lang w:val="zh-CN"/>
        </w:rPr>
      </w:pPr>
      <w:r>
        <w:rPr>
          <w:color w:val="auto"/>
          <w:lang w:val="zh-CN"/>
        </w:rPr>
        <w:t>本项目道路等级为四级公路</w:t>
      </w:r>
      <w:r>
        <w:rPr>
          <w:color w:val="auto"/>
        </w:rPr>
        <w:t>（Ⅱ类），宜采用单项路拱横坡，路面设计图如下所示</w:t>
      </w:r>
    </w:p>
    <w:p w14:paraId="2DC8EEE8">
      <w:pPr>
        <w:pStyle w:val="11"/>
        <w:bidi w:val="0"/>
        <w:rPr>
          <w:color w:val="auto"/>
          <w:lang w:val="zh-CN"/>
        </w:rPr>
      </w:pPr>
      <w:r>
        <w:rPr>
          <w:color w:val="auto"/>
        </w:rPr>
        <w:drawing>
          <wp:inline distT="0" distB="0" distL="0" distR="0">
            <wp:extent cx="5400040" cy="4050030"/>
            <wp:effectExtent l="0" t="0" r="10160" b="7620"/>
            <wp:docPr id="1327790821" name="图片 132779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90821" name="图片 1327790821"/>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p>
    <w:p w14:paraId="10820A88">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11</w:t>
      </w:r>
      <w:r>
        <w:rPr>
          <w:color w:val="auto"/>
        </w:rPr>
        <w:fldChar w:fldCharType="end"/>
      </w:r>
      <w:r>
        <w:rPr>
          <w:color w:val="auto"/>
        </w:rPr>
        <w:t>路面设计图</w:t>
      </w:r>
    </w:p>
    <w:p w14:paraId="67DACB7C">
      <w:pPr>
        <w:bidi w:val="0"/>
        <w:rPr>
          <w:color w:val="auto"/>
        </w:rPr>
      </w:pPr>
      <w:r>
        <w:rPr>
          <w:color w:val="auto"/>
        </w:rPr>
        <w:t>（3）路面施工注意事项</w:t>
      </w:r>
    </w:p>
    <w:p w14:paraId="4FBD4A35">
      <w:pPr>
        <w:bidi w:val="0"/>
        <w:rPr>
          <w:color w:val="auto"/>
          <w:lang w:val="zh-CN"/>
        </w:rPr>
      </w:pPr>
      <w:r>
        <w:rPr>
          <w:color w:val="auto"/>
          <w:lang w:val="zh-CN"/>
        </w:rPr>
        <w:t>1.施工前一定要保证原材料的质量，各种石料必须经过检验合格后才可以进场，然后按照石料不同的规格、粒径分孔堆放。</w:t>
      </w:r>
    </w:p>
    <w:p w14:paraId="2BD4BE41">
      <w:pPr>
        <w:bidi w:val="0"/>
        <w:rPr>
          <w:color w:val="auto"/>
          <w:lang w:val="zh-CN"/>
        </w:rPr>
      </w:pPr>
      <w:r>
        <w:rPr>
          <w:color w:val="auto"/>
          <w:lang w:val="zh-CN"/>
        </w:rPr>
        <w:t>2.在施工的过程中，对机械组合、碾压遍数、加水时间及水分散失时间、松铺系数等数据，都要在路面基层铺筑前通过试验段进行实验来确定，有些参数还要根据不同季节、气候、温度及当天天气状况作出适当调整。</w:t>
      </w:r>
    </w:p>
    <w:p w14:paraId="1B9385C7">
      <w:pPr>
        <w:bidi w:val="0"/>
        <w:rPr>
          <w:color w:val="auto"/>
          <w:lang w:val="zh-CN"/>
        </w:rPr>
      </w:pPr>
      <w:r>
        <w:rPr>
          <w:color w:val="auto"/>
          <w:lang w:val="zh-CN"/>
        </w:rPr>
        <w:t>3.保证混合料的组成复合设计和实验结果的要求，拌和前再次检查原材料的规格，从第一车混合料中去定量的样本筛分检查其组成成分是否符合设计的要求；完成摊铺整型后再从摊铺现场取定量样本检查混合料在摊铺时是否发生离析现象，如果不符合设计要求要及时采取改进措施。</w:t>
      </w:r>
    </w:p>
    <w:p w14:paraId="057FE5AF">
      <w:pPr>
        <w:bidi w:val="0"/>
        <w:rPr>
          <w:color w:val="auto"/>
          <w:lang w:val="zh-CN"/>
        </w:rPr>
      </w:pPr>
      <w:r>
        <w:rPr>
          <w:color w:val="auto"/>
          <w:lang w:val="zh-CN"/>
        </w:rPr>
        <w:t>4.级配碎石路面基层碾压时要保证其压实度满足设计要求，碾压时先轻后重、先静压后动压、先慢后快、宁多勿少的碾压原则。碾压完成后还要进行压实度的实验，如果压实度不够要立即补充碾压。</w:t>
      </w:r>
    </w:p>
    <w:p w14:paraId="169B1B81">
      <w:pPr>
        <w:bidi w:val="0"/>
        <w:rPr>
          <w:color w:val="auto"/>
          <w:lang w:val="zh-CN"/>
        </w:rPr>
      </w:pPr>
      <w:r>
        <w:rPr>
          <w:color w:val="auto"/>
          <w:lang w:val="zh-CN"/>
        </w:rPr>
        <w:t>5.要认真确定级配碎石混合料的含水量，保证在最佳含水量的状态下进行碾压，不可以在摊铺现场加水或晾晒减水，否则就难以保证施工的质量。</w:t>
      </w:r>
    </w:p>
    <w:p w14:paraId="577AEECA">
      <w:pPr>
        <w:bidi w:val="0"/>
        <w:rPr>
          <w:color w:val="auto"/>
          <w:lang w:val="zh-CN"/>
        </w:rPr>
      </w:pPr>
      <w:r>
        <w:rPr>
          <w:color w:val="auto"/>
          <w:lang w:val="zh-CN"/>
        </w:rPr>
        <w:t>6.严格控制好混合料的塑性指数在规范值范围内，最好是处于无塑性的状态，如果塑性指数偏高必须严格控制，避免在多雨季节因为结构水稳性差而引起破坏。</w:t>
      </w:r>
    </w:p>
    <w:p w14:paraId="2227ADCD">
      <w:pPr>
        <w:bidi w:val="0"/>
        <w:rPr>
          <w:color w:val="auto"/>
          <w:lang w:val="zh-CN"/>
        </w:rPr>
      </w:pPr>
      <w:r>
        <w:rPr>
          <w:color w:val="auto"/>
          <w:lang w:val="zh-CN"/>
        </w:rPr>
        <w:t>7.施工中要严格进行质量的控制，如控制进料质量、路面基层的压实度和弯沉值等；由于基层施工机械化程度高，因此，在施工中也要采取行之有效的技术安全措施。</w:t>
      </w:r>
    </w:p>
    <w:p w14:paraId="273A8D7D">
      <w:pPr>
        <w:pStyle w:val="4"/>
        <w:bidi w:val="0"/>
        <w:rPr>
          <w:color w:val="auto"/>
          <w:lang w:val="zh-CN" w:eastAsia="zh-CN"/>
        </w:rPr>
      </w:pPr>
      <w:bookmarkStart w:id="100" w:name="_Toc30686"/>
      <w:r>
        <w:rPr>
          <w:color w:val="auto"/>
          <w:lang w:val="zh-CN"/>
        </w:rPr>
        <w:t>弃土区方案</w:t>
      </w:r>
      <w:bookmarkEnd w:id="100"/>
    </w:p>
    <w:p w14:paraId="1B4C677E">
      <w:pPr>
        <w:bidi w:val="0"/>
        <w:rPr>
          <w:color w:val="auto"/>
        </w:rPr>
      </w:pPr>
      <w:r>
        <w:rPr>
          <w:color w:val="auto"/>
        </w:rPr>
        <w:t>本着环保、不占耕地集中堆放且不破坏原有道路的原则。根据现场调查及对接，本工程重新设置弃土区2处</w:t>
      </w:r>
      <w:r>
        <w:rPr>
          <w:rFonts w:hint="eastAsia"/>
          <w:color w:val="auto"/>
        </w:rPr>
        <w:t>，总占地面积为402.51</w:t>
      </w:r>
      <w:r>
        <w:rPr>
          <w:color w:val="auto"/>
        </w:rPr>
        <w:t>亩。</w:t>
      </w:r>
    </w:p>
    <w:p w14:paraId="2D5C85A8">
      <w:pPr>
        <w:bidi w:val="0"/>
        <w:rPr>
          <w:color w:val="auto"/>
        </w:rPr>
      </w:pPr>
      <w:r>
        <w:rPr>
          <w:color w:val="auto"/>
        </w:rPr>
        <w:t>1号弃土区位于贵池区涓桥镇罗村，占地117.26亩，现状主要为开挖</w:t>
      </w:r>
      <w:r>
        <w:rPr>
          <w:rFonts w:hint="eastAsia"/>
          <w:color w:val="auto"/>
        </w:rPr>
        <w:t>山体</w:t>
      </w:r>
      <w:r>
        <w:rPr>
          <w:color w:val="auto"/>
        </w:rPr>
        <w:t>低洼地，内部有临时道路交错，现状地面高程在50</w:t>
      </w:r>
      <w:r>
        <w:rPr>
          <w:rFonts w:hint="eastAsia"/>
          <w:color w:val="auto"/>
        </w:rPr>
        <w:t>~</w:t>
      </w:r>
      <w:r>
        <w:rPr>
          <w:color w:val="auto"/>
        </w:rPr>
        <w:t>80m；2号弃土区位于贵池区涓桥镇杨冲，占地285.25亩，现状为山体开挖的低洼地区，地面底高程在73</w:t>
      </w:r>
      <w:r>
        <w:rPr>
          <w:rFonts w:hint="eastAsia"/>
          <w:color w:val="auto"/>
        </w:rPr>
        <w:t>~</w:t>
      </w:r>
      <w:r>
        <w:rPr>
          <w:color w:val="auto"/>
        </w:rPr>
        <w:t>150m左右，经计算弃土区容泥量约</w:t>
      </w:r>
      <w:r>
        <w:rPr>
          <w:rFonts w:hint="eastAsia"/>
          <w:color w:val="auto"/>
          <w:lang w:val="en-US" w:eastAsia="zh-CN"/>
        </w:rPr>
        <w:t>78.61</w:t>
      </w:r>
      <w:r>
        <w:rPr>
          <w:color w:val="auto"/>
        </w:rPr>
        <w:t>万m</w:t>
      </w:r>
      <w:r>
        <w:rPr>
          <w:color w:val="auto"/>
          <w:vertAlign w:val="superscript"/>
        </w:rPr>
        <w:t>3</w:t>
      </w:r>
      <w:r>
        <w:rPr>
          <w:color w:val="auto"/>
        </w:rPr>
        <w:t>，平均堆高</w:t>
      </w:r>
      <w:r>
        <w:rPr>
          <w:rFonts w:hint="eastAsia"/>
          <w:color w:val="auto"/>
          <w:lang w:val="en-US" w:eastAsia="zh-CN"/>
        </w:rPr>
        <w:t>2.93</w:t>
      </w:r>
      <w:r>
        <w:rPr>
          <w:color w:val="auto"/>
        </w:rPr>
        <w:t>m，</w:t>
      </w:r>
      <w:r>
        <w:rPr>
          <w:rFonts w:hint="eastAsia"/>
          <w:color w:val="auto"/>
        </w:rPr>
        <w:t>平均</w:t>
      </w:r>
      <w:r>
        <w:rPr>
          <w:color w:val="auto"/>
        </w:rPr>
        <w:t>运距11km。</w:t>
      </w:r>
    </w:p>
    <w:p w14:paraId="51803E8B">
      <w:pPr>
        <w:bidi w:val="0"/>
        <w:rPr>
          <w:color w:val="auto"/>
        </w:rPr>
      </w:pPr>
      <w:r>
        <w:rPr>
          <w:color w:val="auto"/>
        </w:rPr>
        <w:t>为抛泥区积及弃土区使用安全，在拋泥区几弃土区外缘设一圈钢丝防护网，高2m，面积19418m</w:t>
      </w:r>
      <w:r>
        <w:rPr>
          <w:color w:val="auto"/>
          <w:vertAlign w:val="superscript"/>
        </w:rPr>
        <w:t>2</w:t>
      </w:r>
      <w:r>
        <w:rPr>
          <w:color w:val="auto"/>
        </w:rPr>
        <w:t>。施工单位在弃土区使用时，要确保弃土区安全。</w:t>
      </w:r>
    </w:p>
    <w:p w14:paraId="3FEC4365">
      <w:pPr>
        <w:bidi w:val="0"/>
        <w:rPr>
          <w:color w:val="auto"/>
        </w:rPr>
      </w:pPr>
      <w:r>
        <w:rPr>
          <w:color w:val="auto"/>
        </w:rPr>
        <w:t>为防止水土流失，保护环境，在弃土完成后，撒播草籽，草籽面积295175m</w:t>
      </w:r>
      <w:r>
        <w:rPr>
          <w:color w:val="auto"/>
          <w:vertAlign w:val="superscript"/>
        </w:rPr>
        <w:t>2</w:t>
      </w:r>
      <w:r>
        <w:rPr>
          <w:color w:val="auto"/>
        </w:rPr>
        <w:t>，同时做好弃土区周围及内部排水，排水及设施按1项考虑。</w:t>
      </w:r>
    </w:p>
    <w:p w14:paraId="3B4679D3">
      <w:pPr>
        <w:pStyle w:val="11"/>
        <w:bidi w:val="0"/>
        <w:rPr>
          <w:color w:val="auto"/>
        </w:rPr>
      </w:pPr>
      <w:r>
        <w:rPr>
          <w:rFonts w:hint="eastAsia"/>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9</w:t>
      </w:r>
      <w:r>
        <w:rPr>
          <w:color w:val="auto"/>
        </w:rPr>
        <w:fldChar w:fldCharType="end"/>
      </w:r>
      <w:r>
        <w:rPr>
          <w:rFonts w:hint="eastAsia"/>
          <w:color w:val="auto"/>
        </w:rPr>
        <w:t>弃土区一览表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783"/>
        <w:gridCol w:w="895"/>
        <w:gridCol w:w="975"/>
        <w:gridCol w:w="846"/>
        <w:gridCol w:w="905"/>
        <w:gridCol w:w="800"/>
        <w:gridCol w:w="905"/>
        <w:gridCol w:w="905"/>
        <w:gridCol w:w="846"/>
      </w:tblGrid>
      <w:tr w14:paraId="5A0B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42" w:type="pct"/>
            <w:vAlign w:val="center"/>
          </w:tcPr>
          <w:p w14:paraId="19BC634E">
            <w:pPr>
              <w:pStyle w:val="31"/>
              <w:widowControl w:val="0"/>
              <w:bidi w:val="0"/>
              <w:rPr>
                <w:color w:val="auto"/>
              </w:rPr>
            </w:pPr>
            <w:r>
              <w:rPr>
                <w:rFonts w:hint="eastAsia"/>
                <w:color w:val="auto"/>
              </w:rPr>
              <w:t>编号</w:t>
            </w:r>
          </w:p>
        </w:tc>
        <w:tc>
          <w:tcPr>
            <w:tcW w:w="512" w:type="pct"/>
            <w:vAlign w:val="center"/>
          </w:tcPr>
          <w:p w14:paraId="6B3A5E08">
            <w:pPr>
              <w:pStyle w:val="31"/>
              <w:widowControl w:val="0"/>
              <w:bidi w:val="0"/>
              <w:rPr>
                <w:color w:val="auto"/>
              </w:rPr>
            </w:pPr>
            <w:r>
              <w:rPr>
                <w:rFonts w:hint="eastAsia"/>
                <w:color w:val="auto"/>
              </w:rPr>
              <w:t>位置</w:t>
            </w:r>
          </w:p>
        </w:tc>
        <w:tc>
          <w:tcPr>
            <w:tcW w:w="578" w:type="pct"/>
            <w:vAlign w:val="center"/>
          </w:tcPr>
          <w:p w14:paraId="393649AD">
            <w:pPr>
              <w:pStyle w:val="31"/>
              <w:widowControl w:val="0"/>
              <w:bidi w:val="0"/>
              <w:rPr>
                <w:color w:val="auto"/>
              </w:rPr>
            </w:pPr>
            <w:r>
              <w:rPr>
                <w:rFonts w:hint="eastAsia"/>
                <w:color w:val="auto"/>
              </w:rPr>
              <w:t>现状</w:t>
            </w:r>
          </w:p>
        </w:tc>
        <w:tc>
          <w:tcPr>
            <w:tcW w:w="509" w:type="pct"/>
            <w:vAlign w:val="center"/>
          </w:tcPr>
          <w:p w14:paraId="72B5338F">
            <w:pPr>
              <w:pStyle w:val="31"/>
              <w:widowControl w:val="0"/>
              <w:bidi w:val="0"/>
              <w:rPr>
                <w:color w:val="auto"/>
              </w:rPr>
            </w:pPr>
            <w:r>
              <w:rPr>
                <w:rFonts w:hint="eastAsia"/>
                <w:color w:val="auto"/>
              </w:rPr>
              <w:t>地面高程（m）</w:t>
            </w:r>
          </w:p>
        </w:tc>
        <w:tc>
          <w:tcPr>
            <w:tcW w:w="511" w:type="pct"/>
            <w:vAlign w:val="center"/>
          </w:tcPr>
          <w:p w14:paraId="2C87DA41">
            <w:pPr>
              <w:pStyle w:val="31"/>
              <w:widowControl w:val="0"/>
              <w:bidi w:val="0"/>
              <w:rPr>
                <w:color w:val="auto"/>
              </w:rPr>
            </w:pPr>
            <w:r>
              <w:rPr>
                <w:rFonts w:hint="eastAsia"/>
                <w:color w:val="auto"/>
              </w:rPr>
              <w:t>占地面积（亩）</w:t>
            </w:r>
          </w:p>
        </w:tc>
        <w:tc>
          <w:tcPr>
            <w:tcW w:w="495" w:type="pct"/>
            <w:vAlign w:val="center"/>
          </w:tcPr>
          <w:p w14:paraId="698DB57E">
            <w:pPr>
              <w:pStyle w:val="31"/>
              <w:widowControl w:val="0"/>
              <w:bidi w:val="0"/>
              <w:rPr>
                <w:color w:val="auto"/>
              </w:rPr>
            </w:pPr>
            <w:r>
              <w:rPr>
                <w:rFonts w:hint="eastAsia"/>
                <w:color w:val="auto"/>
              </w:rPr>
              <w:t>运距（km）</w:t>
            </w:r>
          </w:p>
        </w:tc>
        <w:tc>
          <w:tcPr>
            <w:tcW w:w="495" w:type="pct"/>
            <w:vAlign w:val="center"/>
          </w:tcPr>
          <w:p w14:paraId="32EC54BF">
            <w:pPr>
              <w:pStyle w:val="31"/>
              <w:widowControl w:val="0"/>
              <w:bidi w:val="0"/>
              <w:rPr>
                <w:color w:val="auto"/>
              </w:rPr>
            </w:pPr>
            <w:r>
              <w:rPr>
                <w:rFonts w:hint="eastAsia"/>
                <w:color w:val="auto"/>
              </w:rPr>
              <w:t>平均堆高（m）</w:t>
            </w:r>
          </w:p>
        </w:tc>
        <w:tc>
          <w:tcPr>
            <w:tcW w:w="490" w:type="pct"/>
          </w:tcPr>
          <w:p w14:paraId="2F7C04B8">
            <w:pPr>
              <w:pStyle w:val="31"/>
              <w:widowControl w:val="0"/>
              <w:bidi w:val="0"/>
              <w:rPr>
                <w:color w:val="auto"/>
              </w:rPr>
            </w:pPr>
            <w:r>
              <w:rPr>
                <w:rFonts w:hint="eastAsia"/>
                <w:color w:val="auto"/>
              </w:rPr>
              <w:t>撒播草籽（m2）</w:t>
            </w:r>
          </w:p>
        </w:tc>
        <w:tc>
          <w:tcPr>
            <w:tcW w:w="490" w:type="pct"/>
            <w:vAlign w:val="center"/>
          </w:tcPr>
          <w:p w14:paraId="43CDDECF">
            <w:pPr>
              <w:pStyle w:val="31"/>
              <w:widowControl w:val="0"/>
              <w:bidi w:val="0"/>
              <w:rPr>
                <w:color w:val="auto"/>
              </w:rPr>
            </w:pPr>
            <w:r>
              <w:rPr>
                <w:rFonts w:hint="eastAsia"/>
                <w:color w:val="auto"/>
              </w:rPr>
              <w:t>钢丝防护网（m2）</w:t>
            </w:r>
          </w:p>
        </w:tc>
        <w:tc>
          <w:tcPr>
            <w:tcW w:w="478" w:type="pct"/>
            <w:vAlign w:val="center"/>
          </w:tcPr>
          <w:p w14:paraId="4BE98E7B">
            <w:pPr>
              <w:pStyle w:val="31"/>
              <w:widowControl w:val="0"/>
              <w:bidi w:val="0"/>
              <w:rPr>
                <w:color w:val="auto"/>
              </w:rPr>
            </w:pPr>
            <w:r>
              <w:rPr>
                <w:rFonts w:hint="eastAsia"/>
                <w:color w:val="auto"/>
              </w:rPr>
              <w:t>排水（项）</w:t>
            </w:r>
          </w:p>
        </w:tc>
      </w:tr>
      <w:tr w14:paraId="4577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442" w:type="pct"/>
            <w:vAlign w:val="center"/>
          </w:tcPr>
          <w:p w14:paraId="128481F4">
            <w:pPr>
              <w:pStyle w:val="31"/>
              <w:widowControl w:val="0"/>
              <w:bidi w:val="0"/>
              <w:rPr>
                <w:color w:val="auto"/>
              </w:rPr>
            </w:pPr>
            <w:r>
              <w:rPr>
                <w:rFonts w:hint="eastAsia"/>
                <w:color w:val="auto"/>
              </w:rPr>
              <w:t>1号弃土区</w:t>
            </w:r>
          </w:p>
        </w:tc>
        <w:tc>
          <w:tcPr>
            <w:tcW w:w="512" w:type="pct"/>
            <w:vAlign w:val="center"/>
          </w:tcPr>
          <w:p w14:paraId="007A1E59">
            <w:pPr>
              <w:pStyle w:val="31"/>
              <w:widowControl w:val="0"/>
              <w:bidi w:val="0"/>
              <w:rPr>
                <w:color w:val="auto"/>
              </w:rPr>
            </w:pPr>
            <w:r>
              <w:rPr>
                <w:rFonts w:hint="eastAsia"/>
                <w:color w:val="auto"/>
              </w:rPr>
              <w:t>涓桥镇罗村</w:t>
            </w:r>
          </w:p>
        </w:tc>
        <w:tc>
          <w:tcPr>
            <w:tcW w:w="578" w:type="pct"/>
            <w:vAlign w:val="center"/>
          </w:tcPr>
          <w:p w14:paraId="67EAF25A">
            <w:pPr>
              <w:pStyle w:val="31"/>
              <w:widowControl w:val="0"/>
              <w:bidi w:val="0"/>
              <w:rPr>
                <w:color w:val="auto"/>
              </w:rPr>
            </w:pPr>
            <w:r>
              <w:rPr>
                <w:rFonts w:hint="eastAsia"/>
                <w:color w:val="auto"/>
              </w:rPr>
              <w:t>开挖山体低洼地</w:t>
            </w:r>
          </w:p>
        </w:tc>
        <w:tc>
          <w:tcPr>
            <w:tcW w:w="509" w:type="pct"/>
            <w:vAlign w:val="center"/>
          </w:tcPr>
          <w:p w14:paraId="3B60657A">
            <w:pPr>
              <w:pStyle w:val="31"/>
              <w:widowControl w:val="0"/>
              <w:bidi w:val="0"/>
              <w:rPr>
                <w:color w:val="auto"/>
              </w:rPr>
            </w:pPr>
            <w:r>
              <w:rPr>
                <w:color w:val="auto"/>
              </w:rPr>
              <w:t>50-80m</w:t>
            </w:r>
          </w:p>
        </w:tc>
        <w:tc>
          <w:tcPr>
            <w:tcW w:w="511" w:type="pct"/>
            <w:vAlign w:val="center"/>
          </w:tcPr>
          <w:p w14:paraId="7C21C525">
            <w:pPr>
              <w:pStyle w:val="31"/>
              <w:widowControl w:val="0"/>
              <w:bidi w:val="0"/>
              <w:rPr>
                <w:color w:val="auto"/>
              </w:rPr>
            </w:pPr>
            <w:r>
              <w:rPr>
                <w:color w:val="auto"/>
              </w:rPr>
              <w:t>117.26</w:t>
            </w:r>
          </w:p>
        </w:tc>
        <w:tc>
          <w:tcPr>
            <w:tcW w:w="495" w:type="pct"/>
            <w:vAlign w:val="center"/>
          </w:tcPr>
          <w:p w14:paraId="3A4ACB6B">
            <w:pPr>
              <w:pStyle w:val="31"/>
              <w:widowControl w:val="0"/>
              <w:bidi w:val="0"/>
              <w:rPr>
                <w:color w:val="auto"/>
              </w:rPr>
            </w:pPr>
            <w:r>
              <w:rPr>
                <w:color w:val="auto"/>
                <w:lang w:val="zh-CN" w:eastAsia="zh-CN"/>
              </w:rPr>
              <w:t>8</w:t>
            </w:r>
          </w:p>
        </w:tc>
        <w:tc>
          <w:tcPr>
            <w:tcW w:w="495" w:type="pct"/>
            <w:vMerge w:val="restart"/>
            <w:vAlign w:val="center"/>
          </w:tcPr>
          <w:p w14:paraId="10704397">
            <w:pPr>
              <w:pStyle w:val="31"/>
              <w:widowControl w:val="0"/>
              <w:bidi w:val="0"/>
              <w:rPr>
                <w:rFonts w:hint="default" w:eastAsia="宋体"/>
                <w:color w:val="auto"/>
                <w:lang w:val="en-US" w:eastAsia="zh-CN"/>
              </w:rPr>
            </w:pPr>
            <w:r>
              <w:rPr>
                <w:rFonts w:hint="eastAsia"/>
                <w:color w:val="auto"/>
                <w:lang w:val="en-US" w:eastAsia="zh-CN"/>
              </w:rPr>
              <w:t>2.93</w:t>
            </w:r>
          </w:p>
        </w:tc>
        <w:tc>
          <w:tcPr>
            <w:tcW w:w="490" w:type="pct"/>
            <w:vMerge w:val="restart"/>
            <w:vAlign w:val="center"/>
          </w:tcPr>
          <w:p w14:paraId="3DDDAD5B">
            <w:pPr>
              <w:pStyle w:val="31"/>
              <w:widowControl w:val="0"/>
              <w:bidi w:val="0"/>
              <w:rPr>
                <w:color w:val="auto"/>
              </w:rPr>
            </w:pPr>
            <w:r>
              <w:rPr>
                <w:color w:val="auto"/>
              </w:rPr>
              <w:t>295175</w:t>
            </w:r>
          </w:p>
        </w:tc>
        <w:tc>
          <w:tcPr>
            <w:tcW w:w="490" w:type="pct"/>
            <w:vMerge w:val="restart"/>
            <w:vAlign w:val="center"/>
          </w:tcPr>
          <w:p w14:paraId="7C504A0E">
            <w:pPr>
              <w:pStyle w:val="31"/>
              <w:widowControl w:val="0"/>
              <w:bidi w:val="0"/>
              <w:rPr>
                <w:color w:val="auto"/>
              </w:rPr>
            </w:pPr>
            <w:r>
              <w:rPr>
                <w:color w:val="auto"/>
              </w:rPr>
              <w:t>19418</w:t>
            </w:r>
          </w:p>
        </w:tc>
        <w:tc>
          <w:tcPr>
            <w:tcW w:w="478" w:type="pct"/>
            <w:vMerge w:val="restart"/>
            <w:vAlign w:val="center"/>
          </w:tcPr>
          <w:p w14:paraId="2F35FEA9">
            <w:pPr>
              <w:pStyle w:val="31"/>
              <w:widowControl w:val="0"/>
              <w:bidi w:val="0"/>
              <w:rPr>
                <w:color w:val="auto"/>
              </w:rPr>
            </w:pPr>
            <w:r>
              <w:rPr>
                <w:rFonts w:hint="eastAsia"/>
                <w:color w:val="auto"/>
              </w:rPr>
              <w:t>1</w:t>
            </w:r>
          </w:p>
        </w:tc>
      </w:tr>
      <w:tr w14:paraId="3680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442" w:type="pct"/>
            <w:vAlign w:val="center"/>
          </w:tcPr>
          <w:p w14:paraId="1253190F">
            <w:pPr>
              <w:pStyle w:val="31"/>
              <w:widowControl w:val="0"/>
              <w:bidi w:val="0"/>
              <w:rPr>
                <w:color w:val="auto"/>
              </w:rPr>
            </w:pPr>
            <w:r>
              <w:rPr>
                <w:rFonts w:hint="eastAsia"/>
                <w:color w:val="auto"/>
              </w:rPr>
              <w:t>2号弃土区</w:t>
            </w:r>
          </w:p>
        </w:tc>
        <w:tc>
          <w:tcPr>
            <w:tcW w:w="512" w:type="pct"/>
            <w:vAlign w:val="center"/>
          </w:tcPr>
          <w:p w14:paraId="18F50D2C">
            <w:pPr>
              <w:pStyle w:val="31"/>
              <w:widowControl w:val="0"/>
              <w:bidi w:val="0"/>
              <w:rPr>
                <w:color w:val="auto"/>
              </w:rPr>
            </w:pPr>
            <w:r>
              <w:rPr>
                <w:rFonts w:hint="eastAsia"/>
                <w:color w:val="auto"/>
              </w:rPr>
              <w:t>涓桥镇杨冲</w:t>
            </w:r>
          </w:p>
        </w:tc>
        <w:tc>
          <w:tcPr>
            <w:tcW w:w="578" w:type="pct"/>
            <w:vAlign w:val="center"/>
          </w:tcPr>
          <w:p w14:paraId="0C0717B8">
            <w:pPr>
              <w:pStyle w:val="31"/>
              <w:widowControl w:val="0"/>
              <w:bidi w:val="0"/>
              <w:rPr>
                <w:color w:val="auto"/>
              </w:rPr>
            </w:pPr>
            <w:r>
              <w:rPr>
                <w:rFonts w:hint="eastAsia"/>
                <w:color w:val="auto"/>
              </w:rPr>
              <w:t>开挖山体低洼地</w:t>
            </w:r>
          </w:p>
        </w:tc>
        <w:tc>
          <w:tcPr>
            <w:tcW w:w="509" w:type="pct"/>
            <w:vAlign w:val="center"/>
          </w:tcPr>
          <w:p w14:paraId="0725B34E">
            <w:pPr>
              <w:pStyle w:val="31"/>
              <w:widowControl w:val="0"/>
              <w:bidi w:val="0"/>
              <w:rPr>
                <w:color w:val="auto"/>
              </w:rPr>
            </w:pPr>
            <w:r>
              <w:rPr>
                <w:color w:val="auto"/>
              </w:rPr>
              <w:t>73-150m</w:t>
            </w:r>
          </w:p>
        </w:tc>
        <w:tc>
          <w:tcPr>
            <w:tcW w:w="511" w:type="pct"/>
            <w:vAlign w:val="center"/>
          </w:tcPr>
          <w:p w14:paraId="4C5C796C">
            <w:pPr>
              <w:pStyle w:val="31"/>
              <w:widowControl w:val="0"/>
              <w:bidi w:val="0"/>
              <w:rPr>
                <w:color w:val="auto"/>
              </w:rPr>
            </w:pPr>
            <w:r>
              <w:rPr>
                <w:color w:val="auto"/>
              </w:rPr>
              <w:t>285.25</w:t>
            </w:r>
          </w:p>
        </w:tc>
        <w:tc>
          <w:tcPr>
            <w:tcW w:w="495" w:type="pct"/>
            <w:vAlign w:val="center"/>
          </w:tcPr>
          <w:p w14:paraId="2C5AFC5D">
            <w:pPr>
              <w:pStyle w:val="31"/>
              <w:widowControl w:val="0"/>
              <w:bidi w:val="0"/>
              <w:rPr>
                <w:color w:val="auto"/>
              </w:rPr>
            </w:pPr>
            <w:r>
              <w:rPr>
                <w:color w:val="auto"/>
                <w:lang w:val="zh-CN" w:eastAsia="zh-CN"/>
              </w:rPr>
              <w:t>11.6</w:t>
            </w:r>
          </w:p>
        </w:tc>
        <w:tc>
          <w:tcPr>
            <w:tcW w:w="495" w:type="pct"/>
            <w:vMerge w:val="continue"/>
            <w:vAlign w:val="center"/>
          </w:tcPr>
          <w:p w14:paraId="4612A2DE">
            <w:pPr>
              <w:pStyle w:val="31"/>
              <w:widowControl w:val="0"/>
              <w:bidi w:val="0"/>
              <w:rPr>
                <w:color w:val="auto"/>
              </w:rPr>
            </w:pPr>
          </w:p>
        </w:tc>
        <w:tc>
          <w:tcPr>
            <w:tcW w:w="490" w:type="pct"/>
            <w:vMerge w:val="continue"/>
            <w:vAlign w:val="center"/>
          </w:tcPr>
          <w:p w14:paraId="53FEE934">
            <w:pPr>
              <w:pStyle w:val="31"/>
              <w:widowControl w:val="0"/>
              <w:bidi w:val="0"/>
              <w:rPr>
                <w:color w:val="auto"/>
              </w:rPr>
            </w:pPr>
          </w:p>
        </w:tc>
        <w:tc>
          <w:tcPr>
            <w:tcW w:w="490" w:type="pct"/>
            <w:vMerge w:val="continue"/>
            <w:vAlign w:val="center"/>
          </w:tcPr>
          <w:p w14:paraId="75453F76">
            <w:pPr>
              <w:pStyle w:val="31"/>
              <w:widowControl w:val="0"/>
              <w:bidi w:val="0"/>
              <w:rPr>
                <w:color w:val="auto"/>
              </w:rPr>
            </w:pPr>
          </w:p>
        </w:tc>
        <w:tc>
          <w:tcPr>
            <w:tcW w:w="478" w:type="pct"/>
            <w:vMerge w:val="continue"/>
            <w:vAlign w:val="center"/>
          </w:tcPr>
          <w:p w14:paraId="7CA08E52">
            <w:pPr>
              <w:pStyle w:val="31"/>
              <w:widowControl w:val="0"/>
              <w:bidi w:val="0"/>
              <w:rPr>
                <w:color w:val="auto"/>
              </w:rPr>
            </w:pPr>
          </w:p>
        </w:tc>
      </w:tr>
      <w:tr w14:paraId="04D8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532" w:type="pct"/>
            <w:gridSpan w:val="3"/>
            <w:vAlign w:val="center"/>
          </w:tcPr>
          <w:p w14:paraId="6F093D7B">
            <w:pPr>
              <w:pStyle w:val="31"/>
              <w:widowControl w:val="0"/>
              <w:bidi w:val="0"/>
              <w:rPr>
                <w:color w:val="auto"/>
              </w:rPr>
            </w:pPr>
            <w:r>
              <w:rPr>
                <w:rFonts w:hint="eastAsia"/>
                <w:color w:val="auto"/>
              </w:rPr>
              <w:t>合计</w:t>
            </w:r>
          </w:p>
        </w:tc>
        <w:tc>
          <w:tcPr>
            <w:tcW w:w="509" w:type="pct"/>
            <w:vAlign w:val="center"/>
          </w:tcPr>
          <w:p w14:paraId="5088994F">
            <w:pPr>
              <w:pStyle w:val="31"/>
              <w:widowControl w:val="0"/>
              <w:bidi w:val="0"/>
              <w:rPr>
                <w:color w:val="auto"/>
              </w:rPr>
            </w:pPr>
          </w:p>
        </w:tc>
        <w:tc>
          <w:tcPr>
            <w:tcW w:w="511" w:type="pct"/>
            <w:vAlign w:val="center"/>
          </w:tcPr>
          <w:p w14:paraId="236E4ED5">
            <w:pPr>
              <w:pStyle w:val="31"/>
              <w:widowControl w:val="0"/>
              <w:bidi w:val="0"/>
              <w:rPr>
                <w:color w:val="auto"/>
              </w:rPr>
            </w:pPr>
            <w:r>
              <w:rPr>
                <w:rFonts w:hint="eastAsia"/>
                <w:color w:val="auto"/>
              </w:rPr>
              <w:t>402.51</w:t>
            </w:r>
          </w:p>
        </w:tc>
        <w:tc>
          <w:tcPr>
            <w:tcW w:w="495" w:type="pct"/>
          </w:tcPr>
          <w:p w14:paraId="7062B61B">
            <w:pPr>
              <w:pStyle w:val="31"/>
              <w:widowControl w:val="0"/>
              <w:bidi w:val="0"/>
              <w:rPr>
                <w:color w:val="auto"/>
              </w:rPr>
            </w:pPr>
          </w:p>
        </w:tc>
        <w:tc>
          <w:tcPr>
            <w:tcW w:w="495" w:type="pct"/>
            <w:vAlign w:val="center"/>
          </w:tcPr>
          <w:p w14:paraId="59D300C4">
            <w:pPr>
              <w:pStyle w:val="31"/>
              <w:widowControl w:val="0"/>
              <w:bidi w:val="0"/>
              <w:rPr>
                <w:color w:val="auto"/>
              </w:rPr>
            </w:pPr>
            <w:r>
              <w:rPr>
                <w:rFonts w:hint="eastAsia"/>
                <w:color w:val="auto"/>
                <w:lang w:val="en-US" w:eastAsia="zh-CN"/>
              </w:rPr>
              <w:t>2.93</w:t>
            </w:r>
          </w:p>
        </w:tc>
        <w:tc>
          <w:tcPr>
            <w:tcW w:w="490" w:type="pct"/>
            <w:vAlign w:val="center"/>
          </w:tcPr>
          <w:p w14:paraId="0ED152AC">
            <w:pPr>
              <w:pStyle w:val="31"/>
              <w:widowControl w:val="0"/>
              <w:bidi w:val="0"/>
              <w:rPr>
                <w:color w:val="auto"/>
              </w:rPr>
            </w:pPr>
            <w:r>
              <w:rPr>
                <w:color w:val="auto"/>
              </w:rPr>
              <w:t>295175</w:t>
            </w:r>
          </w:p>
        </w:tc>
        <w:tc>
          <w:tcPr>
            <w:tcW w:w="490" w:type="pct"/>
            <w:vAlign w:val="center"/>
          </w:tcPr>
          <w:p w14:paraId="0F5D4071">
            <w:pPr>
              <w:pStyle w:val="31"/>
              <w:widowControl w:val="0"/>
              <w:bidi w:val="0"/>
              <w:rPr>
                <w:color w:val="auto"/>
              </w:rPr>
            </w:pPr>
            <w:r>
              <w:rPr>
                <w:color w:val="auto"/>
              </w:rPr>
              <w:t>19418</w:t>
            </w:r>
          </w:p>
        </w:tc>
        <w:tc>
          <w:tcPr>
            <w:tcW w:w="478" w:type="pct"/>
            <w:vAlign w:val="center"/>
          </w:tcPr>
          <w:p w14:paraId="077DEC1F">
            <w:pPr>
              <w:pStyle w:val="31"/>
              <w:widowControl w:val="0"/>
              <w:bidi w:val="0"/>
              <w:rPr>
                <w:color w:val="auto"/>
              </w:rPr>
            </w:pPr>
            <w:r>
              <w:rPr>
                <w:rFonts w:hint="eastAsia"/>
                <w:color w:val="auto"/>
              </w:rPr>
              <w:t>1</w:t>
            </w:r>
          </w:p>
        </w:tc>
      </w:tr>
    </w:tbl>
    <w:p w14:paraId="702F2E42">
      <w:pPr>
        <w:pStyle w:val="5"/>
        <w:bidi w:val="0"/>
        <w:rPr>
          <w:color w:val="auto"/>
          <w:lang w:val="zh-CN" w:eastAsia="zh-CN"/>
        </w:rPr>
      </w:pPr>
      <w:r>
        <w:rPr>
          <w:color w:val="auto"/>
          <w:lang w:val="zh-CN"/>
        </w:rPr>
        <w:t>开挖</w:t>
      </w:r>
      <w:r>
        <w:rPr>
          <w:color w:val="auto"/>
          <w:lang w:val="zh-CN" w:eastAsia="zh-CN"/>
        </w:rPr>
        <w:t>土方利用方案</w:t>
      </w:r>
    </w:p>
    <w:p w14:paraId="15F0491A">
      <w:pPr>
        <w:bidi w:val="0"/>
        <w:rPr>
          <w:color w:val="auto"/>
        </w:rPr>
      </w:pPr>
      <w:r>
        <w:rPr>
          <w:color w:val="auto"/>
        </w:rPr>
        <w:t>开挖土作为一种资源应综合利用，低洼地、取土坑、荒滩，均可作为弃土场地，一方面可利用疏浚土加固大堤，填塘固基；另一方面可利用抛泥形成较高的陆域作为城市建设、港口建设用地和垦荒造田。</w:t>
      </w:r>
    </w:p>
    <w:p w14:paraId="3A769E24">
      <w:pPr>
        <w:pStyle w:val="5"/>
        <w:bidi w:val="0"/>
        <w:rPr>
          <w:color w:val="auto"/>
          <w:lang w:val="zh-CN" w:eastAsia="zh-CN"/>
        </w:rPr>
      </w:pPr>
      <w:r>
        <w:rPr>
          <w:color w:val="auto"/>
          <w:lang w:val="zh-CN"/>
        </w:rPr>
        <w:t>弃土</w:t>
      </w:r>
      <w:r>
        <w:rPr>
          <w:color w:val="auto"/>
          <w:lang w:val="zh-CN" w:eastAsia="zh-CN"/>
        </w:rPr>
        <w:t>区选择原则</w:t>
      </w:r>
    </w:p>
    <w:p w14:paraId="739DA943">
      <w:pPr>
        <w:bidi w:val="0"/>
        <w:rPr>
          <w:color w:val="auto"/>
        </w:rPr>
      </w:pPr>
      <w:r>
        <w:rPr>
          <w:color w:val="auto"/>
        </w:rPr>
        <w:t>弃土区的选择需要着重考虑环保和水土保持，故本次弃土区布置要满足如下要求：</w:t>
      </w:r>
    </w:p>
    <w:p w14:paraId="0273558C">
      <w:pPr>
        <w:bidi w:val="0"/>
        <w:rPr>
          <w:color w:val="auto"/>
        </w:rPr>
      </w:pPr>
      <w:r>
        <w:rPr>
          <w:color w:val="auto"/>
        </w:rPr>
        <w:t>1）符合环保、城建要求，防止泥水污染。</w:t>
      </w:r>
    </w:p>
    <w:p w14:paraId="1DA5860C">
      <w:pPr>
        <w:bidi w:val="0"/>
        <w:rPr>
          <w:color w:val="auto"/>
        </w:rPr>
      </w:pPr>
      <w:r>
        <w:rPr>
          <w:color w:val="auto"/>
        </w:rPr>
        <w:t>2）避免软弱面，污染地下水。</w:t>
      </w:r>
    </w:p>
    <w:p w14:paraId="721437F3">
      <w:pPr>
        <w:bidi w:val="0"/>
        <w:rPr>
          <w:color w:val="auto"/>
        </w:rPr>
      </w:pPr>
      <w:r>
        <w:rPr>
          <w:color w:val="auto"/>
        </w:rPr>
        <w:t>3）就近选择低洼地、滩地，堤防取土坑，少占良田，节约投资。</w:t>
      </w:r>
    </w:p>
    <w:p w14:paraId="0CB361F6">
      <w:pPr>
        <w:bidi w:val="0"/>
        <w:rPr>
          <w:color w:val="auto"/>
        </w:rPr>
      </w:pPr>
      <w:r>
        <w:rPr>
          <w:color w:val="auto"/>
        </w:rPr>
        <w:t>4）满足施工条件，符合相关规范要求。</w:t>
      </w:r>
    </w:p>
    <w:p w14:paraId="78B44D9B">
      <w:pPr>
        <w:bidi w:val="0"/>
        <w:rPr>
          <w:color w:val="auto"/>
          <w:lang w:val="zh-CN" w:eastAsia="zh-CN"/>
        </w:rPr>
      </w:pPr>
      <w:r>
        <w:rPr>
          <w:color w:val="auto"/>
          <w:lang w:val="zh-CN" w:eastAsia="zh-CN"/>
        </w:rPr>
        <w:t>3.2.6.3</w:t>
      </w:r>
      <w:r>
        <w:rPr>
          <w:color w:val="auto"/>
          <w:lang w:val="zh-CN"/>
        </w:rPr>
        <w:t>弃土</w:t>
      </w:r>
      <w:r>
        <w:rPr>
          <w:color w:val="auto"/>
          <w:lang w:val="zh-CN" w:eastAsia="zh-CN"/>
        </w:rPr>
        <w:t>区堆渣容量计算</w:t>
      </w:r>
    </w:p>
    <w:p w14:paraId="38122FD7">
      <w:pPr>
        <w:bidi w:val="0"/>
        <w:rPr>
          <w:color w:val="auto"/>
        </w:rPr>
      </w:pPr>
      <w:r>
        <w:rPr>
          <w:color w:val="auto"/>
        </w:rPr>
        <w:t>弃土区</w:t>
      </w:r>
      <w:bookmarkStart w:id="101" w:name="_Hlk183100376"/>
      <w:r>
        <w:rPr>
          <w:color w:val="auto"/>
        </w:rPr>
        <w:t>堆渣容量</w:t>
      </w:r>
      <w:bookmarkEnd w:id="101"/>
      <w:r>
        <w:rPr>
          <w:color w:val="auto"/>
        </w:rPr>
        <w:t>按下式确定：</w:t>
      </w:r>
    </w:p>
    <w:p w14:paraId="2CC220C0">
      <w:pPr>
        <w:bidi w:val="0"/>
        <w:rPr>
          <w:color w:val="auto"/>
        </w:rPr>
      </w:pPr>
      <w:r>
        <w:rPr>
          <w:color w:val="auto"/>
        </w:rPr>
        <w:t>V堆=K×V弃土</w:t>
      </w:r>
    </w:p>
    <w:p w14:paraId="2E6F30D4">
      <w:pPr>
        <w:bidi w:val="0"/>
        <w:rPr>
          <w:color w:val="auto"/>
        </w:rPr>
      </w:pPr>
      <w:r>
        <w:rPr>
          <w:color w:val="auto"/>
        </w:rPr>
        <w:t>式中：V弃土—设计弃土工程量（m</w:t>
      </w:r>
      <w:r>
        <w:rPr>
          <w:color w:val="auto"/>
          <w:vertAlign w:val="superscript"/>
        </w:rPr>
        <w:t>3</w:t>
      </w:r>
      <w:r>
        <w:rPr>
          <w:color w:val="auto"/>
        </w:rPr>
        <w:t>）</w:t>
      </w:r>
    </w:p>
    <w:p w14:paraId="7AB10F00">
      <w:pPr>
        <w:bidi w:val="0"/>
        <w:rPr>
          <w:color w:val="auto"/>
        </w:rPr>
      </w:pPr>
      <w:r>
        <w:rPr>
          <w:color w:val="auto"/>
        </w:rPr>
        <w:t>V堆—所需弃土区堆渣容量（m</w:t>
      </w:r>
      <w:r>
        <w:rPr>
          <w:color w:val="auto"/>
          <w:vertAlign w:val="superscript"/>
        </w:rPr>
        <w:t>3</w:t>
      </w:r>
      <w:r>
        <w:rPr>
          <w:color w:val="auto"/>
        </w:rPr>
        <w:t>）</w:t>
      </w:r>
    </w:p>
    <w:p w14:paraId="759978F8">
      <w:pPr>
        <w:bidi w:val="0"/>
        <w:rPr>
          <w:color w:val="auto"/>
        </w:rPr>
      </w:pPr>
      <w:r>
        <w:rPr>
          <w:color w:val="auto"/>
        </w:rPr>
        <w:t>K—松散系数，因土质不同而异，本次计算取1.05。</w:t>
      </w:r>
    </w:p>
    <w:p w14:paraId="1BC2B99B">
      <w:pPr>
        <w:bidi w:val="0"/>
        <w:rPr>
          <w:color w:val="auto"/>
        </w:rPr>
      </w:pPr>
      <w:r>
        <w:rPr>
          <w:color w:val="auto"/>
        </w:rPr>
        <w:t>经计算本工程所需抛泥区容泥量为</w:t>
      </w:r>
      <w:r>
        <w:rPr>
          <w:rFonts w:hint="eastAsia"/>
          <w:color w:val="auto"/>
          <w:lang w:val="en-US" w:eastAsia="zh-CN"/>
        </w:rPr>
        <w:t>78.61</w:t>
      </w:r>
      <w:r>
        <w:rPr>
          <w:color w:val="auto"/>
        </w:rPr>
        <w:t>万m</w:t>
      </w:r>
      <w:r>
        <w:rPr>
          <w:color w:val="auto"/>
          <w:vertAlign w:val="superscript"/>
        </w:rPr>
        <w:t>3</w:t>
      </w:r>
      <w:r>
        <w:rPr>
          <w:color w:val="auto"/>
        </w:rPr>
        <w:t>。</w:t>
      </w:r>
    </w:p>
    <w:p w14:paraId="0E3570D0">
      <w:pPr>
        <w:pStyle w:val="5"/>
        <w:bidi w:val="0"/>
        <w:rPr>
          <w:color w:val="auto"/>
          <w:lang w:val="zh-CN"/>
        </w:rPr>
      </w:pPr>
      <w:r>
        <w:rPr>
          <w:color w:val="auto"/>
          <w:lang w:val="zh-CN"/>
        </w:rPr>
        <w:t>弃土</w:t>
      </w:r>
      <w:r>
        <w:rPr>
          <w:color w:val="auto"/>
          <w:lang w:val="zh-CN" w:eastAsia="zh-CN"/>
        </w:rPr>
        <w:t>区选择</w:t>
      </w:r>
    </w:p>
    <w:p w14:paraId="673FA474">
      <w:pPr>
        <w:bidi w:val="0"/>
        <w:rPr>
          <w:color w:val="auto"/>
        </w:rPr>
      </w:pPr>
      <w:r>
        <w:rPr>
          <w:color w:val="auto"/>
        </w:rPr>
        <w:t>本着环保、不占耕地集中堆放且不破坏原有道路的原则。根据现场调查及对接，本工程重新设置弃土区2处，</w:t>
      </w:r>
      <w:bookmarkStart w:id="102" w:name="_Hlk184226386"/>
      <w:r>
        <w:rPr>
          <w:rFonts w:hint="eastAsia"/>
          <w:color w:val="auto"/>
        </w:rPr>
        <w:t>弃土</w:t>
      </w:r>
      <w:r>
        <w:rPr>
          <w:color w:val="auto"/>
        </w:rPr>
        <w:t>区选择在距现状抛泥区附近，均位于池州市贵池区涓桥镇，便于运输。</w:t>
      </w:r>
    </w:p>
    <w:bookmarkEnd w:id="102"/>
    <w:p w14:paraId="0F94D5AD">
      <w:pPr>
        <w:bidi w:val="0"/>
        <w:rPr>
          <w:color w:val="auto"/>
        </w:rPr>
      </w:pPr>
      <w:r>
        <w:rPr>
          <w:color w:val="auto"/>
        </w:rPr>
        <w:t>1号弃土区位于贵池区涓桥镇罗村，占地117.26亩，现状主要为</w:t>
      </w:r>
      <w:bookmarkStart w:id="103" w:name="_Hlk184226429"/>
      <w:r>
        <w:rPr>
          <w:color w:val="auto"/>
        </w:rPr>
        <w:t>开挖矿山低洼地</w:t>
      </w:r>
      <w:bookmarkEnd w:id="103"/>
      <w:r>
        <w:rPr>
          <w:color w:val="auto"/>
        </w:rPr>
        <w:t>，内部有临时道路交错，现状地面高程在50</w:t>
      </w:r>
      <w:r>
        <w:rPr>
          <w:rFonts w:hint="eastAsia"/>
          <w:color w:val="auto"/>
        </w:rPr>
        <w:t>~</w:t>
      </w:r>
      <w:r>
        <w:rPr>
          <w:color w:val="auto"/>
        </w:rPr>
        <w:t>80m；2号弃土区位于贵池区涓桥镇杨冲，占地285.25亩，现状为山体开挖的低洼地区，地面底高程在73</w:t>
      </w:r>
      <w:r>
        <w:rPr>
          <w:rFonts w:hint="eastAsia"/>
          <w:color w:val="auto"/>
        </w:rPr>
        <w:t>~</w:t>
      </w:r>
      <w:r>
        <w:rPr>
          <w:color w:val="auto"/>
        </w:rPr>
        <w:t>150m左右，经计算弃土区容泥量约</w:t>
      </w:r>
      <w:r>
        <w:rPr>
          <w:rFonts w:hint="eastAsia"/>
          <w:color w:val="auto"/>
          <w:lang w:val="en-US" w:eastAsia="zh-CN"/>
        </w:rPr>
        <w:t>78.61</w:t>
      </w:r>
      <w:r>
        <w:rPr>
          <w:color w:val="auto"/>
        </w:rPr>
        <w:t>万m</w:t>
      </w:r>
      <w:r>
        <w:rPr>
          <w:color w:val="auto"/>
          <w:vertAlign w:val="superscript"/>
        </w:rPr>
        <w:t>3</w:t>
      </w:r>
      <w:r>
        <w:rPr>
          <w:color w:val="auto"/>
        </w:rPr>
        <w:t>，平均堆高</w:t>
      </w:r>
      <w:r>
        <w:rPr>
          <w:rFonts w:hint="eastAsia"/>
          <w:color w:val="auto"/>
          <w:lang w:val="en-US" w:eastAsia="zh-CN"/>
        </w:rPr>
        <w:t>2.93</w:t>
      </w:r>
      <w:r>
        <w:rPr>
          <w:color w:val="auto"/>
        </w:rPr>
        <w:t>m</w:t>
      </w:r>
      <w:r>
        <w:rPr>
          <w:rFonts w:hint="eastAsia"/>
          <w:color w:val="auto"/>
        </w:rPr>
        <w:t>，弃土区总占地402.51亩</w:t>
      </w:r>
      <w:r>
        <w:rPr>
          <w:color w:val="auto"/>
        </w:rPr>
        <w:t>。</w:t>
      </w:r>
    </w:p>
    <w:p w14:paraId="25C4D09D">
      <w:pPr>
        <w:bidi w:val="0"/>
        <w:rPr>
          <w:color w:val="auto"/>
        </w:rPr>
      </w:pPr>
      <w:r>
        <w:rPr>
          <w:color w:val="auto"/>
        </w:rPr>
        <w:t>为抛泥区及弃土区使用安全，在拋泥区</w:t>
      </w:r>
      <w:r>
        <w:rPr>
          <w:rFonts w:hint="eastAsia"/>
          <w:color w:val="auto"/>
        </w:rPr>
        <w:t>及</w:t>
      </w:r>
      <w:r>
        <w:rPr>
          <w:color w:val="auto"/>
        </w:rPr>
        <w:t>弃土区外缘设一圈钢丝防护网，高2m，面积19418m</w:t>
      </w:r>
      <w:r>
        <w:rPr>
          <w:color w:val="auto"/>
          <w:vertAlign w:val="superscript"/>
        </w:rPr>
        <w:t>2</w:t>
      </w:r>
      <w:r>
        <w:rPr>
          <w:color w:val="auto"/>
        </w:rPr>
        <w:t>。施工单位在弃土区使用时，要确保弃土区安全。</w:t>
      </w:r>
    </w:p>
    <w:p w14:paraId="4F861402">
      <w:pPr>
        <w:bidi w:val="0"/>
        <w:rPr>
          <w:color w:val="auto"/>
        </w:rPr>
      </w:pPr>
      <w:r>
        <w:rPr>
          <w:color w:val="auto"/>
        </w:rPr>
        <w:t>为防止水土流失，保护环境，在弃土完成后，撒播草籽，草籽面积295175m</w:t>
      </w:r>
      <w:r>
        <w:rPr>
          <w:color w:val="auto"/>
          <w:vertAlign w:val="superscript"/>
        </w:rPr>
        <w:t>2</w:t>
      </w:r>
      <w:r>
        <w:rPr>
          <w:color w:val="auto"/>
        </w:rPr>
        <w:t>，同时做好弃土区周围及内部排水，排水及设施按1项考虑。</w:t>
      </w:r>
    </w:p>
    <w:p w14:paraId="4024F325">
      <w:pPr>
        <w:pStyle w:val="5"/>
        <w:bidi w:val="0"/>
        <w:rPr>
          <w:color w:val="auto"/>
          <w:lang w:val="zh-CN"/>
        </w:rPr>
      </w:pPr>
      <w:r>
        <w:rPr>
          <w:color w:val="auto"/>
          <w:lang w:val="zh-CN"/>
        </w:rPr>
        <w:t>运距</w:t>
      </w:r>
      <w:r>
        <w:rPr>
          <w:color w:val="auto"/>
          <w:lang w:val="zh-CN" w:eastAsia="zh-CN"/>
        </w:rPr>
        <w:t>及</w:t>
      </w:r>
      <w:r>
        <w:rPr>
          <w:color w:val="auto"/>
          <w:lang w:val="zh-CN"/>
        </w:rPr>
        <w:t>堆高</w:t>
      </w:r>
    </w:p>
    <w:p w14:paraId="6490ABAE">
      <w:pPr>
        <w:bidi w:val="0"/>
        <w:rPr>
          <w:color w:val="auto"/>
        </w:rPr>
      </w:pPr>
      <w:r>
        <w:rPr>
          <w:color w:val="auto"/>
        </w:rPr>
        <w:t>根据弃土区布设情况，弃土区布置及土方调配表如下表。堆土高度受地形影响，平均堆高</w:t>
      </w:r>
      <w:r>
        <w:rPr>
          <w:rFonts w:hint="eastAsia"/>
          <w:color w:val="auto"/>
          <w:lang w:val="en-US" w:eastAsia="zh-CN"/>
        </w:rPr>
        <w:t>2.93</w:t>
      </w:r>
      <w:r>
        <w:rPr>
          <w:color w:val="auto"/>
        </w:rPr>
        <w:t>m，运距11km。</w:t>
      </w:r>
    </w:p>
    <w:p w14:paraId="188E5763">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10</w:t>
      </w:r>
      <w:r>
        <w:rPr>
          <w:color w:val="auto"/>
        </w:rPr>
        <w:fldChar w:fldCharType="end"/>
      </w:r>
      <w:r>
        <w:rPr>
          <w:color w:val="auto"/>
        </w:rPr>
        <w:t>弃土区布置及土方调配表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594"/>
        <w:gridCol w:w="2328"/>
        <w:gridCol w:w="758"/>
        <w:gridCol w:w="1009"/>
        <w:gridCol w:w="1088"/>
      </w:tblGrid>
      <w:tr w14:paraId="7FC9D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37" w:type="pct"/>
            <w:shd w:val="clear" w:color="auto" w:fill="auto"/>
            <w:vAlign w:val="center"/>
          </w:tcPr>
          <w:p w14:paraId="27BB3287">
            <w:pPr>
              <w:pStyle w:val="31"/>
              <w:bidi w:val="0"/>
              <w:rPr>
                <w:color w:val="auto"/>
                <w:lang w:val="zh-CN" w:eastAsia="zh-CN"/>
              </w:rPr>
            </w:pPr>
            <w:r>
              <w:rPr>
                <w:color w:val="auto"/>
                <w:lang w:val="zh-CN" w:eastAsia="zh-CN"/>
              </w:rPr>
              <w:t>序号</w:t>
            </w:r>
          </w:p>
        </w:tc>
        <w:tc>
          <w:tcPr>
            <w:tcW w:w="1522" w:type="pct"/>
            <w:shd w:val="clear" w:color="auto" w:fill="auto"/>
            <w:vAlign w:val="center"/>
          </w:tcPr>
          <w:p w14:paraId="538E3C69">
            <w:pPr>
              <w:pStyle w:val="31"/>
              <w:bidi w:val="0"/>
              <w:rPr>
                <w:color w:val="auto"/>
                <w:lang w:val="zh-CN" w:eastAsia="zh-CN"/>
              </w:rPr>
            </w:pPr>
            <w:r>
              <w:rPr>
                <w:color w:val="auto"/>
                <w:lang w:val="zh-CN" w:eastAsia="zh-CN"/>
              </w:rPr>
              <w:t>泥土来源</w:t>
            </w:r>
          </w:p>
        </w:tc>
        <w:tc>
          <w:tcPr>
            <w:tcW w:w="1366" w:type="pct"/>
            <w:shd w:val="clear" w:color="auto" w:fill="auto"/>
            <w:vAlign w:val="center"/>
          </w:tcPr>
          <w:p w14:paraId="12B05A0B">
            <w:pPr>
              <w:pStyle w:val="31"/>
              <w:bidi w:val="0"/>
              <w:rPr>
                <w:color w:val="auto"/>
                <w:lang w:val="zh-CN" w:eastAsia="zh-CN"/>
              </w:rPr>
            </w:pPr>
            <w:r>
              <w:rPr>
                <w:color w:val="auto"/>
                <w:lang w:val="zh-CN" w:eastAsia="zh-CN"/>
              </w:rPr>
              <w:t>位置</w:t>
            </w:r>
          </w:p>
        </w:tc>
        <w:tc>
          <w:tcPr>
            <w:tcW w:w="445" w:type="pct"/>
            <w:shd w:val="clear" w:color="auto" w:fill="auto"/>
            <w:vAlign w:val="center"/>
          </w:tcPr>
          <w:p w14:paraId="127B1FEE">
            <w:pPr>
              <w:pStyle w:val="31"/>
              <w:bidi w:val="0"/>
              <w:rPr>
                <w:color w:val="auto"/>
                <w:lang w:val="zh-CN" w:eastAsia="zh-CN"/>
              </w:rPr>
            </w:pPr>
            <w:r>
              <w:rPr>
                <w:color w:val="auto"/>
                <w:lang w:val="zh-CN" w:eastAsia="zh-CN"/>
              </w:rPr>
              <w:t>岸侧</w:t>
            </w:r>
          </w:p>
        </w:tc>
        <w:tc>
          <w:tcPr>
            <w:tcW w:w="592" w:type="pct"/>
            <w:shd w:val="clear" w:color="auto" w:fill="auto"/>
            <w:vAlign w:val="center"/>
          </w:tcPr>
          <w:p w14:paraId="3546D008">
            <w:pPr>
              <w:pStyle w:val="31"/>
              <w:bidi w:val="0"/>
              <w:rPr>
                <w:color w:val="auto"/>
                <w:lang w:val="zh-CN" w:eastAsia="zh-CN"/>
              </w:rPr>
            </w:pPr>
            <w:r>
              <w:rPr>
                <w:color w:val="auto"/>
                <w:lang w:val="zh-CN" w:eastAsia="zh-CN"/>
              </w:rPr>
              <w:t>占地</w:t>
            </w:r>
            <w:r>
              <w:rPr>
                <w:rFonts w:hint="eastAsia"/>
                <w:color w:val="auto"/>
                <w:lang w:val="zh-CN" w:eastAsia="zh-CN"/>
              </w:rPr>
              <w:t>（</w:t>
            </w:r>
            <w:r>
              <w:rPr>
                <w:color w:val="auto"/>
                <w:lang w:val="zh-CN" w:eastAsia="zh-CN"/>
              </w:rPr>
              <w:t>亩</w:t>
            </w:r>
            <w:r>
              <w:rPr>
                <w:rFonts w:hint="eastAsia"/>
                <w:color w:val="auto"/>
                <w:lang w:val="zh-CN" w:eastAsia="zh-CN"/>
              </w:rPr>
              <w:t>）</w:t>
            </w:r>
          </w:p>
        </w:tc>
        <w:tc>
          <w:tcPr>
            <w:tcW w:w="638" w:type="pct"/>
            <w:shd w:val="clear" w:color="auto" w:fill="auto"/>
            <w:vAlign w:val="center"/>
          </w:tcPr>
          <w:p w14:paraId="78A78451">
            <w:pPr>
              <w:pStyle w:val="31"/>
              <w:bidi w:val="0"/>
              <w:rPr>
                <w:color w:val="auto"/>
                <w:lang w:val="zh-CN" w:eastAsia="zh-CN"/>
              </w:rPr>
            </w:pPr>
            <w:r>
              <w:rPr>
                <w:color w:val="auto"/>
                <w:lang w:val="zh-CN" w:eastAsia="zh-CN"/>
              </w:rPr>
              <w:t>运距</w:t>
            </w:r>
            <w:r>
              <w:rPr>
                <w:rFonts w:hint="eastAsia"/>
                <w:color w:val="auto"/>
                <w:lang w:val="zh-CN" w:eastAsia="zh-CN"/>
              </w:rPr>
              <w:t>（</w:t>
            </w:r>
            <w:r>
              <w:rPr>
                <w:color w:val="auto"/>
                <w:lang w:val="zh-CN" w:eastAsia="zh-CN"/>
              </w:rPr>
              <w:t>km</w:t>
            </w:r>
            <w:r>
              <w:rPr>
                <w:rFonts w:hint="eastAsia"/>
                <w:color w:val="auto"/>
                <w:lang w:val="zh-CN" w:eastAsia="zh-CN"/>
              </w:rPr>
              <w:t>）</w:t>
            </w:r>
          </w:p>
        </w:tc>
      </w:tr>
      <w:tr w14:paraId="6DE5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shd w:val="clear" w:color="auto" w:fill="auto"/>
            <w:noWrap/>
            <w:vAlign w:val="center"/>
          </w:tcPr>
          <w:p w14:paraId="1FBE88A1">
            <w:pPr>
              <w:pStyle w:val="31"/>
              <w:bidi w:val="0"/>
              <w:rPr>
                <w:color w:val="auto"/>
                <w:lang w:val="zh-CN" w:eastAsia="zh-CN"/>
              </w:rPr>
            </w:pPr>
            <w:r>
              <w:rPr>
                <w:color w:val="auto"/>
                <w:lang w:val="zh-CN" w:eastAsia="zh-CN"/>
              </w:rPr>
              <w:t>1</w:t>
            </w:r>
          </w:p>
        </w:tc>
        <w:tc>
          <w:tcPr>
            <w:tcW w:w="1522" w:type="pct"/>
            <w:shd w:val="clear" w:color="auto" w:fill="auto"/>
            <w:noWrap/>
            <w:vAlign w:val="center"/>
          </w:tcPr>
          <w:p w14:paraId="6B8C5703">
            <w:pPr>
              <w:pStyle w:val="31"/>
              <w:bidi w:val="0"/>
              <w:rPr>
                <w:color w:val="auto"/>
                <w:lang w:val="zh-CN" w:eastAsia="zh-CN"/>
              </w:rPr>
            </w:pPr>
            <w:r>
              <w:rPr>
                <w:color w:val="auto"/>
                <w:lang w:val="zh-CN" w:eastAsia="zh-CN"/>
              </w:rPr>
              <w:t>5号及6号抛泥区</w:t>
            </w:r>
          </w:p>
        </w:tc>
        <w:tc>
          <w:tcPr>
            <w:tcW w:w="1366" w:type="pct"/>
            <w:shd w:val="clear" w:color="auto" w:fill="auto"/>
            <w:noWrap/>
            <w:vAlign w:val="center"/>
          </w:tcPr>
          <w:p w14:paraId="01F2F5B8">
            <w:pPr>
              <w:pStyle w:val="31"/>
              <w:bidi w:val="0"/>
              <w:rPr>
                <w:color w:val="auto"/>
                <w:lang w:val="zh-CN" w:eastAsia="zh-CN"/>
              </w:rPr>
            </w:pPr>
            <w:r>
              <w:rPr>
                <w:color w:val="auto"/>
                <w:lang w:val="zh-CN" w:eastAsia="zh-CN"/>
              </w:rPr>
              <w:t>贵池区涓桥镇罗村</w:t>
            </w:r>
          </w:p>
        </w:tc>
        <w:tc>
          <w:tcPr>
            <w:tcW w:w="445" w:type="pct"/>
            <w:shd w:val="clear" w:color="auto" w:fill="auto"/>
            <w:noWrap/>
            <w:vAlign w:val="center"/>
          </w:tcPr>
          <w:p w14:paraId="60C94F69">
            <w:pPr>
              <w:pStyle w:val="31"/>
              <w:bidi w:val="0"/>
              <w:rPr>
                <w:color w:val="auto"/>
                <w:lang w:val="zh-CN" w:eastAsia="zh-CN"/>
              </w:rPr>
            </w:pPr>
            <w:r>
              <w:rPr>
                <w:color w:val="auto"/>
                <w:lang w:val="zh-CN" w:eastAsia="zh-CN"/>
              </w:rPr>
              <w:t>右</w:t>
            </w:r>
          </w:p>
        </w:tc>
        <w:tc>
          <w:tcPr>
            <w:tcW w:w="592" w:type="pct"/>
            <w:shd w:val="clear" w:color="auto" w:fill="auto"/>
            <w:noWrap/>
            <w:vAlign w:val="center"/>
          </w:tcPr>
          <w:p w14:paraId="4367D974">
            <w:pPr>
              <w:pStyle w:val="31"/>
              <w:bidi w:val="0"/>
              <w:rPr>
                <w:color w:val="auto"/>
                <w:lang w:val="zh-CN" w:eastAsia="zh-CN"/>
              </w:rPr>
            </w:pPr>
            <w:r>
              <w:rPr>
                <w:color w:val="auto"/>
                <w:lang w:val="zh-CN" w:eastAsia="zh-CN"/>
              </w:rPr>
              <w:t>117.26</w:t>
            </w:r>
          </w:p>
        </w:tc>
        <w:tc>
          <w:tcPr>
            <w:tcW w:w="638" w:type="pct"/>
            <w:shd w:val="clear" w:color="auto" w:fill="auto"/>
            <w:noWrap/>
            <w:vAlign w:val="center"/>
          </w:tcPr>
          <w:p w14:paraId="020DFE67">
            <w:pPr>
              <w:pStyle w:val="31"/>
              <w:bidi w:val="0"/>
              <w:rPr>
                <w:color w:val="auto"/>
                <w:lang w:val="zh-CN" w:eastAsia="zh-CN"/>
              </w:rPr>
            </w:pPr>
            <w:r>
              <w:rPr>
                <w:color w:val="auto"/>
                <w:lang w:val="zh-CN" w:eastAsia="zh-CN"/>
              </w:rPr>
              <w:t>8</w:t>
            </w:r>
          </w:p>
        </w:tc>
      </w:tr>
      <w:tr w14:paraId="10ED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shd w:val="clear" w:color="auto" w:fill="auto"/>
            <w:noWrap/>
            <w:vAlign w:val="center"/>
          </w:tcPr>
          <w:p w14:paraId="13DA01FA">
            <w:pPr>
              <w:pStyle w:val="31"/>
              <w:bidi w:val="0"/>
              <w:rPr>
                <w:color w:val="auto"/>
                <w:lang w:val="zh-CN" w:eastAsia="zh-CN"/>
              </w:rPr>
            </w:pPr>
            <w:r>
              <w:rPr>
                <w:color w:val="auto"/>
                <w:lang w:val="zh-CN" w:eastAsia="zh-CN"/>
              </w:rPr>
              <w:t>2</w:t>
            </w:r>
          </w:p>
        </w:tc>
        <w:tc>
          <w:tcPr>
            <w:tcW w:w="1522" w:type="pct"/>
            <w:shd w:val="clear" w:color="auto" w:fill="auto"/>
            <w:noWrap/>
            <w:vAlign w:val="center"/>
          </w:tcPr>
          <w:p w14:paraId="2D8A8CFE">
            <w:pPr>
              <w:pStyle w:val="31"/>
              <w:bidi w:val="0"/>
              <w:rPr>
                <w:color w:val="auto"/>
                <w:lang w:val="zh-CN" w:eastAsia="zh-CN"/>
              </w:rPr>
            </w:pPr>
            <w:r>
              <w:rPr>
                <w:color w:val="auto"/>
                <w:lang w:val="zh-CN" w:eastAsia="zh-CN"/>
              </w:rPr>
              <w:t>6号抛泥区</w:t>
            </w:r>
          </w:p>
        </w:tc>
        <w:tc>
          <w:tcPr>
            <w:tcW w:w="1366" w:type="pct"/>
            <w:shd w:val="clear" w:color="auto" w:fill="auto"/>
            <w:noWrap/>
            <w:vAlign w:val="center"/>
          </w:tcPr>
          <w:p w14:paraId="374FB674">
            <w:pPr>
              <w:pStyle w:val="31"/>
              <w:bidi w:val="0"/>
              <w:rPr>
                <w:color w:val="auto"/>
                <w:lang w:val="zh-CN" w:eastAsia="zh-CN"/>
              </w:rPr>
            </w:pPr>
            <w:r>
              <w:rPr>
                <w:color w:val="auto"/>
                <w:lang w:val="zh-CN" w:eastAsia="zh-CN"/>
              </w:rPr>
              <w:t>贵池区涓桥镇杨冲</w:t>
            </w:r>
          </w:p>
        </w:tc>
        <w:tc>
          <w:tcPr>
            <w:tcW w:w="445" w:type="pct"/>
            <w:shd w:val="clear" w:color="auto" w:fill="auto"/>
            <w:noWrap/>
            <w:vAlign w:val="center"/>
          </w:tcPr>
          <w:p w14:paraId="0817533D">
            <w:pPr>
              <w:pStyle w:val="31"/>
              <w:bidi w:val="0"/>
              <w:rPr>
                <w:color w:val="auto"/>
                <w:lang w:val="zh-CN" w:eastAsia="zh-CN"/>
              </w:rPr>
            </w:pPr>
            <w:r>
              <w:rPr>
                <w:color w:val="auto"/>
                <w:lang w:val="zh-CN" w:eastAsia="zh-CN"/>
              </w:rPr>
              <w:t>右</w:t>
            </w:r>
          </w:p>
        </w:tc>
        <w:tc>
          <w:tcPr>
            <w:tcW w:w="592" w:type="pct"/>
            <w:shd w:val="clear" w:color="auto" w:fill="auto"/>
            <w:noWrap/>
            <w:vAlign w:val="center"/>
          </w:tcPr>
          <w:p w14:paraId="321C47CA">
            <w:pPr>
              <w:pStyle w:val="31"/>
              <w:bidi w:val="0"/>
              <w:rPr>
                <w:color w:val="auto"/>
                <w:lang w:val="zh-CN" w:eastAsia="zh-CN"/>
              </w:rPr>
            </w:pPr>
            <w:r>
              <w:rPr>
                <w:color w:val="auto"/>
                <w:lang w:val="zh-CN" w:eastAsia="zh-CN"/>
              </w:rPr>
              <w:t>285.25</w:t>
            </w:r>
          </w:p>
        </w:tc>
        <w:tc>
          <w:tcPr>
            <w:tcW w:w="638" w:type="pct"/>
            <w:shd w:val="clear" w:color="auto" w:fill="auto"/>
            <w:noWrap/>
            <w:vAlign w:val="center"/>
          </w:tcPr>
          <w:p w14:paraId="01FAE343">
            <w:pPr>
              <w:pStyle w:val="31"/>
              <w:bidi w:val="0"/>
              <w:rPr>
                <w:color w:val="auto"/>
                <w:lang w:val="zh-CN" w:eastAsia="zh-CN"/>
              </w:rPr>
            </w:pPr>
            <w:r>
              <w:rPr>
                <w:color w:val="auto"/>
                <w:lang w:val="zh-CN" w:eastAsia="zh-CN"/>
              </w:rPr>
              <w:t>11.6</w:t>
            </w:r>
          </w:p>
        </w:tc>
      </w:tr>
    </w:tbl>
    <w:p w14:paraId="65A0698E">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11</w:t>
      </w:r>
      <w:r>
        <w:rPr>
          <w:color w:val="auto"/>
        </w:rPr>
        <w:fldChar w:fldCharType="end"/>
      </w:r>
      <w:r>
        <w:rPr>
          <w:color w:val="auto"/>
        </w:rPr>
        <w:t>弃土区布置及土方调配表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567"/>
        <w:gridCol w:w="804"/>
        <w:gridCol w:w="1626"/>
        <w:gridCol w:w="4099"/>
      </w:tblGrid>
      <w:tr w14:paraId="733E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32" w:type="dxa"/>
            <w:gridSpan w:val="2"/>
            <w:shd w:val="clear" w:color="auto" w:fill="auto"/>
            <w:vAlign w:val="center"/>
          </w:tcPr>
          <w:p w14:paraId="6C74B013">
            <w:pPr>
              <w:pStyle w:val="31"/>
              <w:bidi w:val="0"/>
              <w:rPr>
                <w:color w:val="auto"/>
                <w:lang w:val="zh-CN" w:eastAsia="zh-CN"/>
              </w:rPr>
            </w:pPr>
            <w:r>
              <w:rPr>
                <w:color w:val="auto"/>
                <w:lang w:val="zh-CN" w:eastAsia="zh-CN"/>
              </w:rPr>
              <w:t>项目</w:t>
            </w:r>
          </w:p>
        </w:tc>
        <w:tc>
          <w:tcPr>
            <w:tcW w:w="850" w:type="dxa"/>
            <w:shd w:val="clear" w:color="auto" w:fill="auto"/>
            <w:vAlign w:val="center"/>
          </w:tcPr>
          <w:p w14:paraId="5393C3B5">
            <w:pPr>
              <w:pStyle w:val="31"/>
              <w:bidi w:val="0"/>
              <w:rPr>
                <w:color w:val="auto"/>
                <w:lang w:val="zh-CN" w:eastAsia="zh-CN"/>
              </w:rPr>
            </w:pPr>
            <w:r>
              <w:rPr>
                <w:color w:val="auto"/>
                <w:lang w:val="zh-CN" w:eastAsia="zh-CN"/>
              </w:rPr>
              <w:t>单位</w:t>
            </w:r>
          </w:p>
        </w:tc>
        <w:tc>
          <w:tcPr>
            <w:tcW w:w="1701" w:type="dxa"/>
            <w:shd w:val="clear" w:color="auto" w:fill="auto"/>
            <w:vAlign w:val="center"/>
          </w:tcPr>
          <w:p w14:paraId="66C7EBDD">
            <w:pPr>
              <w:pStyle w:val="31"/>
              <w:bidi w:val="0"/>
              <w:rPr>
                <w:color w:val="auto"/>
                <w:lang w:val="zh-CN" w:eastAsia="zh-CN"/>
              </w:rPr>
            </w:pPr>
            <w:r>
              <w:rPr>
                <w:color w:val="auto"/>
                <w:lang w:val="zh-CN" w:eastAsia="zh-CN"/>
              </w:rPr>
              <w:t>总数量</w:t>
            </w:r>
          </w:p>
        </w:tc>
        <w:tc>
          <w:tcPr>
            <w:tcW w:w="4492" w:type="dxa"/>
            <w:shd w:val="clear" w:color="auto" w:fill="auto"/>
            <w:vAlign w:val="center"/>
          </w:tcPr>
          <w:p w14:paraId="1EB079D1">
            <w:pPr>
              <w:pStyle w:val="31"/>
              <w:bidi w:val="0"/>
              <w:rPr>
                <w:color w:val="auto"/>
                <w:lang w:val="zh-CN" w:eastAsia="zh-CN"/>
              </w:rPr>
            </w:pPr>
            <w:r>
              <w:rPr>
                <w:color w:val="auto"/>
                <w:lang w:val="zh-CN" w:eastAsia="zh-CN"/>
              </w:rPr>
              <w:t>备注</w:t>
            </w:r>
          </w:p>
        </w:tc>
      </w:tr>
      <w:tr w14:paraId="1730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shd w:val="clear" w:color="auto" w:fill="auto"/>
            <w:vAlign w:val="center"/>
          </w:tcPr>
          <w:p w14:paraId="30D51861">
            <w:pPr>
              <w:pStyle w:val="31"/>
              <w:bidi w:val="0"/>
              <w:rPr>
                <w:color w:val="auto"/>
                <w:lang w:val="zh-CN" w:eastAsia="zh-CN"/>
              </w:rPr>
            </w:pPr>
            <w:r>
              <w:rPr>
                <w:color w:val="auto"/>
                <w:lang w:val="zh-CN" w:eastAsia="zh-CN"/>
              </w:rPr>
              <w:t>土方</w:t>
            </w:r>
          </w:p>
        </w:tc>
        <w:tc>
          <w:tcPr>
            <w:tcW w:w="1706" w:type="dxa"/>
            <w:shd w:val="clear" w:color="auto" w:fill="auto"/>
            <w:vAlign w:val="center"/>
          </w:tcPr>
          <w:p w14:paraId="7A14FD1A">
            <w:pPr>
              <w:pStyle w:val="31"/>
              <w:bidi w:val="0"/>
              <w:rPr>
                <w:color w:val="auto"/>
                <w:lang w:val="zh-CN" w:eastAsia="zh-CN"/>
              </w:rPr>
            </w:pPr>
            <w:r>
              <w:rPr>
                <w:color w:val="auto"/>
                <w:lang w:val="zh-CN" w:eastAsia="zh-CN"/>
              </w:rPr>
              <w:t>方案一陆上方</w:t>
            </w:r>
          </w:p>
        </w:tc>
        <w:tc>
          <w:tcPr>
            <w:tcW w:w="850" w:type="dxa"/>
            <w:shd w:val="clear" w:color="auto" w:fill="auto"/>
            <w:vAlign w:val="center"/>
          </w:tcPr>
          <w:p w14:paraId="123ED3AC">
            <w:pPr>
              <w:pStyle w:val="31"/>
              <w:bidi w:val="0"/>
              <w:rPr>
                <w:color w:val="auto"/>
                <w:lang w:val="zh-CN" w:eastAsia="zh-CN"/>
              </w:rPr>
            </w:pPr>
            <w:r>
              <w:rPr>
                <w:color w:val="auto"/>
                <w:lang w:val="zh-CN" w:eastAsia="zh-CN"/>
              </w:rPr>
              <w:t>万方</w:t>
            </w:r>
          </w:p>
        </w:tc>
        <w:tc>
          <w:tcPr>
            <w:tcW w:w="1701" w:type="dxa"/>
            <w:shd w:val="clear" w:color="auto" w:fill="auto"/>
            <w:vAlign w:val="center"/>
          </w:tcPr>
          <w:p w14:paraId="0F4B1F77">
            <w:pPr>
              <w:pStyle w:val="31"/>
              <w:bidi w:val="0"/>
              <w:rPr>
                <w:rFonts w:hint="default" w:eastAsia="宋体"/>
                <w:color w:val="auto"/>
                <w:lang w:val="en-US" w:eastAsia="zh-CN"/>
              </w:rPr>
            </w:pPr>
            <w:r>
              <w:rPr>
                <w:rFonts w:hint="eastAsia"/>
                <w:color w:val="auto"/>
                <w:lang w:val="en-US" w:eastAsia="zh-CN"/>
              </w:rPr>
              <w:t>78.61</w:t>
            </w:r>
          </w:p>
        </w:tc>
        <w:tc>
          <w:tcPr>
            <w:tcW w:w="4492" w:type="dxa"/>
            <w:shd w:val="clear" w:color="auto" w:fill="auto"/>
            <w:vAlign w:val="center"/>
          </w:tcPr>
          <w:p w14:paraId="5002D1A0">
            <w:pPr>
              <w:pStyle w:val="31"/>
              <w:bidi w:val="0"/>
              <w:rPr>
                <w:color w:val="auto"/>
                <w:lang w:val="zh-CN" w:eastAsia="zh-CN"/>
              </w:rPr>
            </w:pPr>
            <w:r>
              <w:rPr>
                <w:color w:val="auto"/>
                <w:lang w:val="zh-CN" w:eastAsia="zh-CN"/>
              </w:rPr>
              <w:t>采用挖掘机+自卸汽车</w:t>
            </w:r>
            <w:r>
              <w:rPr>
                <w:rFonts w:hint="eastAsia"/>
                <w:color w:val="auto"/>
                <w:lang w:val="zh-CN" w:eastAsia="zh-CN"/>
              </w:rPr>
              <w:t>，</w:t>
            </w:r>
            <w:r>
              <w:rPr>
                <w:color w:val="auto"/>
                <w:lang w:val="zh-CN" w:eastAsia="zh-CN"/>
              </w:rPr>
              <w:t>平均运距11公里，平均抛高</w:t>
            </w:r>
            <w:r>
              <w:rPr>
                <w:rFonts w:hint="eastAsia"/>
                <w:color w:val="auto"/>
                <w:lang w:val="zh-CN"/>
              </w:rPr>
              <w:t>3.4</w:t>
            </w:r>
            <w:r>
              <w:rPr>
                <w:color w:val="auto"/>
                <w:lang w:val="zh-CN" w:eastAsia="zh-CN"/>
              </w:rPr>
              <w:t>m。</w:t>
            </w:r>
          </w:p>
        </w:tc>
      </w:tr>
      <w:tr w14:paraId="3F898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restart"/>
            <w:shd w:val="clear" w:color="auto" w:fill="auto"/>
            <w:vAlign w:val="center"/>
          </w:tcPr>
          <w:p w14:paraId="63DE23B0">
            <w:pPr>
              <w:pStyle w:val="31"/>
              <w:bidi w:val="0"/>
              <w:rPr>
                <w:color w:val="auto"/>
                <w:lang w:val="zh-CN" w:eastAsia="zh-CN"/>
              </w:rPr>
            </w:pPr>
            <w:r>
              <w:rPr>
                <w:color w:val="auto"/>
                <w:lang w:val="zh-CN" w:eastAsia="zh-CN"/>
              </w:rPr>
              <w:t>弃土区</w:t>
            </w:r>
          </w:p>
        </w:tc>
        <w:tc>
          <w:tcPr>
            <w:tcW w:w="1706" w:type="dxa"/>
            <w:shd w:val="clear" w:color="auto" w:fill="auto"/>
            <w:vAlign w:val="center"/>
          </w:tcPr>
          <w:p w14:paraId="5C0C0C59">
            <w:pPr>
              <w:pStyle w:val="31"/>
              <w:bidi w:val="0"/>
              <w:rPr>
                <w:color w:val="auto"/>
                <w:lang w:val="zh-CN" w:eastAsia="zh-CN"/>
              </w:rPr>
            </w:pPr>
            <w:r>
              <w:rPr>
                <w:color w:val="auto"/>
                <w:lang w:val="zh-CN" w:eastAsia="zh-CN"/>
              </w:rPr>
              <w:t>排水</w:t>
            </w:r>
          </w:p>
        </w:tc>
        <w:tc>
          <w:tcPr>
            <w:tcW w:w="850" w:type="dxa"/>
            <w:shd w:val="clear" w:color="auto" w:fill="auto"/>
            <w:vAlign w:val="center"/>
          </w:tcPr>
          <w:p w14:paraId="5542A45F">
            <w:pPr>
              <w:pStyle w:val="31"/>
              <w:bidi w:val="0"/>
              <w:rPr>
                <w:color w:val="auto"/>
                <w:lang w:val="zh-CN" w:eastAsia="zh-CN"/>
              </w:rPr>
            </w:pPr>
            <w:r>
              <w:rPr>
                <w:color w:val="auto"/>
                <w:lang w:val="zh-CN" w:eastAsia="zh-CN"/>
              </w:rPr>
              <w:t>项</w:t>
            </w:r>
          </w:p>
        </w:tc>
        <w:tc>
          <w:tcPr>
            <w:tcW w:w="1701" w:type="dxa"/>
            <w:shd w:val="clear" w:color="auto" w:fill="auto"/>
            <w:vAlign w:val="center"/>
          </w:tcPr>
          <w:p w14:paraId="78A8BBE1">
            <w:pPr>
              <w:pStyle w:val="31"/>
              <w:bidi w:val="0"/>
              <w:rPr>
                <w:color w:val="auto"/>
                <w:lang w:val="zh-CN" w:eastAsia="zh-CN"/>
              </w:rPr>
            </w:pPr>
            <w:r>
              <w:rPr>
                <w:color w:val="auto"/>
                <w:lang w:val="zh-CN" w:eastAsia="zh-CN"/>
              </w:rPr>
              <w:t>1.0</w:t>
            </w:r>
          </w:p>
        </w:tc>
        <w:tc>
          <w:tcPr>
            <w:tcW w:w="4492" w:type="dxa"/>
            <w:shd w:val="clear" w:color="auto" w:fill="auto"/>
            <w:vAlign w:val="center"/>
          </w:tcPr>
          <w:p w14:paraId="7C3CB21A">
            <w:pPr>
              <w:pStyle w:val="31"/>
              <w:bidi w:val="0"/>
              <w:rPr>
                <w:color w:val="auto"/>
                <w:lang w:val="zh-CN" w:eastAsia="zh-CN"/>
              </w:rPr>
            </w:pPr>
            <w:r>
              <w:rPr>
                <w:color w:val="auto"/>
                <w:lang w:val="zh-CN" w:eastAsia="zh-CN"/>
              </w:rPr>
              <w:t>弃土区内积周围排水处置</w:t>
            </w:r>
          </w:p>
        </w:tc>
      </w:tr>
      <w:tr w14:paraId="3ABA9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14:paraId="1A7E2EE2">
            <w:pPr>
              <w:pStyle w:val="31"/>
              <w:bidi w:val="0"/>
              <w:rPr>
                <w:color w:val="auto"/>
                <w:lang w:val="zh-CN" w:eastAsia="zh-CN"/>
              </w:rPr>
            </w:pPr>
          </w:p>
        </w:tc>
        <w:tc>
          <w:tcPr>
            <w:tcW w:w="1706" w:type="dxa"/>
            <w:shd w:val="clear" w:color="auto" w:fill="auto"/>
            <w:vAlign w:val="center"/>
          </w:tcPr>
          <w:p w14:paraId="75D95463">
            <w:pPr>
              <w:pStyle w:val="31"/>
              <w:bidi w:val="0"/>
              <w:rPr>
                <w:color w:val="auto"/>
                <w:lang w:val="zh-CN" w:eastAsia="zh-CN"/>
              </w:rPr>
            </w:pPr>
            <w:r>
              <w:rPr>
                <w:color w:val="auto"/>
                <w:lang w:val="zh-CN" w:eastAsia="zh-CN"/>
              </w:rPr>
              <w:t>钢丝防护网</w:t>
            </w:r>
          </w:p>
        </w:tc>
        <w:tc>
          <w:tcPr>
            <w:tcW w:w="850" w:type="dxa"/>
            <w:shd w:val="clear" w:color="auto" w:fill="auto"/>
            <w:vAlign w:val="center"/>
          </w:tcPr>
          <w:p w14:paraId="2D875453">
            <w:pPr>
              <w:pStyle w:val="31"/>
              <w:bidi w:val="0"/>
              <w:rPr>
                <w:color w:val="auto"/>
                <w:lang w:val="zh-CN" w:eastAsia="zh-CN"/>
              </w:rPr>
            </w:pPr>
            <w:r>
              <w:rPr>
                <w:color w:val="auto"/>
                <w:lang w:val="zh-CN" w:eastAsia="zh-CN"/>
              </w:rPr>
              <w:t>㎡</w:t>
            </w:r>
          </w:p>
        </w:tc>
        <w:tc>
          <w:tcPr>
            <w:tcW w:w="1701" w:type="dxa"/>
            <w:shd w:val="clear" w:color="auto" w:fill="auto"/>
            <w:vAlign w:val="center"/>
          </w:tcPr>
          <w:p w14:paraId="3BBABF75">
            <w:pPr>
              <w:pStyle w:val="31"/>
              <w:bidi w:val="0"/>
              <w:rPr>
                <w:color w:val="auto"/>
                <w:lang w:val="zh-CN" w:eastAsia="zh-CN"/>
              </w:rPr>
            </w:pPr>
            <w:r>
              <w:rPr>
                <w:color w:val="auto"/>
                <w:lang w:val="zh-CN" w:eastAsia="zh-CN"/>
              </w:rPr>
              <w:t>19418</w:t>
            </w:r>
          </w:p>
        </w:tc>
        <w:tc>
          <w:tcPr>
            <w:tcW w:w="4492" w:type="dxa"/>
            <w:shd w:val="clear" w:color="auto" w:fill="auto"/>
            <w:vAlign w:val="center"/>
          </w:tcPr>
          <w:p w14:paraId="064FB40A">
            <w:pPr>
              <w:pStyle w:val="31"/>
              <w:bidi w:val="0"/>
              <w:rPr>
                <w:color w:val="auto"/>
                <w:lang w:val="zh-CN" w:eastAsia="zh-CN"/>
              </w:rPr>
            </w:pPr>
          </w:p>
        </w:tc>
      </w:tr>
      <w:tr w14:paraId="053F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14:paraId="2246EA3A">
            <w:pPr>
              <w:pStyle w:val="31"/>
              <w:bidi w:val="0"/>
              <w:rPr>
                <w:color w:val="auto"/>
                <w:lang w:val="zh-CN" w:eastAsia="zh-CN"/>
              </w:rPr>
            </w:pPr>
          </w:p>
        </w:tc>
        <w:tc>
          <w:tcPr>
            <w:tcW w:w="1706" w:type="dxa"/>
            <w:shd w:val="clear" w:color="auto" w:fill="auto"/>
            <w:vAlign w:val="center"/>
          </w:tcPr>
          <w:p w14:paraId="1594777C">
            <w:pPr>
              <w:pStyle w:val="31"/>
              <w:bidi w:val="0"/>
              <w:rPr>
                <w:color w:val="auto"/>
                <w:lang w:val="zh-CN" w:eastAsia="zh-CN"/>
              </w:rPr>
            </w:pPr>
            <w:r>
              <w:rPr>
                <w:color w:val="auto"/>
                <w:lang w:val="zh-CN" w:eastAsia="zh-CN"/>
              </w:rPr>
              <w:t>草籽防护</w:t>
            </w:r>
          </w:p>
        </w:tc>
        <w:tc>
          <w:tcPr>
            <w:tcW w:w="850" w:type="dxa"/>
            <w:shd w:val="clear" w:color="auto" w:fill="auto"/>
            <w:vAlign w:val="center"/>
          </w:tcPr>
          <w:p w14:paraId="7BB87D4D">
            <w:pPr>
              <w:pStyle w:val="31"/>
              <w:bidi w:val="0"/>
              <w:rPr>
                <w:color w:val="auto"/>
                <w:lang w:val="zh-CN" w:eastAsia="zh-CN"/>
              </w:rPr>
            </w:pPr>
            <w:r>
              <w:rPr>
                <w:color w:val="auto"/>
                <w:lang w:val="zh-CN" w:eastAsia="zh-CN"/>
              </w:rPr>
              <w:t>㎡</w:t>
            </w:r>
          </w:p>
        </w:tc>
        <w:tc>
          <w:tcPr>
            <w:tcW w:w="1701" w:type="dxa"/>
            <w:shd w:val="clear" w:color="auto" w:fill="auto"/>
            <w:vAlign w:val="center"/>
          </w:tcPr>
          <w:p w14:paraId="6FABE815">
            <w:pPr>
              <w:pStyle w:val="31"/>
              <w:bidi w:val="0"/>
              <w:rPr>
                <w:color w:val="auto"/>
                <w:lang w:val="zh-CN" w:eastAsia="zh-CN"/>
              </w:rPr>
            </w:pPr>
            <w:r>
              <w:rPr>
                <w:color w:val="auto"/>
                <w:lang w:val="zh-CN" w:eastAsia="zh-CN"/>
              </w:rPr>
              <w:t>295175.0</w:t>
            </w:r>
          </w:p>
        </w:tc>
        <w:tc>
          <w:tcPr>
            <w:tcW w:w="4492" w:type="dxa"/>
            <w:shd w:val="clear" w:color="auto" w:fill="auto"/>
            <w:vAlign w:val="center"/>
          </w:tcPr>
          <w:p w14:paraId="30F36A3C">
            <w:pPr>
              <w:pStyle w:val="31"/>
              <w:bidi w:val="0"/>
              <w:rPr>
                <w:color w:val="auto"/>
                <w:lang w:val="zh-CN" w:eastAsia="zh-CN"/>
              </w:rPr>
            </w:pPr>
          </w:p>
        </w:tc>
      </w:tr>
    </w:tbl>
    <w:p w14:paraId="638A72E6">
      <w:pPr>
        <w:pStyle w:val="3"/>
        <w:bidi w:val="0"/>
        <w:ind w:left="480" w:leftChars="0" w:firstLineChars="0"/>
        <w:rPr>
          <w:rFonts w:hint="eastAsia"/>
          <w:color w:val="auto"/>
        </w:rPr>
      </w:pPr>
      <w:bookmarkStart w:id="104" w:name="_Toc8854"/>
      <w:r>
        <w:rPr>
          <w:rFonts w:hint="eastAsia"/>
          <w:color w:val="auto"/>
        </w:rPr>
        <w:t>施工总进度</w:t>
      </w:r>
      <w:bookmarkEnd w:id="104"/>
    </w:p>
    <w:p w14:paraId="40C9DFC1">
      <w:pPr>
        <w:pStyle w:val="4"/>
        <w:bidi w:val="0"/>
        <w:rPr>
          <w:rFonts w:hint="eastAsia"/>
          <w:color w:val="auto"/>
        </w:rPr>
      </w:pPr>
      <w:bookmarkStart w:id="105" w:name="_Toc27932"/>
      <w:r>
        <w:rPr>
          <w:rFonts w:hint="eastAsia"/>
          <w:color w:val="auto"/>
        </w:rPr>
        <w:t>施工进度安排原则</w:t>
      </w:r>
      <w:bookmarkEnd w:id="105"/>
    </w:p>
    <w:p w14:paraId="32594192">
      <w:pPr>
        <w:bidi w:val="0"/>
        <w:rPr>
          <w:rFonts w:hint="eastAsia"/>
          <w:color w:val="auto"/>
        </w:rPr>
      </w:pPr>
      <w:r>
        <w:rPr>
          <w:rFonts w:hint="eastAsia"/>
          <w:color w:val="auto"/>
        </w:rPr>
        <w:t>本项目主要包括</w:t>
      </w:r>
      <w:r>
        <w:rPr>
          <w:rFonts w:hint="eastAsia"/>
          <w:color w:val="auto"/>
          <w:lang w:val="en-US" w:eastAsia="zh-CN"/>
        </w:rPr>
        <w:t>抛泥区清理、临时道路及弃土区</w:t>
      </w:r>
      <w:r>
        <w:rPr>
          <w:rFonts w:hint="eastAsia"/>
          <w:color w:val="auto"/>
        </w:rPr>
        <w:t>等工程，施工过程基本不存在相互干扰，可独立施工。</w:t>
      </w:r>
    </w:p>
    <w:p w14:paraId="40FCB3F8">
      <w:pPr>
        <w:bidi w:val="0"/>
        <w:rPr>
          <w:rFonts w:hint="eastAsia"/>
          <w:color w:val="auto"/>
        </w:rPr>
      </w:pPr>
      <w:r>
        <w:rPr>
          <w:rFonts w:hint="eastAsia"/>
          <w:color w:val="auto"/>
        </w:rPr>
        <w:t>工程施工在资金及时到位、施工条件成熟的前提下，尽可能扩大施工工作面，缩短总工期，使工程总体效益能够尽早发挥，水下工程在枯水期内完成，施工总工期控制在一个枯水期内。</w:t>
      </w:r>
    </w:p>
    <w:p w14:paraId="61FE89F4">
      <w:pPr>
        <w:pStyle w:val="4"/>
        <w:bidi w:val="0"/>
        <w:rPr>
          <w:rFonts w:hint="eastAsia"/>
          <w:color w:val="auto"/>
        </w:rPr>
      </w:pPr>
      <w:bookmarkStart w:id="106" w:name="_Toc17966"/>
      <w:r>
        <w:rPr>
          <w:rFonts w:hint="eastAsia"/>
          <w:color w:val="auto"/>
        </w:rPr>
        <w:t>施工总工期</w:t>
      </w:r>
      <w:bookmarkEnd w:id="106"/>
    </w:p>
    <w:p w14:paraId="4E63CCC0">
      <w:pPr>
        <w:bidi w:val="0"/>
        <w:rPr>
          <w:rFonts w:hint="eastAsia"/>
          <w:color w:val="auto"/>
        </w:rPr>
      </w:pPr>
      <w:r>
        <w:rPr>
          <w:rFonts w:hint="eastAsia"/>
          <w:color w:val="auto"/>
        </w:rPr>
        <w:t>工程施工分一个年度进行，工期进度应与资金计划同步。工程施工前，应开展宣传、招投标、建设单位人员到位等工作。施工准备期自主体工程开工前的1个月开始，主要完成对外交通、场内交通、施工供水、供电、施工工厂设施、施工仓库等项目的建设。工程总工期为</w:t>
      </w:r>
      <w:r>
        <w:rPr>
          <w:rFonts w:hint="eastAsia"/>
          <w:color w:val="auto"/>
          <w:lang w:val="en-US" w:eastAsia="zh-CN"/>
        </w:rPr>
        <w:t>7</w:t>
      </w:r>
      <w:r>
        <w:rPr>
          <w:rFonts w:hint="eastAsia"/>
          <w:color w:val="auto"/>
        </w:rPr>
        <w:t>个月。</w:t>
      </w:r>
    </w:p>
    <w:p w14:paraId="269EC923">
      <w:pPr>
        <w:pStyle w:val="3"/>
        <w:bidi w:val="0"/>
        <w:ind w:left="480" w:leftChars="0" w:firstLineChars="0"/>
        <w:rPr>
          <w:rFonts w:hint="eastAsia"/>
          <w:color w:val="auto"/>
          <w:lang w:val="zh-CN" w:eastAsia="zh-CN"/>
        </w:rPr>
      </w:pPr>
      <w:bookmarkStart w:id="107" w:name="_Toc1784"/>
      <w:r>
        <w:rPr>
          <w:rFonts w:hint="eastAsia"/>
          <w:color w:val="auto"/>
          <w:lang w:val="zh-CN" w:eastAsia="zh-CN"/>
        </w:rPr>
        <w:t>工程分析</w:t>
      </w:r>
      <w:bookmarkEnd w:id="107"/>
    </w:p>
    <w:p w14:paraId="15614EDA">
      <w:pPr>
        <w:pStyle w:val="4"/>
        <w:bidi w:val="0"/>
        <w:rPr>
          <w:rFonts w:hint="eastAsia"/>
          <w:color w:val="auto"/>
        </w:rPr>
      </w:pPr>
      <w:bookmarkStart w:id="108" w:name="_Toc16069"/>
      <w:r>
        <w:rPr>
          <w:rFonts w:hint="eastAsia"/>
          <w:color w:val="auto"/>
        </w:rPr>
        <w:t>环境合理性分析</w:t>
      </w:r>
      <w:bookmarkEnd w:id="108"/>
    </w:p>
    <w:p w14:paraId="57E8AEB2">
      <w:pPr>
        <w:pStyle w:val="5"/>
        <w:bidi w:val="0"/>
        <w:rPr>
          <w:rFonts w:hint="eastAsia"/>
          <w:color w:val="auto"/>
        </w:rPr>
      </w:pPr>
      <w:r>
        <w:rPr>
          <w:rFonts w:hint="eastAsia"/>
          <w:color w:val="auto"/>
          <w:lang w:val="en-US" w:eastAsia="zh-CN"/>
        </w:rPr>
        <w:t>工程</w:t>
      </w:r>
      <w:r>
        <w:rPr>
          <w:rFonts w:hint="eastAsia"/>
          <w:color w:val="auto"/>
        </w:rPr>
        <w:t>选址合理性分析</w:t>
      </w:r>
    </w:p>
    <w:p w14:paraId="36C1B11D">
      <w:pPr>
        <w:rPr>
          <w:rFonts w:hint="eastAsia"/>
          <w:color w:val="auto"/>
        </w:rPr>
      </w:pPr>
      <w:r>
        <w:rPr>
          <w:rFonts w:hint="eastAsia"/>
          <w:color w:val="auto"/>
        </w:rPr>
        <w:t>（1）工程总体布置</w:t>
      </w:r>
    </w:p>
    <w:p w14:paraId="260630BF">
      <w:pPr>
        <w:rPr>
          <w:rFonts w:hint="eastAsia"/>
          <w:color w:val="auto"/>
        </w:rPr>
      </w:pPr>
      <w:r>
        <w:rPr>
          <w:rFonts w:hint="eastAsia"/>
          <w:color w:val="auto"/>
        </w:rPr>
        <w:t>工程临时征地主要为临时道路、抛泥区和弃土场占地等，生活办公用房考虑在在附近村镇租用。临时征地共计1076.21亩。</w:t>
      </w:r>
    </w:p>
    <w:p w14:paraId="53D95C27">
      <w:pPr>
        <w:rPr>
          <w:rFonts w:hint="eastAsia"/>
          <w:color w:val="auto"/>
        </w:rPr>
      </w:pPr>
      <w:r>
        <w:rPr>
          <w:rFonts w:hint="eastAsia"/>
          <w:color w:val="auto"/>
        </w:rPr>
        <w:t>本</w:t>
      </w:r>
      <w:r>
        <w:rPr>
          <w:rFonts w:hint="eastAsia"/>
          <w:color w:val="auto"/>
          <w:lang w:val="en-US" w:eastAsia="zh-CN"/>
        </w:rPr>
        <w:t>项目</w:t>
      </w:r>
      <w:r>
        <w:rPr>
          <w:rFonts w:hint="eastAsia"/>
          <w:color w:val="auto"/>
        </w:rPr>
        <w:t>工程设计</w:t>
      </w:r>
      <w:r>
        <w:rPr>
          <w:rFonts w:hint="eastAsia"/>
          <w:color w:val="auto"/>
          <w:lang w:val="en-US" w:eastAsia="zh-CN"/>
        </w:rPr>
        <w:t>无拆建</w:t>
      </w:r>
      <w:r>
        <w:rPr>
          <w:rFonts w:hint="eastAsia"/>
          <w:color w:val="auto"/>
          <w:lang w:eastAsia="zh-CN"/>
        </w:rPr>
        <w:t>，尽量减少</w:t>
      </w:r>
      <w:r>
        <w:rPr>
          <w:rFonts w:hint="eastAsia"/>
          <w:color w:val="auto"/>
          <w:lang w:val="en-US" w:eastAsia="zh-CN"/>
        </w:rPr>
        <w:t>临时</w:t>
      </w:r>
      <w:r>
        <w:rPr>
          <w:rFonts w:hint="eastAsia"/>
          <w:color w:val="auto"/>
        </w:rPr>
        <w:t>占地，从环境保护角度分析，工程总体布置合理。</w:t>
      </w:r>
    </w:p>
    <w:p w14:paraId="041917CC">
      <w:pPr>
        <w:rPr>
          <w:rFonts w:hint="eastAsia"/>
          <w:color w:val="auto"/>
        </w:rPr>
      </w:pPr>
      <w:r>
        <w:rPr>
          <w:rFonts w:hint="eastAsia"/>
          <w:color w:val="auto"/>
        </w:rPr>
        <w:t>（2）</w:t>
      </w:r>
      <w:r>
        <w:rPr>
          <w:rFonts w:hint="eastAsia"/>
          <w:color w:val="auto"/>
          <w:lang w:val="en-US" w:eastAsia="zh-CN"/>
        </w:rPr>
        <w:t>杏花村省级湿地公园</w:t>
      </w:r>
      <w:r>
        <w:rPr>
          <w:rFonts w:hint="eastAsia"/>
          <w:color w:val="auto"/>
        </w:rPr>
        <w:t>内施工的环境合理性分析</w:t>
      </w:r>
    </w:p>
    <w:p w14:paraId="55CF0179">
      <w:pPr>
        <w:rPr>
          <w:rFonts w:hint="eastAsia"/>
          <w:color w:val="auto"/>
        </w:rPr>
      </w:pPr>
      <w:r>
        <w:rPr>
          <w:rFonts w:hint="eastAsia"/>
          <w:color w:val="auto"/>
        </w:rPr>
        <w:t>根据项目建设情况</w:t>
      </w:r>
      <w:r>
        <w:rPr>
          <w:rFonts w:hint="eastAsia"/>
          <w:color w:val="auto"/>
          <w:lang w:eastAsia="zh-CN"/>
        </w:rPr>
        <w:t>，</w:t>
      </w:r>
      <w:r>
        <w:rPr>
          <w:rFonts w:hint="eastAsia"/>
          <w:color w:val="auto"/>
          <w:lang w:val="en-US" w:eastAsia="zh-CN"/>
        </w:rPr>
        <w:t>本项目5号抛泥区及6号抛泥区位于杏花村省级湿地公园，具有不可避让性</w:t>
      </w:r>
      <w:r>
        <w:rPr>
          <w:rFonts w:hint="eastAsia"/>
          <w:color w:val="auto"/>
        </w:rPr>
        <w:t>。</w:t>
      </w:r>
    </w:p>
    <w:p w14:paraId="3D483D39">
      <w:pPr>
        <w:rPr>
          <w:rFonts w:hint="eastAsia" w:eastAsia="宋体"/>
          <w:color w:val="auto"/>
          <w:lang w:eastAsia="zh-CN"/>
        </w:rPr>
      </w:pPr>
      <w:r>
        <w:rPr>
          <w:rFonts w:hint="eastAsia"/>
          <w:color w:val="auto"/>
        </w:rPr>
        <w:t>根据《安徽省湿地保护条例》等相关法律法规的规定，</w:t>
      </w:r>
      <w:r>
        <w:rPr>
          <w:rFonts w:hint="eastAsia"/>
          <w:color w:val="auto"/>
          <w:lang w:eastAsia="zh-CN"/>
        </w:rPr>
        <w:t>“</w:t>
      </w:r>
      <w:r>
        <w:rPr>
          <w:rFonts w:hint="eastAsia"/>
          <w:color w:val="auto"/>
        </w:rPr>
        <w:t>第二</w:t>
      </w:r>
      <w:r>
        <w:rPr>
          <w:rFonts w:hint="eastAsia"/>
          <w:color w:val="auto"/>
          <w:lang w:val="en-US" w:eastAsia="zh-CN"/>
        </w:rPr>
        <w:t>十</w:t>
      </w:r>
      <w:r>
        <w:rPr>
          <w:rFonts w:hint="eastAsia"/>
          <w:color w:val="auto"/>
        </w:rPr>
        <w:t>一条在重要湿地保护范围内禁止下列行为</w:t>
      </w:r>
      <w:r>
        <w:rPr>
          <w:rFonts w:hint="eastAsia"/>
          <w:color w:val="auto"/>
          <w:lang w:eastAsia="zh-CN"/>
        </w:rPr>
        <w:t>：（</w:t>
      </w:r>
      <w:r>
        <w:rPr>
          <w:rFonts w:hint="eastAsia"/>
          <w:color w:val="auto"/>
        </w:rPr>
        <w:t>一</w:t>
      </w:r>
      <w:r>
        <w:rPr>
          <w:rFonts w:hint="eastAsia"/>
          <w:color w:val="auto"/>
          <w:lang w:eastAsia="zh-CN"/>
        </w:rPr>
        <w:t>）</w:t>
      </w:r>
      <w:r>
        <w:rPr>
          <w:rFonts w:hint="eastAsia"/>
          <w:color w:val="auto"/>
        </w:rPr>
        <w:t>擅自开垦、围垦、填埋等改变湿地用途或者占用湿地</w:t>
      </w:r>
      <w:r>
        <w:rPr>
          <w:rFonts w:hint="eastAsia"/>
          <w:color w:val="auto"/>
          <w:lang w:eastAsia="zh-CN"/>
        </w:rPr>
        <w:t>；（</w:t>
      </w:r>
      <w:r>
        <w:rPr>
          <w:rFonts w:hint="eastAsia"/>
          <w:color w:val="auto"/>
        </w:rPr>
        <w:t>二</w:t>
      </w:r>
      <w:r>
        <w:rPr>
          <w:rFonts w:hint="eastAsia"/>
          <w:color w:val="auto"/>
          <w:lang w:eastAsia="zh-CN"/>
        </w:rPr>
        <w:t>）</w:t>
      </w:r>
      <w:r>
        <w:rPr>
          <w:rFonts w:hint="eastAsia"/>
          <w:color w:val="auto"/>
        </w:rPr>
        <w:t>擅自建造建筑物、构筑物</w:t>
      </w:r>
      <w:r>
        <w:rPr>
          <w:rFonts w:hint="eastAsia"/>
          <w:color w:val="auto"/>
          <w:lang w:eastAsia="zh-CN"/>
        </w:rPr>
        <w:t>；（</w:t>
      </w:r>
      <w:r>
        <w:rPr>
          <w:rFonts w:hint="eastAsia"/>
          <w:color w:val="auto"/>
        </w:rPr>
        <w:t>三</w:t>
      </w:r>
      <w:r>
        <w:rPr>
          <w:rFonts w:hint="eastAsia"/>
          <w:color w:val="auto"/>
          <w:lang w:eastAsia="zh-CN"/>
        </w:rPr>
        <w:t>）</w:t>
      </w:r>
      <w:r>
        <w:rPr>
          <w:rFonts w:hint="eastAsia"/>
          <w:color w:val="auto"/>
        </w:rPr>
        <w:t>擅自采砂、取土、放牧、烧荒</w:t>
      </w:r>
      <w:r>
        <w:rPr>
          <w:rFonts w:hint="eastAsia"/>
          <w:color w:val="auto"/>
          <w:lang w:eastAsia="zh-CN"/>
        </w:rPr>
        <w:t>；（</w:t>
      </w:r>
      <w:r>
        <w:rPr>
          <w:rFonts w:hint="eastAsia"/>
          <w:color w:val="auto"/>
        </w:rPr>
        <w:t>四</w:t>
      </w:r>
      <w:r>
        <w:rPr>
          <w:rFonts w:hint="eastAsia"/>
          <w:color w:val="auto"/>
          <w:lang w:eastAsia="zh-CN"/>
        </w:rPr>
        <w:t>）</w:t>
      </w:r>
      <w:r>
        <w:rPr>
          <w:rFonts w:hint="eastAsia"/>
          <w:color w:val="auto"/>
        </w:rPr>
        <w:t>擅自排放湿地水资源或者修建阻水、排水设施</w:t>
      </w:r>
      <w:r>
        <w:rPr>
          <w:rFonts w:hint="eastAsia"/>
          <w:color w:val="auto"/>
          <w:lang w:eastAsia="zh-CN"/>
        </w:rPr>
        <w:t>；（</w:t>
      </w:r>
      <w:r>
        <w:rPr>
          <w:rFonts w:hint="eastAsia"/>
          <w:color w:val="auto"/>
        </w:rPr>
        <w:t>五</w:t>
      </w:r>
      <w:r>
        <w:rPr>
          <w:rFonts w:hint="eastAsia"/>
          <w:color w:val="auto"/>
          <w:lang w:eastAsia="zh-CN"/>
        </w:rPr>
        <w:t>）</w:t>
      </w:r>
      <w:r>
        <w:rPr>
          <w:rFonts w:hint="eastAsia"/>
          <w:color w:val="auto"/>
        </w:rPr>
        <w:t>排放或者倾倒有毒有害物质、废弃物，或者排放未达标的废水</w:t>
      </w:r>
      <w:r>
        <w:rPr>
          <w:rFonts w:hint="eastAsia"/>
          <w:color w:val="auto"/>
          <w:lang w:eastAsia="zh-CN"/>
        </w:rPr>
        <w:t>；（</w:t>
      </w:r>
      <w:r>
        <w:rPr>
          <w:rFonts w:hint="eastAsia"/>
          <w:color w:val="auto"/>
        </w:rPr>
        <w:t>六</w:t>
      </w:r>
      <w:r>
        <w:rPr>
          <w:rFonts w:hint="eastAsia"/>
          <w:color w:val="auto"/>
          <w:lang w:eastAsia="zh-CN"/>
        </w:rPr>
        <w:t>）</w:t>
      </w:r>
      <w:r>
        <w:rPr>
          <w:rFonts w:hint="eastAsia"/>
          <w:color w:val="auto"/>
        </w:rPr>
        <w:t>破坏野生动物繁殖区和栖息地、鱼类洄游通道</w:t>
      </w:r>
      <w:r>
        <w:rPr>
          <w:rFonts w:hint="eastAsia"/>
          <w:color w:val="auto"/>
          <w:lang w:eastAsia="zh-CN"/>
        </w:rPr>
        <w:t>；（</w:t>
      </w:r>
      <w:r>
        <w:rPr>
          <w:rFonts w:hint="eastAsia"/>
          <w:color w:val="auto"/>
        </w:rPr>
        <w:t>七</w:t>
      </w:r>
      <w:r>
        <w:rPr>
          <w:rFonts w:hint="eastAsia"/>
          <w:color w:val="auto"/>
          <w:lang w:eastAsia="zh-CN"/>
        </w:rPr>
        <w:t>）</w:t>
      </w:r>
      <w:r>
        <w:rPr>
          <w:rFonts w:hint="eastAsia"/>
          <w:color w:val="auto"/>
        </w:rPr>
        <w:t>毒杀、电杀或者擅自猎捕水鸟及其他野生动物，捡拾、收售动物卵，或者采用灭绝性方式捕捞鱼类及其他水生生物</w:t>
      </w:r>
      <w:r>
        <w:rPr>
          <w:rFonts w:hint="eastAsia"/>
          <w:color w:val="auto"/>
          <w:lang w:eastAsia="zh-CN"/>
        </w:rPr>
        <w:t>；（</w:t>
      </w:r>
      <w:r>
        <w:rPr>
          <w:rFonts w:hint="eastAsia"/>
          <w:color w:val="auto"/>
        </w:rPr>
        <w:t>八</w:t>
      </w:r>
      <w:r>
        <w:rPr>
          <w:rFonts w:hint="eastAsia"/>
          <w:color w:val="auto"/>
          <w:lang w:eastAsia="zh-CN"/>
        </w:rPr>
        <w:t>）</w:t>
      </w:r>
      <w:r>
        <w:rPr>
          <w:rFonts w:hint="eastAsia"/>
          <w:color w:val="auto"/>
        </w:rPr>
        <w:t>擅自采挖重点保护野生植物</w:t>
      </w:r>
      <w:r>
        <w:rPr>
          <w:rFonts w:hint="eastAsia"/>
          <w:color w:val="auto"/>
          <w:lang w:eastAsia="zh-CN"/>
        </w:rPr>
        <w:t>；（</w:t>
      </w:r>
      <w:r>
        <w:rPr>
          <w:rFonts w:hint="eastAsia"/>
          <w:color w:val="auto"/>
        </w:rPr>
        <w:t>九</w:t>
      </w:r>
      <w:r>
        <w:rPr>
          <w:rFonts w:hint="eastAsia"/>
          <w:color w:val="auto"/>
          <w:lang w:eastAsia="zh-CN"/>
        </w:rPr>
        <w:t>）</w:t>
      </w:r>
      <w:r>
        <w:rPr>
          <w:rFonts w:hint="eastAsia"/>
          <w:color w:val="auto"/>
        </w:rPr>
        <w:t>未经许可引进外来物种</w:t>
      </w:r>
      <w:r>
        <w:rPr>
          <w:rFonts w:hint="eastAsia"/>
          <w:color w:val="auto"/>
          <w:lang w:eastAsia="zh-CN"/>
        </w:rPr>
        <w:t>；（</w:t>
      </w:r>
      <w:r>
        <w:rPr>
          <w:rFonts w:hint="eastAsia"/>
          <w:color w:val="auto"/>
        </w:rPr>
        <w:t>十</w:t>
      </w:r>
      <w:r>
        <w:rPr>
          <w:rFonts w:hint="eastAsia"/>
          <w:color w:val="auto"/>
          <w:lang w:eastAsia="zh-CN"/>
        </w:rPr>
        <w:t>）</w:t>
      </w:r>
      <w:r>
        <w:rPr>
          <w:rFonts w:hint="eastAsia"/>
          <w:color w:val="auto"/>
        </w:rPr>
        <w:t>法律、法规禁止的其他行为。</w:t>
      </w:r>
      <w:r>
        <w:rPr>
          <w:rFonts w:hint="eastAsia"/>
          <w:color w:val="auto"/>
          <w:lang w:eastAsia="zh-CN"/>
        </w:rPr>
        <w:t>”</w:t>
      </w:r>
    </w:p>
    <w:p w14:paraId="5EC0BC25">
      <w:pPr>
        <w:rPr>
          <w:rFonts w:hint="eastAsia"/>
          <w:color w:val="auto"/>
        </w:rPr>
      </w:pPr>
      <w:r>
        <w:rPr>
          <w:rFonts w:hint="eastAsia"/>
          <w:color w:val="auto"/>
        </w:rPr>
        <w:t>经分析，</w:t>
      </w:r>
      <w:r>
        <w:rPr>
          <w:rFonts w:hint="eastAsia"/>
          <w:color w:val="auto"/>
          <w:lang w:val="en-US" w:eastAsia="zh-CN"/>
        </w:rPr>
        <w:t>一方面，</w:t>
      </w:r>
      <w:r>
        <w:rPr>
          <w:rFonts w:hint="eastAsia"/>
          <w:color w:val="auto"/>
        </w:rPr>
        <w:t>本工程</w:t>
      </w:r>
      <w:r>
        <w:rPr>
          <w:rFonts w:hint="eastAsia"/>
          <w:color w:val="auto"/>
          <w:lang w:val="en-US" w:eastAsia="zh-CN"/>
        </w:rPr>
        <w:t>仅开挖清理湿地内堆放的河道底泥，不涉及以上内容，</w:t>
      </w:r>
      <w:r>
        <w:rPr>
          <w:rFonts w:hint="eastAsia"/>
          <w:color w:val="auto"/>
        </w:rPr>
        <w:t>运营期不排放污染物，不设置排污口</w:t>
      </w:r>
      <w:r>
        <w:rPr>
          <w:rFonts w:hint="eastAsia"/>
          <w:color w:val="auto"/>
          <w:lang w:eastAsia="zh-CN"/>
        </w:rPr>
        <w:t>，</w:t>
      </w:r>
      <w:r>
        <w:rPr>
          <w:rFonts w:hint="eastAsia"/>
          <w:color w:val="auto"/>
          <w:lang w:val="en-US" w:eastAsia="zh-CN"/>
        </w:rPr>
        <w:t>施工期对环境影响较小，另一方面</w:t>
      </w:r>
      <w:r>
        <w:rPr>
          <w:rFonts w:hint="eastAsia"/>
          <w:color w:val="auto"/>
        </w:rPr>
        <w:t>，</w:t>
      </w:r>
      <w:r>
        <w:rPr>
          <w:rFonts w:hint="eastAsia"/>
          <w:color w:val="auto"/>
          <w:lang w:val="en-US" w:eastAsia="zh-CN"/>
        </w:rPr>
        <w:t>本项目位于安徽贵池杏花村省级湿地公园湿地恢复区，项目实施清除湿地恢复区内抛泥区底泥，对湿地生境进行恢复，符合湿地恢复区的建设目标及建设内容。，</w:t>
      </w:r>
      <w:r>
        <w:rPr>
          <w:rFonts w:hint="eastAsia"/>
          <w:color w:val="auto"/>
        </w:rPr>
        <w:t>所以本工程建设和选址符合</w:t>
      </w:r>
      <w:r>
        <w:rPr>
          <w:rFonts w:hint="eastAsia"/>
          <w:color w:val="auto"/>
          <w:lang w:val="en-US" w:eastAsia="zh-CN"/>
        </w:rPr>
        <w:t>湿地</w:t>
      </w:r>
      <w:r>
        <w:rPr>
          <w:rFonts w:hint="eastAsia"/>
          <w:color w:val="auto"/>
        </w:rPr>
        <w:t>保护相关要求。</w:t>
      </w:r>
    </w:p>
    <w:p w14:paraId="5495BBC5">
      <w:pPr>
        <w:rPr>
          <w:rFonts w:hint="default"/>
          <w:color w:val="auto"/>
          <w:lang w:val="en-US" w:eastAsia="zh-CN"/>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lang w:val="en-US" w:eastAsia="zh-CN"/>
        </w:rPr>
        <w:t>生态保护红线环境合理性</w:t>
      </w:r>
    </w:p>
    <w:p w14:paraId="7D8E9A0F">
      <w:pPr>
        <w:rPr>
          <w:rFonts w:hint="eastAsia"/>
          <w:color w:val="auto"/>
          <w:lang w:eastAsia="zh-CN"/>
        </w:rPr>
      </w:pPr>
      <w:r>
        <w:rPr>
          <w:rFonts w:hint="eastAsia"/>
          <w:color w:val="auto"/>
          <w:lang w:eastAsia="zh-CN"/>
        </w:rPr>
        <w:t>本项目属于</w:t>
      </w:r>
      <w:r>
        <w:rPr>
          <w:rFonts w:hint="eastAsia"/>
          <w:color w:val="auto"/>
          <w:lang w:val="en-US" w:eastAsia="zh-CN"/>
        </w:rPr>
        <w:t>河湖整治</w:t>
      </w:r>
      <w:r>
        <w:rPr>
          <w:rFonts w:hint="eastAsia"/>
          <w:color w:val="auto"/>
          <w:lang w:eastAsia="zh-CN"/>
        </w:rPr>
        <w:t>工程，项目</w:t>
      </w:r>
      <w:r>
        <w:rPr>
          <w:rFonts w:hint="eastAsia"/>
          <w:color w:val="auto"/>
          <w:lang w:val="en-US" w:eastAsia="zh-CN"/>
        </w:rPr>
        <w:t>抛泥区</w:t>
      </w:r>
      <w:r>
        <w:rPr>
          <w:rFonts w:hint="eastAsia"/>
          <w:color w:val="auto"/>
          <w:lang w:eastAsia="zh-CN"/>
        </w:rPr>
        <w:t>施工范围</w:t>
      </w:r>
      <w:r>
        <w:rPr>
          <w:rFonts w:hint="eastAsia"/>
          <w:color w:val="auto"/>
          <w:lang w:val="en-US" w:eastAsia="zh-CN"/>
        </w:rPr>
        <w:t>扰动了生态保护红线</w:t>
      </w:r>
      <w:r>
        <w:rPr>
          <w:rFonts w:hint="eastAsia"/>
          <w:color w:val="auto"/>
          <w:lang w:eastAsia="zh-CN"/>
        </w:rPr>
        <w:t>。</w:t>
      </w:r>
      <w:r>
        <w:rPr>
          <w:rFonts w:hint="eastAsia"/>
          <w:color w:val="auto"/>
          <w:lang w:val="en-US" w:eastAsia="zh-CN"/>
        </w:rPr>
        <w:t>因此，</w:t>
      </w:r>
      <w:r>
        <w:rPr>
          <w:rFonts w:hint="eastAsia"/>
          <w:color w:val="auto"/>
          <w:lang w:eastAsia="zh-CN"/>
        </w:rPr>
        <w:t>本项目仅施工期会对区域生态环境产生一定影响，但在采取生态保护、恢复措施后，对区域生态环境影响较小；运行期该工程将体现</w:t>
      </w:r>
      <w:r>
        <w:rPr>
          <w:rFonts w:hint="eastAsia"/>
          <w:color w:val="auto"/>
          <w:lang w:val="en-US" w:eastAsia="zh-CN"/>
        </w:rPr>
        <w:t>生态环境</w:t>
      </w:r>
      <w:r>
        <w:rPr>
          <w:rFonts w:hint="eastAsia"/>
          <w:color w:val="auto"/>
          <w:lang w:eastAsia="zh-CN"/>
        </w:rPr>
        <w:t>正效益，对区域生态系统起到重要保护作用，不会影响生物多样性维护生态保护红线生态系统类型及生态功能。</w:t>
      </w:r>
    </w:p>
    <w:p w14:paraId="25A0AD7A">
      <w:pPr>
        <w:bidi w:val="0"/>
        <w:rPr>
          <w:rFonts w:hint="eastAsia"/>
          <w:color w:val="auto"/>
        </w:rPr>
      </w:pPr>
      <w:r>
        <w:rPr>
          <w:rFonts w:hint="eastAsia"/>
          <w:color w:val="auto"/>
          <w:lang w:val="en-US" w:eastAsia="zh-CN"/>
        </w:rPr>
        <w:t>综上，工程建设选址符合环境保护要求。</w:t>
      </w:r>
    </w:p>
    <w:p w14:paraId="7BCE6798">
      <w:pPr>
        <w:pStyle w:val="5"/>
        <w:bidi w:val="0"/>
        <w:rPr>
          <w:rFonts w:hint="eastAsia"/>
          <w:color w:val="auto"/>
          <w:lang w:val="en-US" w:eastAsia="zh-CN"/>
        </w:rPr>
      </w:pPr>
      <w:r>
        <w:rPr>
          <w:rFonts w:hint="eastAsia"/>
          <w:color w:val="auto"/>
          <w:lang w:val="en-US" w:eastAsia="zh-CN"/>
        </w:rPr>
        <w:t>临时施工场区选址合理性分析</w:t>
      </w:r>
    </w:p>
    <w:p w14:paraId="4FCBE502">
      <w:pPr>
        <w:rPr>
          <w:rFonts w:hint="eastAsia"/>
          <w:color w:val="auto"/>
          <w:lang w:eastAsia="zh-CN"/>
        </w:rPr>
      </w:pPr>
      <w:r>
        <w:rPr>
          <w:rFonts w:hint="eastAsia"/>
          <w:color w:val="auto"/>
          <w:lang w:val="en-US" w:eastAsia="zh-CN"/>
        </w:rPr>
        <w:t>本项目</w:t>
      </w:r>
      <w:r>
        <w:rPr>
          <w:rFonts w:hint="eastAsia"/>
          <w:color w:val="auto"/>
        </w:rPr>
        <w:t>工程区附近为</w:t>
      </w:r>
      <w:r>
        <w:rPr>
          <w:rFonts w:hint="eastAsia"/>
          <w:color w:val="auto"/>
          <w:lang w:val="en-US" w:eastAsia="zh-CN"/>
        </w:rPr>
        <w:t>重要湿地、农用地</w:t>
      </w:r>
      <w:r>
        <w:rPr>
          <w:rFonts w:hint="eastAsia"/>
          <w:color w:val="auto"/>
        </w:rPr>
        <w:t>和居民区，无可资利用的空地布置施工生产生活营地，结合本工程规模小，本项目施工建设期生活营地采用租赁的形式解决</w:t>
      </w:r>
      <w:r>
        <w:rPr>
          <w:rFonts w:hint="eastAsia"/>
          <w:color w:val="auto"/>
          <w:lang w:eastAsia="zh-CN"/>
        </w:rPr>
        <w:t>。</w:t>
      </w:r>
    </w:p>
    <w:p w14:paraId="36CF031C">
      <w:pPr>
        <w:rPr>
          <w:rFonts w:hint="eastAsia"/>
          <w:color w:val="auto"/>
          <w:lang w:val="en-US" w:eastAsia="zh-CN"/>
        </w:rPr>
      </w:pPr>
      <w:r>
        <w:rPr>
          <w:rFonts w:hint="eastAsia"/>
          <w:color w:val="auto"/>
          <w:lang w:val="en-US" w:eastAsia="zh-CN"/>
        </w:rPr>
        <w:t>本项目</w:t>
      </w:r>
      <w:r>
        <w:rPr>
          <w:color w:val="auto"/>
          <w:kern w:val="0"/>
          <w:szCs w:val="28"/>
        </w:rPr>
        <w:t>1号弃土区位于贵池区涓桥镇罗村，占地117.26亩，现状主要为开挖矿山低洼地，内部有临时道路交错；2号弃土区位于贵池区涓桥镇杨冲，占地285.25亩，现状为山体开挖的低洼地区。</w:t>
      </w:r>
    </w:p>
    <w:p w14:paraId="64E2B51A">
      <w:pPr>
        <w:rPr>
          <w:rFonts w:hint="eastAsia"/>
          <w:color w:val="auto"/>
          <w:lang w:eastAsia="zh-CN"/>
        </w:rPr>
      </w:pPr>
      <w:r>
        <w:rPr>
          <w:rFonts w:hint="eastAsia"/>
          <w:color w:val="auto"/>
          <w:lang w:val="en-US" w:eastAsia="zh-CN"/>
        </w:rPr>
        <w:t>弃土区设置在</w:t>
      </w:r>
      <w:r>
        <w:rPr>
          <w:rFonts w:hint="eastAsia"/>
          <w:color w:val="auto"/>
          <w:lang w:eastAsia="zh-CN"/>
        </w:rPr>
        <w:t>植被较少的</w:t>
      </w:r>
      <w:r>
        <w:rPr>
          <w:color w:val="auto"/>
          <w:kern w:val="0"/>
          <w:szCs w:val="28"/>
        </w:rPr>
        <w:t>开挖矿山低洼地</w:t>
      </w:r>
      <w:r>
        <w:rPr>
          <w:rFonts w:hint="eastAsia"/>
          <w:color w:val="auto"/>
          <w:kern w:val="0"/>
          <w:szCs w:val="28"/>
          <w:lang w:val="en-US" w:eastAsia="zh-CN"/>
        </w:rPr>
        <w:t>及</w:t>
      </w:r>
      <w:r>
        <w:rPr>
          <w:color w:val="auto"/>
          <w:kern w:val="0"/>
          <w:szCs w:val="28"/>
        </w:rPr>
        <w:t>山体开挖的低洼地区</w:t>
      </w:r>
      <w:r>
        <w:rPr>
          <w:rFonts w:hint="eastAsia"/>
          <w:color w:val="auto"/>
          <w:lang w:eastAsia="zh-CN"/>
        </w:rPr>
        <w:t>，生态影响较小，运距较短，避免了远距离运输产生粉尘和水土流失的影响。本项目主要运输路线为村村通公路，本项目车辆运输便捷可行。</w:t>
      </w:r>
    </w:p>
    <w:p w14:paraId="4E74CAC9">
      <w:pPr>
        <w:rPr>
          <w:rFonts w:hint="eastAsia"/>
          <w:color w:val="auto"/>
          <w:lang w:eastAsia="zh-CN"/>
        </w:rPr>
      </w:pPr>
      <w:r>
        <w:rPr>
          <w:rFonts w:hint="eastAsia"/>
          <w:color w:val="auto"/>
          <w:lang w:eastAsia="zh-CN"/>
        </w:rPr>
        <w:t>本项目施工场区内仅进行冲洗，已经在设计阶段减少工程建设可能的环境污染源，减少了环境污染物产生量；本项目弃土场占地为</w:t>
      </w:r>
      <w:r>
        <w:rPr>
          <w:color w:val="auto"/>
          <w:kern w:val="0"/>
          <w:szCs w:val="28"/>
        </w:rPr>
        <w:t>开挖矿山低洼地</w:t>
      </w:r>
      <w:r>
        <w:rPr>
          <w:rFonts w:hint="eastAsia"/>
          <w:color w:val="auto"/>
          <w:kern w:val="0"/>
          <w:szCs w:val="28"/>
          <w:lang w:val="en-US" w:eastAsia="zh-CN"/>
        </w:rPr>
        <w:t>及</w:t>
      </w:r>
      <w:r>
        <w:rPr>
          <w:color w:val="auto"/>
          <w:kern w:val="0"/>
          <w:szCs w:val="28"/>
        </w:rPr>
        <w:t>山体开挖的低洼地区</w:t>
      </w:r>
      <w:r>
        <w:rPr>
          <w:rFonts w:hint="eastAsia"/>
          <w:color w:val="auto"/>
          <w:lang w:eastAsia="zh-CN"/>
        </w:rPr>
        <w:t>，远离周边的居民，不在池州市贵池区生态</w:t>
      </w:r>
      <w:r>
        <w:rPr>
          <w:rFonts w:hint="eastAsia"/>
          <w:color w:val="auto"/>
          <w:lang w:val="en-US" w:eastAsia="zh-CN"/>
        </w:rPr>
        <w:t>保护</w:t>
      </w:r>
      <w:r>
        <w:rPr>
          <w:rFonts w:hint="eastAsia"/>
          <w:color w:val="auto"/>
          <w:lang w:eastAsia="zh-CN"/>
        </w:rPr>
        <w:t>红线范围内，弃土场和临时堆土场的粉尘和臭气对周围居民影响较小。</w:t>
      </w:r>
    </w:p>
    <w:p w14:paraId="00BEF1CA">
      <w:pPr>
        <w:rPr>
          <w:rFonts w:hint="eastAsia"/>
          <w:color w:val="auto"/>
          <w:lang w:eastAsia="zh-CN"/>
        </w:rPr>
      </w:pPr>
      <w:r>
        <w:rPr>
          <w:rFonts w:hint="eastAsia"/>
          <w:color w:val="auto"/>
          <w:lang w:eastAsia="zh-CN"/>
        </w:rPr>
        <w:t>环评要求做好</w:t>
      </w:r>
      <w:r>
        <w:rPr>
          <w:rFonts w:hint="eastAsia"/>
          <w:color w:val="auto"/>
          <w:lang w:val="en-US" w:eastAsia="zh-CN"/>
        </w:rPr>
        <w:t>弃土场</w:t>
      </w:r>
      <w:r>
        <w:rPr>
          <w:rFonts w:hint="eastAsia"/>
          <w:color w:val="auto"/>
          <w:lang w:eastAsia="zh-CN"/>
        </w:rPr>
        <w:t>周边排水沟、挡墙和表面覆盖等工程防护措施，降低水土流失和风吹产生的扬尘对大气环境的影响。淤泥应及时清运至</w:t>
      </w:r>
      <w:r>
        <w:rPr>
          <w:rFonts w:hint="eastAsia"/>
          <w:color w:val="auto"/>
          <w:lang w:val="en-US" w:eastAsia="zh-CN"/>
        </w:rPr>
        <w:t>弃土场</w:t>
      </w:r>
      <w:r>
        <w:rPr>
          <w:rFonts w:hint="eastAsia"/>
          <w:color w:val="auto"/>
          <w:lang w:eastAsia="zh-CN"/>
        </w:rPr>
        <w:t>进行晾晒，堆放时要用砂土等覆盖，这样既可以加快淤泥干化的速度，又可以避免淤泥产生的恶臭对周围环境产生明显影响，开挖的淤泥就近用于林地和其他市政工程的绿化覆土，淤泥在运输过程中按照指定路线运输，尽量避开居民集中区。施工结束后，对临时</w:t>
      </w:r>
      <w:r>
        <w:rPr>
          <w:rFonts w:hint="eastAsia"/>
          <w:color w:val="auto"/>
          <w:lang w:val="en-US" w:eastAsia="zh-CN"/>
        </w:rPr>
        <w:t>弃土场</w:t>
      </w:r>
      <w:r>
        <w:rPr>
          <w:rFonts w:hint="eastAsia"/>
          <w:color w:val="auto"/>
          <w:lang w:eastAsia="zh-CN"/>
        </w:rPr>
        <w:t>的临时占地应进行清理并采取植被恢复等措施。</w:t>
      </w:r>
    </w:p>
    <w:p w14:paraId="4A8229A0">
      <w:pPr>
        <w:rPr>
          <w:rFonts w:hint="eastAsia"/>
          <w:color w:val="auto"/>
          <w:lang w:eastAsia="zh-CN"/>
        </w:rPr>
      </w:pPr>
      <w:r>
        <w:rPr>
          <w:rFonts w:hint="eastAsia"/>
          <w:color w:val="auto"/>
        </w:rPr>
        <w:t>综上</w:t>
      </w:r>
      <w:r>
        <w:rPr>
          <w:rFonts w:hint="eastAsia"/>
          <w:color w:val="auto"/>
          <w:lang w:val="en-US" w:eastAsia="zh-CN"/>
        </w:rPr>
        <w:t>本</w:t>
      </w:r>
      <w:r>
        <w:rPr>
          <w:rFonts w:hint="eastAsia"/>
          <w:color w:val="auto"/>
        </w:rPr>
        <w:t>项目</w:t>
      </w:r>
      <w:r>
        <w:rPr>
          <w:rFonts w:hint="eastAsia"/>
          <w:color w:val="auto"/>
          <w:lang w:val="en-US" w:eastAsia="zh-CN"/>
        </w:rPr>
        <w:t>临时</w:t>
      </w:r>
      <w:r>
        <w:rPr>
          <w:rFonts w:hint="eastAsia"/>
          <w:color w:val="auto"/>
        </w:rPr>
        <w:t>施工</w:t>
      </w:r>
      <w:r>
        <w:rPr>
          <w:rFonts w:hint="eastAsia"/>
          <w:color w:val="auto"/>
          <w:lang w:val="en-US" w:eastAsia="zh-CN"/>
        </w:rPr>
        <w:t>场地</w:t>
      </w:r>
      <w:r>
        <w:rPr>
          <w:rFonts w:hint="eastAsia"/>
          <w:color w:val="auto"/>
        </w:rPr>
        <w:t>布置合理</w:t>
      </w:r>
      <w:r>
        <w:rPr>
          <w:rFonts w:hint="eastAsia"/>
          <w:color w:val="auto"/>
          <w:lang w:eastAsia="zh-CN"/>
        </w:rPr>
        <w:t>。</w:t>
      </w:r>
    </w:p>
    <w:p w14:paraId="5E8B9CBC">
      <w:pPr>
        <w:pStyle w:val="4"/>
        <w:bidi w:val="0"/>
        <w:rPr>
          <w:rFonts w:hint="eastAsia"/>
          <w:color w:val="auto"/>
          <w:lang w:val="zh-CN" w:eastAsia="zh-CN"/>
        </w:rPr>
      </w:pPr>
      <w:bookmarkStart w:id="109" w:name="_Toc20047"/>
      <w:r>
        <w:rPr>
          <w:rFonts w:hint="eastAsia"/>
          <w:color w:val="auto"/>
          <w:lang w:val="zh-CN" w:eastAsia="zh-CN"/>
        </w:rPr>
        <w:t>施工期环境污染源强分析</w:t>
      </w:r>
      <w:bookmarkEnd w:id="109"/>
    </w:p>
    <w:p w14:paraId="017F11BD">
      <w:pPr>
        <w:pStyle w:val="5"/>
        <w:bidi w:val="0"/>
        <w:rPr>
          <w:rFonts w:hint="eastAsia"/>
          <w:color w:val="auto"/>
          <w:lang w:val="zh-CN" w:eastAsia="zh-CN"/>
        </w:rPr>
      </w:pPr>
      <w:r>
        <w:rPr>
          <w:rFonts w:hint="eastAsia"/>
          <w:color w:val="auto"/>
          <w:lang w:val="zh-CN" w:eastAsia="zh-CN"/>
        </w:rPr>
        <w:t>工</w:t>
      </w:r>
      <w:r>
        <w:rPr>
          <w:rFonts w:hint="eastAsia"/>
          <w:color w:val="auto"/>
          <w:lang w:val="en-US" w:eastAsia="zh-CN"/>
        </w:rPr>
        <w:t>艺流程</w:t>
      </w:r>
    </w:p>
    <w:p w14:paraId="70529638">
      <w:pPr>
        <w:pStyle w:val="31"/>
        <w:bidi w:val="0"/>
        <w:rPr>
          <w:rFonts w:hint="eastAsia" w:eastAsia="宋体"/>
          <w:color w:val="auto"/>
          <w:lang w:eastAsia="zh-CN"/>
        </w:rPr>
      </w:pPr>
      <w:r>
        <w:rPr>
          <w:rFonts w:hint="eastAsia" w:eastAsia="宋体"/>
          <w:color w:val="auto"/>
          <w:lang w:eastAsia="zh-CN"/>
        </w:rPr>
        <w:object>
          <v:shape id="_x0000_i1025" o:spt="75" type="#_x0000_t75" style="height:167.25pt;width:261.9pt;" o:ole="t" filled="f" o:preferrelative="t" stroked="f" coordsize="21600,21600">
            <v:path/>
            <v:fill on="f" focussize="0,0"/>
            <v:stroke on="f"/>
            <v:imagedata r:id="rId31" cropleft="12937f" croptop="8948f" cropright="17460f" cropbottom="40703f" o:title=""/>
            <o:lock v:ext="edit" aspectratio="t"/>
            <w10:wrap type="none"/>
            <w10:anchorlock/>
          </v:shape>
          <o:OLEObject Type="Embed" ProgID="Visio.Drawing.15" ShapeID="_x0000_i1025" DrawAspect="Content" ObjectID="_1468075725" r:id="rId30">
            <o:LockedField>false</o:LockedField>
          </o:OLEObject>
        </w:object>
      </w:r>
    </w:p>
    <w:p w14:paraId="38F59368">
      <w:pPr>
        <w:pStyle w:val="11"/>
        <w:bidi w:val="0"/>
        <w:rPr>
          <w:rFonts w:hint="eastAsia"/>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3.4</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rFonts w:hint="eastAsia"/>
          <w:color w:val="auto"/>
        </w:rPr>
        <w:t>工艺流程图</w:t>
      </w:r>
    </w:p>
    <w:p w14:paraId="5811B3F6">
      <w:pPr>
        <w:rPr>
          <w:rFonts w:hint="eastAsia"/>
          <w:color w:val="auto"/>
          <w:lang w:val="zh-CN" w:eastAsia="zh-CN"/>
        </w:rPr>
      </w:pPr>
      <w:r>
        <w:rPr>
          <w:rFonts w:hint="eastAsia"/>
          <w:color w:val="auto"/>
          <w:lang w:val="zh-CN" w:eastAsia="zh-CN"/>
        </w:rPr>
        <w:t>1、测量放线</w:t>
      </w:r>
    </w:p>
    <w:p w14:paraId="60E2E084">
      <w:pPr>
        <w:rPr>
          <w:rFonts w:hint="eastAsia"/>
          <w:color w:val="auto"/>
          <w:lang w:val="zh-CN" w:eastAsia="zh-CN"/>
        </w:rPr>
      </w:pPr>
      <w:r>
        <w:rPr>
          <w:rFonts w:hint="eastAsia"/>
          <w:color w:val="auto"/>
          <w:lang w:val="zh-CN" w:eastAsia="zh-CN"/>
        </w:rPr>
        <w:t>根据设计图，组织与测量组进行图纸会审，图纸无误后组织测量组对取土场地进行实地踏勘测量，把并用红线在现场标记。</w:t>
      </w:r>
    </w:p>
    <w:p w14:paraId="5CD96E7A">
      <w:pPr>
        <w:rPr>
          <w:rFonts w:hint="eastAsia"/>
          <w:color w:val="auto"/>
          <w:lang w:val="zh-CN" w:eastAsia="zh-CN"/>
        </w:rPr>
      </w:pPr>
      <w:r>
        <w:rPr>
          <w:rFonts w:hint="eastAsia"/>
          <w:color w:val="auto"/>
          <w:lang w:val="zh-CN" w:eastAsia="zh-CN"/>
        </w:rPr>
        <w:t>2、清表土</w:t>
      </w:r>
    </w:p>
    <w:p w14:paraId="28DF1BB3">
      <w:pPr>
        <w:rPr>
          <w:rFonts w:hint="eastAsia"/>
          <w:color w:val="auto"/>
          <w:lang w:val="zh-CN" w:eastAsia="zh-CN"/>
        </w:rPr>
      </w:pPr>
      <w:r>
        <w:rPr>
          <w:rFonts w:hint="eastAsia"/>
          <w:color w:val="auto"/>
          <w:lang w:val="zh-CN" w:eastAsia="zh-CN"/>
        </w:rPr>
        <w:t>采用挖掘机将该区域的表植被和淤泥全部挖出，用自卸汽车运送到指定的位置，晾晒干后再运回弃土区备用。</w:t>
      </w:r>
    </w:p>
    <w:p w14:paraId="4C8D4EC6">
      <w:pPr>
        <w:rPr>
          <w:rFonts w:hint="eastAsia"/>
          <w:color w:val="auto"/>
          <w:lang w:val="zh-CN" w:eastAsia="zh-CN"/>
        </w:rPr>
      </w:pPr>
      <w:r>
        <w:rPr>
          <w:rFonts w:hint="eastAsia"/>
          <w:color w:val="auto"/>
          <w:lang w:val="zh-CN" w:eastAsia="zh-CN"/>
        </w:rPr>
        <w:t>3、土方开挖</w:t>
      </w:r>
    </w:p>
    <w:p w14:paraId="305EEF3B">
      <w:pPr>
        <w:rPr>
          <w:rFonts w:hint="eastAsia"/>
          <w:color w:val="auto"/>
          <w:lang w:val="zh-CN" w:eastAsia="zh-CN"/>
        </w:rPr>
      </w:pPr>
      <w:r>
        <w:rPr>
          <w:rFonts w:hint="eastAsia"/>
          <w:color w:val="auto"/>
          <w:lang w:val="zh-CN" w:eastAsia="zh-CN"/>
        </w:rPr>
        <w:t>取土的边坡一般为1：3，以便机械能上下移动。取土纵坡不小于0.2%，坑底高出附近水域的常水位或附近桥涵进水口标高，以便使取土坑的积水能及时排走。取土坑底横坡做成向路线外倾斜的坡度为2~3%的单向坡，当取土坑坑底宽度大于6m时，做成向中间倾斜的双向横坡，并在中部设置底宽为0.4m的纵向排水沟。取土开挖施工严格按照具体有关设计要求进行。土质及软石和强风化岩石开挖方法根据开挖深度和纵向长度，结合土方运输，开挖可选择横挖法，纵挖法和纵横混合开挖法，土方用推土机、装载机、自卸汽车将挖土方装运至弃土区，对土质坚硬地段采用推土机松动器松土施工。对软石和强风化岩石地段选择挖掘机挖装，自卸汽车运输的方式进行开挖施工。短而深的地段采用分层横向开挖法，每层2米左右。采用挖掘机、装载机配合自卸汽车运土。边开挖边修整边坡。</w:t>
      </w:r>
    </w:p>
    <w:p w14:paraId="4A6711AC">
      <w:pPr>
        <w:rPr>
          <w:rFonts w:hint="eastAsia"/>
          <w:color w:val="auto"/>
          <w:lang w:val="zh-CN" w:eastAsia="zh-CN"/>
        </w:rPr>
      </w:pPr>
      <w:r>
        <w:rPr>
          <w:rFonts w:hint="eastAsia"/>
          <w:color w:val="auto"/>
          <w:lang w:val="zh-CN" w:eastAsia="zh-CN"/>
        </w:rPr>
        <w:t>3、弃土施工</w:t>
      </w:r>
    </w:p>
    <w:p w14:paraId="08B9805A">
      <w:pPr>
        <w:rPr>
          <w:rFonts w:hint="eastAsia"/>
          <w:color w:val="auto"/>
          <w:lang w:val="zh-CN" w:eastAsia="zh-CN"/>
        </w:rPr>
      </w:pPr>
      <w:r>
        <w:rPr>
          <w:rFonts w:hint="eastAsia"/>
          <w:color w:val="auto"/>
          <w:lang w:val="zh-CN" w:eastAsia="zh-CN"/>
        </w:rPr>
        <w:t>自卸卡车从原抛泥区开挖处将土方从便道运送至弃土区倒土点，自行卸载。当弃土达到计划填土高度以后，用推土机或装载机将土向前推进，直至弃土区止点，完成弃土工作。</w:t>
      </w:r>
    </w:p>
    <w:p w14:paraId="5D1D3AF2">
      <w:pPr>
        <w:rPr>
          <w:rFonts w:hint="eastAsia"/>
          <w:color w:val="auto"/>
          <w:lang w:val="zh-CN" w:eastAsia="zh-CN"/>
        </w:rPr>
      </w:pPr>
      <w:r>
        <w:rPr>
          <w:rFonts w:hint="eastAsia"/>
          <w:color w:val="auto"/>
          <w:lang w:val="zh-CN" w:eastAsia="zh-CN"/>
        </w:rPr>
        <w:t>采用自下而上分层填筑的方式填碴，每层厚度3~5m，每层填筑前修筑好道路到坡面，然后顺坡面向下卸碴，并及时用推土机平整，为防止雨水冲刷坡玻面，平整后应形成倾向沟内的反坡，严禁采用自上而下倾倒的方式弃碴。</w:t>
      </w:r>
    </w:p>
    <w:p w14:paraId="5DF9338F">
      <w:pPr>
        <w:pStyle w:val="5"/>
        <w:bidi w:val="0"/>
        <w:rPr>
          <w:rFonts w:hint="eastAsia"/>
          <w:color w:val="auto"/>
          <w:lang w:val="zh-CN" w:eastAsia="zh-CN"/>
        </w:rPr>
      </w:pPr>
      <w:r>
        <w:rPr>
          <w:rFonts w:hint="eastAsia"/>
          <w:color w:val="auto"/>
          <w:lang w:val="zh-CN" w:eastAsia="zh-CN"/>
        </w:rPr>
        <w:t>施工期水环境污染源分析</w:t>
      </w:r>
    </w:p>
    <w:p w14:paraId="734962AD">
      <w:pPr>
        <w:bidi w:val="0"/>
        <w:rPr>
          <w:rFonts w:hint="eastAsia"/>
          <w:color w:val="auto"/>
          <w:lang w:val="zh-CN" w:eastAsia="zh-CN"/>
        </w:rPr>
      </w:pPr>
      <w:r>
        <w:rPr>
          <w:rFonts w:hint="eastAsia"/>
          <w:color w:val="auto"/>
          <w:lang w:val="zh-CN" w:eastAsia="zh-CN"/>
        </w:rPr>
        <w:t>工程施工期对地表水环境的影响主要是施工废水及生活污水。本工程施工废水主要为施工车辆、设备冲洗废水</w:t>
      </w:r>
      <w:r>
        <w:rPr>
          <w:rFonts w:hint="eastAsia"/>
          <w:color w:val="auto"/>
          <w:lang w:val="en-US" w:eastAsia="zh-CN"/>
        </w:rPr>
        <w:t>及</w:t>
      </w:r>
      <w:r>
        <w:rPr>
          <w:rFonts w:hint="eastAsia"/>
          <w:color w:val="auto"/>
          <w:lang w:val="zh-CN" w:eastAsia="zh-CN"/>
        </w:rPr>
        <w:t>开挖过程坑槽排水。生活污水主要来自工程施工期间施工人员日常生活产生的废水。</w:t>
      </w:r>
    </w:p>
    <w:p w14:paraId="4AA300F1">
      <w:pPr>
        <w:rPr>
          <w:rFonts w:hint="eastAsia"/>
          <w:color w:val="auto"/>
          <w:lang w:val="zh-CN" w:eastAsia="zh-CN"/>
        </w:rPr>
      </w:pPr>
      <w:r>
        <w:rPr>
          <w:rFonts w:hint="eastAsia"/>
          <w:color w:val="auto"/>
          <w:lang w:val="en-US" w:eastAsia="zh-CN"/>
        </w:rPr>
        <w:t>①施工车辆、设备冲洗废水</w:t>
      </w:r>
    </w:p>
    <w:p w14:paraId="116AED4E">
      <w:pPr>
        <w:rPr>
          <w:rFonts w:hint="eastAsia"/>
          <w:color w:val="auto"/>
          <w:lang w:val="zh-CN" w:eastAsia="zh-CN"/>
        </w:rPr>
      </w:pPr>
      <w:r>
        <w:rPr>
          <w:rFonts w:hint="eastAsia"/>
          <w:color w:val="auto"/>
          <w:lang w:val="zh-CN" w:eastAsia="zh-CN"/>
        </w:rPr>
        <w:t>本工程有挖掘机、推土机、自卸汽车等施工设备，本项目施工不设施工机械维修点，需维修的机械设备外协解决。施工</w:t>
      </w:r>
      <w:r>
        <w:rPr>
          <w:rFonts w:hint="eastAsia"/>
          <w:color w:val="auto"/>
          <w:lang w:val="en-US" w:eastAsia="zh-CN"/>
        </w:rPr>
        <w:t>期</w:t>
      </w:r>
      <w:r>
        <w:rPr>
          <w:rFonts w:hint="eastAsia"/>
          <w:color w:val="auto"/>
          <w:lang w:val="zh-CN" w:eastAsia="zh-CN"/>
        </w:rPr>
        <w:t>共产生</w:t>
      </w:r>
      <w:r>
        <w:rPr>
          <w:rFonts w:hint="eastAsia"/>
          <w:color w:val="auto"/>
          <w:lang w:val="en-US" w:eastAsia="zh-CN"/>
        </w:rPr>
        <w:t>140</w:t>
      </w:r>
      <w:r>
        <w:rPr>
          <w:rFonts w:hint="eastAsia"/>
          <w:color w:val="auto"/>
          <w:lang w:val="zh-CN" w:eastAsia="zh-CN"/>
        </w:rPr>
        <w:t>m</w:t>
      </w:r>
      <w:r>
        <w:rPr>
          <w:rFonts w:hint="eastAsia"/>
          <w:color w:val="auto"/>
          <w:vertAlign w:val="superscript"/>
          <w:lang w:val="zh-CN" w:eastAsia="zh-CN"/>
        </w:rPr>
        <w:t>3</w:t>
      </w:r>
      <w:r>
        <w:rPr>
          <w:rFonts w:hint="eastAsia"/>
          <w:color w:val="auto"/>
          <w:lang w:val="zh-CN" w:eastAsia="zh-CN"/>
        </w:rPr>
        <w:t>含油废水，主要污染物浓度为：COD取200mg/L，SS取4000mg/L，石油类取30mg/L。则施工期含</w:t>
      </w:r>
      <w:r>
        <w:rPr>
          <w:rFonts w:hint="eastAsia"/>
          <w:color w:val="auto"/>
          <w:highlight w:val="none"/>
          <w:lang w:val="zh-CN" w:eastAsia="zh-CN"/>
        </w:rPr>
        <w:t>油废水产生量为COD</w:t>
      </w:r>
      <w:r>
        <w:rPr>
          <w:rFonts w:hint="eastAsia"/>
          <w:color w:val="auto"/>
          <w:highlight w:val="none"/>
          <w:lang w:val="en-US" w:eastAsia="zh-CN"/>
        </w:rPr>
        <w:t>0.028</w:t>
      </w:r>
      <w:r>
        <w:rPr>
          <w:rFonts w:hint="eastAsia"/>
          <w:color w:val="auto"/>
          <w:highlight w:val="none"/>
          <w:lang w:val="zh-CN" w:eastAsia="zh-CN"/>
        </w:rPr>
        <w:t>t、SS</w:t>
      </w:r>
      <w:r>
        <w:rPr>
          <w:rFonts w:hint="eastAsia"/>
          <w:color w:val="auto"/>
          <w:highlight w:val="none"/>
          <w:lang w:val="en-US" w:eastAsia="zh-CN"/>
        </w:rPr>
        <w:t>0.56</w:t>
      </w:r>
      <w:r>
        <w:rPr>
          <w:rFonts w:hint="eastAsia"/>
          <w:color w:val="auto"/>
          <w:highlight w:val="none"/>
          <w:lang w:val="zh-CN" w:eastAsia="zh-CN"/>
        </w:rPr>
        <w:t>t、石油类0.0</w:t>
      </w:r>
      <w:r>
        <w:rPr>
          <w:rFonts w:hint="eastAsia"/>
          <w:color w:val="auto"/>
          <w:highlight w:val="none"/>
          <w:lang w:val="en-US" w:eastAsia="zh-CN"/>
        </w:rPr>
        <w:t>042</w:t>
      </w:r>
      <w:r>
        <w:rPr>
          <w:rFonts w:hint="eastAsia"/>
          <w:color w:val="auto"/>
          <w:highlight w:val="none"/>
          <w:lang w:val="zh-CN" w:eastAsia="zh-CN"/>
        </w:rPr>
        <w:t>t。</w:t>
      </w:r>
    </w:p>
    <w:p w14:paraId="287E45F5">
      <w:pPr>
        <w:bidi w:val="0"/>
        <w:rPr>
          <w:rFonts w:hint="eastAsia"/>
          <w:color w:val="auto"/>
          <w:lang w:val="zh-CN" w:eastAsia="zh-CN"/>
        </w:rPr>
      </w:pPr>
      <w:r>
        <w:rPr>
          <w:rFonts w:hint="eastAsia"/>
          <w:color w:val="auto"/>
          <w:lang w:val="en-US" w:eastAsia="zh-CN"/>
        </w:rPr>
        <w:t>②</w:t>
      </w:r>
      <w:r>
        <w:rPr>
          <w:rFonts w:hint="eastAsia"/>
          <w:color w:val="auto"/>
          <w:lang w:val="zh-CN" w:eastAsia="zh-CN"/>
        </w:rPr>
        <w:t>施工生活废水</w:t>
      </w:r>
    </w:p>
    <w:p w14:paraId="62A2A5C2">
      <w:pPr>
        <w:rPr>
          <w:rFonts w:hint="eastAsia"/>
          <w:color w:val="auto"/>
          <w:lang w:val="zh-CN" w:eastAsia="zh-CN"/>
        </w:rPr>
      </w:pPr>
      <w:r>
        <w:rPr>
          <w:rFonts w:hint="eastAsia"/>
          <w:color w:val="auto"/>
          <w:lang w:val="zh-CN" w:eastAsia="zh-CN"/>
        </w:rPr>
        <w:t>本项目施工人员住宿通过就近租住民宅解决，生活污水主要考虑来自施工人员产生日常生活废水。本工程施工期高峰日作业人员合计约</w:t>
      </w:r>
      <w:r>
        <w:rPr>
          <w:rFonts w:hint="eastAsia"/>
          <w:color w:val="auto"/>
          <w:lang w:val="en-US" w:eastAsia="zh-CN"/>
        </w:rPr>
        <w:t>1</w:t>
      </w:r>
      <w:r>
        <w:rPr>
          <w:rFonts w:hint="eastAsia"/>
          <w:color w:val="auto"/>
          <w:lang w:val="zh-CN" w:eastAsia="zh-CN"/>
        </w:rPr>
        <w:t>00人，生活用水按100L/人d计，则高峰生活用水量为</w:t>
      </w:r>
      <w:r>
        <w:rPr>
          <w:rFonts w:hint="eastAsia"/>
          <w:color w:val="auto"/>
          <w:lang w:val="en-US" w:eastAsia="zh-CN"/>
        </w:rPr>
        <w:t>1</w:t>
      </w:r>
      <w:r>
        <w:rPr>
          <w:rFonts w:hint="eastAsia"/>
          <w:color w:val="auto"/>
          <w:lang w:val="zh-CN" w:eastAsia="zh-CN"/>
        </w:rPr>
        <w:t>0.0m</w:t>
      </w:r>
      <w:r>
        <w:rPr>
          <w:rFonts w:hint="eastAsia"/>
          <w:color w:val="auto"/>
          <w:vertAlign w:val="superscript"/>
          <w:lang w:val="zh-CN" w:eastAsia="zh-CN"/>
        </w:rPr>
        <w:t>3</w:t>
      </w:r>
      <w:r>
        <w:rPr>
          <w:rFonts w:hint="eastAsia"/>
          <w:color w:val="auto"/>
          <w:lang w:val="zh-CN" w:eastAsia="zh-CN"/>
        </w:rPr>
        <w:t>/d，施工期</w:t>
      </w:r>
      <w:r>
        <w:rPr>
          <w:rFonts w:hint="eastAsia"/>
          <w:color w:val="auto"/>
          <w:lang w:val="en-US" w:eastAsia="zh-CN"/>
        </w:rPr>
        <w:t>7</w:t>
      </w:r>
      <w:r>
        <w:rPr>
          <w:rFonts w:hint="eastAsia"/>
          <w:color w:val="auto"/>
          <w:lang w:val="zh-CN" w:eastAsia="zh-CN"/>
        </w:rPr>
        <w:t>个月，按</w:t>
      </w:r>
      <w:r>
        <w:rPr>
          <w:rFonts w:hint="eastAsia"/>
          <w:color w:val="auto"/>
          <w:lang w:val="en-US" w:eastAsia="zh-CN"/>
        </w:rPr>
        <w:t>一个月</w:t>
      </w:r>
      <w:r>
        <w:rPr>
          <w:rFonts w:hint="eastAsia"/>
          <w:color w:val="auto"/>
          <w:lang w:val="zh-CN" w:eastAsia="zh-CN"/>
        </w:rPr>
        <w:t>施工</w:t>
      </w:r>
      <w:r>
        <w:rPr>
          <w:rFonts w:hint="eastAsia"/>
          <w:color w:val="auto"/>
          <w:lang w:val="en-US" w:eastAsia="zh-CN"/>
        </w:rPr>
        <w:t>30</w:t>
      </w:r>
      <w:r>
        <w:rPr>
          <w:rFonts w:hint="eastAsia"/>
          <w:color w:val="auto"/>
          <w:lang w:val="zh-CN" w:eastAsia="zh-CN"/>
        </w:rPr>
        <w:t>天计算，共计施工</w:t>
      </w:r>
      <w:r>
        <w:rPr>
          <w:rFonts w:hint="eastAsia"/>
          <w:color w:val="auto"/>
          <w:lang w:val="en-US" w:eastAsia="zh-CN"/>
        </w:rPr>
        <w:t>210</w:t>
      </w:r>
      <w:r>
        <w:rPr>
          <w:rFonts w:hint="eastAsia"/>
          <w:color w:val="auto"/>
          <w:lang w:val="zh-CN" w:eastAsia="zh-CN"/>
        </w:rPr>
        <w:t>天，则生活用水量共计</w:t>
      </w:r>
      <w:r>
        <w:rPr>
          <w:rFonts w:hint="eastAsia"/>
          <w:color w:val="auto"/>
          <w:lang w:val="en-US" w:eastAsia="zh-CN"/>
        </w:rPr>
        <w:t>2100m</w:t>
      </w:r>
      <w:r>
        <w:rPr>
          <w:rFonts w:hint="eastAsia"/>
          <w:color w:val="auto"/>
          <w:vertAlign w:val="superscript"/>
          <w:lang w:val="en-US" w:eastAsia="zh-CN"/>
        </w:rPr>
        <w:t>3</w:t>
      </w:r>
      <w:r>
        <w:rPr>
          <w:rFonts w:hint="eastAsia"/>
          <w:color w:val="auto"/>
          <w:vertAlign w:val="baseline"/>
          <w:lang w:val="en-US" w:eastAsia="zh-CN"/>
        </w:rPr>
        <w:t>（2100t）</w:t>
      </w:r>
      <w:r>
        <w:rPr>
          <w:rFonts w:hint="eastAsia"/>
          <w:color w:val="auto"/>
          <w:lang w:val="zh-CN" w:eastAsia="zh-CN"/>
        </w:rPr>
        <w:t>。生活污水产生量按用水量的80%计，约为</w:t>
      </w:r>
      <w:r>
        <w:rPr>
          <w:rFonts w:hint="eastAsia"/>
          <w:color w:val="auto"/>
          <w:lang w:val="en-US" w:eastAsia="zh-CN"/>
        </w:rPr>
        <w:t>8</w:t>
      </w:r>
      <w:r>
        <w:rPr>
          <w:rFonts w:hint="eastAsia"/>
          <w:color w:val="auto"/>
          <w:lang w:val="zh-CN" w:eastAsia="zh-CN"/>
        </w:rPr>
        <w:t>m</w:t>
      </w:r>
      <w:r>
        <w:rPr>
          <w:rFonts w:hint="eastAsia"/>
          <w:color w:val="auto"/>
          <w:vertAlign w:val="superscript"/>
          <w:lang w:val="zh-CN" w:eastAsia="zh-CN"/>
        </w:rPr>
        <w:t>3</w:t>
      </w:r>
      <w:r>
        <w:rPr>
          <w:rFonts w:hint="eastAsia"/>
          <w:color w:val="auto"/>
          <w:lang w:val="zh-CN" w:eastAsia="zh-CN"/>
        </w:rPr>
        <w:t>/d。废水中主要污染物主要为CODCr、BOD</w:t>
      </w:r>
      <w:r>
        <w:rPr>
          <w:rFonts w:hint="eastAsia"/>
          <w:color w:val="auto"/>
          <w:vertAlign w:val="subscript"/>
          <w:lang w:val="zh-CN" w:eastAsia="zh-CN"/>
        </w:rPr>
        <w:t>5</w:t>
      </w:r>
      <w:r>
        <w:rPr>
          <w:rFonts w:hint="eastAsia"/>
          <w:color w:val="auto"/>
          <w:lang w:val="zh-CN" w:eastAsia="zh-CN"/>
        </w:rPr>
        <w:t>和SS、NH</w:t>
      </w:r>
      <w:r>
        <w:rPr>
          <w:rFonts w:hint="eastAsia"/>
          <w:color w:val="auto"/>
          <w:vertAlign w:val="subscript"/>
          <w:lang w:val="zh-CN" w:eastAsia="zh-CN"/>
        </w:rPr>
        <w:t>3</w:t>
      </w:r>
      <w:r>
        <w:rPr>
          <w:rFonts w:hint="eastAsia"/>
          <w:color w:val="auto"/>
          <w:lang w:val="zh-CN" w:eastAsia="zh-CN"/>
        </w:rPr>
        <w:t>-N等，各污染物浓度：COD取350mg/L，BOD5取200mg/L，NH</w:t>
      </w:r>
      <w:r>
        <w:rPr>
          <w:rFonts w:hint="eastAsia"/>
          <w:color w:val="auto"/>
          <w:vertAlign w:val="subscript"/>
          <w:lang w:val="zh-CN" w:eastAsia="zh-CN"/>
        </w:rPr>
        <w:t>3</w:t>
      </w:r>
      <w:r>
        <w:rPr>
          <w:rFonts w:hint="eastAsia"/>
          <w:color w:val="auto"/>
          <w:lang w:val="zh-CN" w:eastAsia="zh-CN"/>
        </w:rPr>
        <w:t>-N取35mg/L，SS取250mg/L，则施工期废水中CODcr产生量为0.00</w:t>
      </w:r>
      <w:r>
        <w:rPr>
          <w:rFonts w:hint="eastAsia"/>
          <w:color w:val="auto"/>
          <w:lang w:val="en-US" w:eastAsia="zh-CN"/>
        </w:rPr>
        <w:t>28</w:t>
      </w:r>
      <w:r>
        <w:rPr>
          <w:rFonts w:hint="eastAsia"/>
          <w:color w:val="auto"/>
          <w:lang w:val="zh-CN" w:eastAsia="zh-CN"/>
        </w:rPr>
        <w:t>t/d，BOD</w:t>
      </w:r>
      <w:r>
        <w:rPr>
          <w:rFonts w:hint="eastAsia"/>
          <w:color w:val="auto"/>
          <w:vertAlign w:val="subscript"/>
          <w:lang w:val="zh-CN" w:eastAsia="zh-CN"/>
        </w:rPr>
        <w:t>5</w:t>
      </w:r>
      <w:r>
        <w:rPr>
          <w:rFonts w:hint="eastAsia"/>
          <w:color w:val="auto"/>
          <w:lang w:val="zh-CN" w:eastAsia="zh-CN"/>
        </w:rPr>
        <w:t>产生量为0.00</w:t>
      </w:r>
      <w:r>
        <w:rPr>
          <w:rFonts w:hint="eastAsia"/>
          <w:color w:val="auto"/>
          <w:lang w:val="en-US" w:eastAsia="zh-CN"/>
        </w:rPr>
        <w:t>16</w:t>
      </w:r>
      <w:r>
        <w:rPr>
          <w:rFonts w:hint="eastAsia"/>
          <w:color w:val="auto"/>
          <w:lang w:val="zh-CN" w:eastAsia="zh-CN"/>
        </w:rPr>
        <w:t>t/d，NH</w:t>
      </w:r>
      <w:r>
        <w:rPr>
          <w:rFonts w:hint="eastAsia"/>
          <w:color w:val="auto"/>
          <w:vertAlign w:val="subscript"/>
          <w:lang w:val="zh-CN" w:eastAsia="zh-CN"/>
        </w:rPr>
        <w:t>3</w:t>
      </w:r>
      <w:r>
        <w:rPr>
          <w:rFonts w:hint="eastAsia"/>
          <w:color w:val="auto"/>
          <w:lang w:val="zh-CN" w:eastAsia="zh-CN"/>
        </w:rPr>
        <w:t>-N产生量为0.000</w:t>
      </w:r>
      <w:r>
        <w:rPr>
          <w:rFonts w:hint="eastAsia"/>
          <w:color w:val="auto"/>
          <w:lang w:val="en-US" w:eastAsia="zh-CN"/>
        </w:rPr>
        <w:t>28</w:t>
      </w:r>
      <w:r>
        <w:rPr>
          <w:rFonts w:hint="eastAsia"/>
          <w:color w:val="auto"/>
          <w:lang w:val="zh-CN" w:eastAsia="zh-CN"/>
        </w:rPr>
        <w:t>t/d，SS产生量为0.00</w:t>
      </w:r>
      <w:r>
        <w:rPr>
          <w:rFonts w:hint="eastAsia"/>
          <w:color w:val="auto"/>
          <w:lang w:val="en-US" w:eastAsia="zh-CN"/>
        </w:rPr>
        <w:t>2</w:t>
      </w:r>
      <w:r>
        <w:rPr>
          <w:rFonts w:hint="eastAsia"/>
          <w:color w:val="auto"/>
          <w:lang w:val="zh-CN" w:eastAsia="zh-CN"/>
        </w:rPr>
        <w:t>t/d。污染物产生情况如下表所示：</w:t>
      </w:r>
    </w:p>
    <w:p w14:paraId="6D5C42A9">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hint="eastAsia"/>
          <w:b/>
          <w:bCs w:val="0"/>
          <w:color w:val="auto"/>
          <w:lang w:val="zh-CN" w:eastAsia="zh-CN"/>
        </w:rPr>
        <w:t>施工生活污水排放一览表</w:t>
      </w:r>
    </w:p>
    <w:tbl>
      <w:tblPr>
        <w:tblStyle w:val="33"/>
        <w:tblW w:w="8504" w:type="dxa"/>
        <w:jc w:val="center"/>
        <w:tblLayout w:type="autofit"/>
        <w:tblCellMar>
          <w:top w:w="0" w:type="dxa"/>
          <w:left w:w="0" w:type="dxa"/>
          <w:bottom w:w="0" w:type="dxa"/>
          <w:right w:w="0" w:type="dxa"/>
        </w:tblCellMar>
      </w:tblPr>
      <w:tblGrid>
        <w:gridCol w:w="2653"/>
        <w:gridCol w:w="1373"/>
        <w:gridCol w:w="841"/>
        <w:gridCol w:w="1210"/>
        <w:gridCol w:w="1213"/>
        <w:gridCol w:w="1214"/>
      </w:tblGrid>
      <w:tr w14:paraId="709A95A3">
        <w:tblPrEx>
          <w:tblCellMar>
            <w:top w:w="0" w:type="dxa"/>
            <w:left w:w="0" w:type="dxa"/>
            <w:bottom w:w="0" w:type="dxa"/>
            <w:right w:w="0" w:type="dxa"/>
          </w:tblCellMar>
        </w:tblPrEx>
        <w:trPr>
          <w:trHeight w:val="454" w:hRule="atLeast"/>
          <w:jc w:val="center"/>
        </w:trPr>
        <w:tc>
          <w:tcPr>
            <w:tcW w:w="1559" w:type="pct"/>
            <w:tcBorders>
              <w:top w:val="single" w:color="000000" w:sz="4" w:space="0"/>
              <w:left w:val="single" w:color="000000" w:sz="4" w:space="0"/>
              <w:bottom w:val="single" w:color="000000" w:sz="4" w:space="0"/>
              <w:right w:val="single" w:color="000000" w:sz="4" w:space="0"/>
            </w:tcBorders>
            <w:vAlign w:val="center"/>
          </w:tcPr>
          <w:p w14:paraId="1483A06F">
            <w:pPr>
              <w:pStyle w:val="31"/>
              <w:widowControl w:val="0"/>
              <w:bidi w:val="0"/>
              <w:rPr>
                <w:color w:val="auto"/>
                <w:lang w:eastAsia="en-US"/>
              </w:rPr>
            </w:pPr>
            <w:r>
              <w:rPr>
                <w:color w:val="auto"/>
                <w:lang w:eastAsia="en-US"/>
              </w:rPr>
              <w:t>项目</w:t>
            </w:r>
          </w:p>
        </w:tc>
        <w:tc>
          <w:tcPr>
            <w:tcW w:w="807" w:type="pct"/>
            <w:tcBorders>
              <w:top w:val="single" w:color="000000" w:sz="4" w:space="0"/>
              <w:left w:val="single" w:color="000000" w:sz="4" w:space="0"/>
              <w:bottom w:val="single" w:color="000000" w:sz="4" w:space="0"/>
              <w:right w:val="single" w:color="000000" w:sz="4" w:space="0"/>
            </w:tcBorders>
            <w:vAlign w:val="center"/>
          </w:tcPr>
          <w:p w14:paraId="3F7BE80C">
            <w:pPr>
              <w:pStyle w:val="31"/>
              <w:widowControl w:val="0"/>
              <w:bidi w:val="0"/>
              <w:rPr>
                <w:color w:val="auto"/>
                <w:lang w:eastAsia="en-US"/>
              </w:rPr>
            </w:pPr>
            <w:r>
              <w:rPr>
                <w:color w:val="auto"/>
                <w:lang w:eastAsia="en-US"/>
              </w:rPr>
              <w:t>废水量</w:t>
            </w:r>
          </w:p>
        </w:tc>
        <w:tc>
          <w:tcPr>
            <w:tcW w:w="494" w:type="pct"/>
            <w:tcBorders>
              <w:top w:val="single" w:color="000000" w:sz="4" w:space="0"/>
              <w:left w:val="single" w:color="000000" w:sz="4" w:space="0"/>
              <w:bottom w:val="single" w:color="000000" w:sz="4" w:space="0"/>
              <w:right w:val="single" w:color="000000" w:sz="4" w:space="0"/>
            </w:tcBorders>
            <w:vAlign w:val="center"/>
          </w:tcPr>
          <w:p w14:paraId="168748CD">
            <w:pPr>
              <w:pStyle w:val="31"/>
              <w:widowControl w:val="0"/>
              <w:bidi w:val="0"/>
              <w:rPr>
                <w:color w:val="auto"/>
                <w:lang w:eastAsia="en-US"/>
              </w:rPr>
            </w:pPr>
            <w:r>
              <w:rPr>
                <w:color w:val="auto"/>
                <w:lang w:eastAsia="en-US"/>
              </w:rPr>
              <w:t>COD</w:t>
            </w:r>
          </w:p>
        </w:tc>
        <w:tc>
          <w:tcPr>
            <w:tcW w:w="711" w:type="pct"/>
            <w:tcBorders>
              <w:top w:val="single" w:color="000000" w:sz="4" w:space="0"/>
              <w:left w:val="single" w:color="000000" w:sz="4" w:space="0"/>
              <w:bottom w:val="single" w:color="000000" w:sz="4" w:space="0"/>
              <w:right w:val="single" w:color="000000" w:sz="4" w:space="0"/>
            </w:tcBorders>
            <w:vAlign w:val="center"/>
          </w:tcPr>
          <w:p w14:paraId="64E70F94">
            <w:pPr>
              <w:pStyle w:val="31"/>
              <w:widowControl w:val="0"/>
              <w:bidi w:val="0"/>
              <w:rPr>
                <w:color w:val="auto"/>
                <w:lang w:eastAsia="en-US"/>
              </w:rPr>
            </w:pPr>
            <w:r>
              <w:rPr>
                <w:color w:val="auto"/>
                <w:lang w:eastAsia="en-US"/>
              </w:rPr>
              <w:t>BOD</w:t>
            </w:r>
            <w:r>
              <w:rPr>
                <w:color w:val="auto"/>
                <w:vertAlign w:val="subscript"/>
                <w:lang w:eastAsia="en-US"/>
              </w:rPr>
              <w:t>5</w:t>
            </w:r>
          </w:p>
        </w:tc>
        <w:tc>
          <w:tcPr>
            <w:tcW w:w="713" w:type="pct"/>
            <w:tcBorders>
              <w:top w:val="single" w:color="000000" w:sz="4" w:space="0"/>
              <w:left w:val="single" w:color="000000" w:sz="4" w:space="0"/>
              <w:bottom w:val="single" w:color="000000" w:sz="4" w:space="0"/>
              <w:right w:val="single" w:color="000000" w:sz="4" w:space="0"/>
            </w:tcBorders>
            <w:vAlign w:val="center"/>
          </w:tcPr>
          <w:p w14:paraId="1823C5C1">
            <w:pPr>
              <w:pStyle w:val="31"/>
              <w:widowControl w:val="0"/>
              <w:bidi w:val="0"/>
              <w:rPr>
                <w:color w:val="auto"/>
                <w:lang w:eastAsia="en-US"/>
              </w:rPr>
            </w:pPr>
            <w:r>
              <w:rPr>
                <w:color w:val="auto"/>
                <w:lang w:eastAsia="en-US"/>
              </w:rPr>
              <w:t>NH</w:t>
            </w:r>
            <w:r>
              <w:rPr>
                <w:color w:val="auto"/>
                <w:vertAlign w:val="subscript"/>
                <w:lang w:eastAsia="en-US"/>
              </w:rPr>
              <w:t>3</w:t>
            </w:r>
            <w:r>
              <w:rPr>
                <w:color w:val="auto"/>
                <w:lang w:eastAsia="en-US"/>
              </w:rPr>
              <w:t>-N</w:t>
            </w:r>
          </w:p>
        </w:tc>
        <w:tc>
          <w:tcPr>
            <w:tcW w:w="713" w:type="pct"/>
            <w:tcBorders>
              <w:top w:val="single" w:color="000000" w:sz="4" w:space="0"/>
              <w:left w:val="single" w:color="000000" w:sz="4" w:space="0"/>
              <w:bottom w:val="single" w:color="000000" w:sz="4" w:space="0"/>
              <w:right w:val="single" w:color="000000" w:sz="4" w:space="0"/>
            </w:tcBorders>
            <w:vAlign w:val="center"/>
          </w:tcPr>
          <w:p w14:paraId="6EED80B5">
            <w:pPr>
              <w:pStyle w:val="31"/>
              <w:widowControl w:val="0"/>
              <w:bidi w:val="0"/>
              <w:rPr>
                <w:color w:val="auto"/>
                <w:lang w:eastAsia="en-US"/>
              </w:rPr>
            </w:pPr>
            <w:r>
              <w:rPr>
                <w:color w:val="auto"/>
                <w:lang w:eastAsia="en-US"/>
              </w:rPr>
              <w:t>SS</w:t>
            </w:r>
          </w:p>
        </w:tc>
      </w:tr>
      <w:tr w14:paraId="0675FA00">
        <w:tblPrEx>
          <w:tblCellMar>
            <w:top w:w="0" w:type="dxa"/>
            <w:left w:w="0" w:type="dxa"/>
            <w:bottom w:w="0" w:type="dxa"/>
            <w:right w:w="0" w:type="dxa"/>
          </w:tblCellMar>
        </w:tblPrEx>
        <w:trPr>
          <w:trHeight w:val="454" w:hRule="atLeast"/>
          <w:jc w:val="center"/>
        </w:trPr>
        <w:tc>
          <w:tcPr>
            <w:tcW w:w="1559" w:type="pct"/>
            <w:tcBorders>
              <w:top w:val="single" w:color="000000" w:sz="4" w:space="0"/>
              <w:left w:val="single" w:color="000000" w:sz="4" w:space="0"/>
              <w:bottom w:val="single" w:color="000000" w:sz="4" w:space="0"/>
              <w:right w:val="single" w:color="000000" w:sz="4" w:space="0"/>
            </w:tcBorders>
            <w:vAlign w:val="center"/>
          </w:tcPr>
          <w:p w14:paraId="015F936E">
            <w:pPr>
              <w:pStyle w:val="31"/>
              <w:widowControl w:val="0"/>
              <w:bidi w:val="0"/>
              <w:rPr>
                <w:color w:val="auto"/>
                <w:lang w:eastAsia="en-US"/>
              </w:rPr>
            </w:pPr>
            <w:r>
              <w:rPr>
                <w:color w:val="auto"/>
                <w:lang w:eastAsia="en-US"/>
              </w:rPr>
              <w:t>浓度（mg/L）</w:t>
            </w:r>
          </w:p>
        </w:tc>
        <w:tc>
          <w:tcPr>
            <w:tcW w:w="807" w:type="pct"/>
            <w:tcBorders>
              <w:top w:val="single" w:color="000000" w:sz="4" w:space="0"/>
              <w:left w:val="single" w:color="000000" w:sz="4" w:space="0"/>
              <w:bottom w:val="single" w:color="000000" w:sz="4" w:space="0"/>
              <w:right w:val="single" w:color="000000" w:sz="4" w:space="0"/>
            </w:tcBorders>
            <w:vAlign w:val="center"/>
          </w:tcPr>
          <w:p w14:paraId="28995F03">
            <w:pPr>
              <w:pStyle w:val="31"/>
              <w:widowControl w:val="0"/>
              <w:bidi w:val="0"/>
              <w:rPr>
                <w:color w:val="auto"/>
                <w:lang w:eastAsia="en-US"/>
              </w:rPr>
            </w:pPr>
            <w:r>
              <w:rPr>
                <w:color w:val="auto"/>
                <w:lang w:eastAsia="en-US"/>
              </w:rPr>
              <w:t>—</w:t>
            </w:r>
          </w:p>
        </w:tc>
        <w:tc>
          <w:tcPr>
            <w:tcW w:w="494" w:type="pct"/>
            <w:tcBorders>
              <w:top w:val="single" w:color="000000" w:sz="4" w:space="0"/>
              <w:left w:val="single" w:color="000000" w:sz="4" w:space="0"/>
              <w:bottom w:val="single" w:color="000000" w:sz="4" w:space="0"/>
              <w:right w:val="single" w:color="000000" w:sz="4" w:space="0"/>
            </w:tcBorders>
            <w:vAlign w:val="center"/>
          </w:tcPr>
          <w:p w14:paraId="6BC5EC2A">
            <w:pPr>
              <w:pStyle w:val="31"/>
              <w:widowControl w:val="0"/>
              <w:bidi w:val="0"/>
              <w:rPr>
                <w:color w:val="auto"/>
                <w:lang w:eastAsia="en-US"/>
              </w:rPr>
            </w:pPr>
            <w:r>
              <w:rPr>
                <w:color w:val="auto"/>
                <w:lang w:eastAsia="en-US"/>
              </w:rPr>
              <w:t>350</w:t>
            </w:r>
          </w:p>
        </w:tc>
        <w:tc>
          <w:tcPr>
            <w:tcW w:w="711" w:type="pct"/>
            <w:tcBorders>
              <w:top w:val="single" w:color="000000" w:sz="4" w:space="0"/>
              <w:left w:val="single" w:color="000000" w:sz="4" w:space="0"/>
              <w:bottom w:val="single" w:color="000000" w:sz="4" w:space="0"/>
              <w:right w:val="single" w:color="000000" w:sz="4" w:space="0"/>
            </w:tcBorders>
            <w:vAlign w:val="center"/>
          </w:tcPr>
          <w:p w14:paraId="2B0E99DB">
            <w:pPr>
              <w:pStyle w:val="31"/>
              <w:widowControl w:val="0"/>
              <w:bidi w:val="0"/>
              <w:rPr>
                <w:color w:val="auto"/>
                <w:lang w:eastAsia="en-US"/>
              </w:rPr>
            </w:pPr>
            <w:r>
              <w:rPr>
                <w:color w:val="auto"/>
                <w:lang w:eastAsia="en-US"/>
              </w:rPr>
              <w:t>200</w:t>
            </w:r>
          </w:p>
        </w:tc>
        <w:tc>
          <w:tcPr>
            <w:tcW w:w="713" w:type="pct"/>
            <w:tcBorders>
              <w:top w:val="single" w:color="000000" w:sz="4" w:space="0"/>
              <w:left w:val="single" w:color="000000" w:sz="4" w:space="0"/>
              <w:bottom w:val="single" w:color="000000" w:sz="4" w:space="0"/>
              <w:right w:val="single" w:color="000000" w:sz="4" w:space="0"/>
            </w:tcBorders>
            <w:vAlign w:val="center"/>
          </w:tcPr>
          <w:p w14:paraId="0EC22BCB">
            <w:pPr>
              <w:pStyle w:val="31"/>
              <w:widowControl w:val="0"/>
              <w:bidi w:val="0"/>
              <w:rPr>
                <w:color w:val="auto"/>
                <w:lang w:eastAsia="en-US"/>
              </w:rPr>
            </w:pPr>
            <w:r>
              <w:rPr>
                <w:color w:val="auto"/>
                <w:lang w:eastAsia="en-US"/>
              </w:rPr>
              <w:t>250</w:t>
            </w:r>
          </w:p>
        </w:tc>
        <w:tc>
          <w:tcPr>
            <w:tcW w:w="713" w:type="pct"/>
            <w:tcBorders>
              <w:top w:val="single" w:color="000000" w:sz="4" w:space="0"/>
              <w:left w:val="single" w:color="000000" w:sz="4" w:space="0"/>
              <w:bottom w:val="single" w:color="000000" w:sz="4" w:space="0"/>
              <w:right w:val="single" w:color="000000" w:sz="4" w:space="0"/>
            </w:tcBorders>
            <w:vAlign w:val="center"/>
          </w:tcPr>
          <w:p w14:paraId="577E499A">
            <w:pPr>
              <w:pStyle w:val="31"/>
              <w:widowControl w:val="0"/>
              <w:bidi w:val="0"/>
              <w:rPr>
                <w:color w:val="auto"/>
                <w:lang w:eastAsia="en-US"/>
              </w:rPr>
            </w:pPr>
            <w:r>
              <w:rPr>
                <w:color w:val="auto"/>
                <w:lang w:eastAsia="en-US"/>
              </w:rPr>
              <w:t>35</w:t>
            </w:r>
          </w:p>
        </w:tc>
      </w:tr>
      <w:tr w14:paraId="31D8871B">
        <w:tblPrEx>
          <w:tblCellMar>
            <w:top w:w="0" w:type="dxa"/>
            <w:left w:w="0" w:type="dxa"/>
            <w:bottom w:w="0" w:type="dxa"/>
            <w:right w:w="0" w:type="dxa"/>
          </w:tblCellMar>
        </w:tblPrEx>
        <w:trPr>
          <w:trHeight w:val="454" w:hRule="atLeast"/>
          <w:jc w:val="center"/>
        </w:trPr>
        <w:tc>
          <w:tcPr>
            <w:tcW w:w="1559" w:type="pct"/>
            <w:tcBorders>
              <w:top w:val="single" w:color="000000" w:sz="4" w:space="0"/>
              <w:left w:val="single" w:color="000000" w:sz="4" w:space="0"/>
              <w:bottom w:val="single" w:color="000000" w:sz="4" w:space="0"/>
              <w:right w:val="single" w:color="000000" w:sz="4" w:space="0"/>
            </w:tcBorders>
            <w:vAlign w:val="center"/>
          </w:tcPr>
          <w:p w14:paraId="086121B7">
            <w:pPr>
              <w:pStyle w:val="31"/>
              <w:widowControl w:val="0"/>
              <w:bidi w:val="0"/>
              <w:rPr>
                <w:color w:val="auto"/>
                <w:lang w:eastAsia="en-US"/>
              </w:rPr>
            </w:pPr>
            <w:r>
              <w:rPr>
                <w:color w:val="auto"/>
                <w:lang w:eastAsia="en-US"/>
              </w:rPr>
              <w:t>日产生量（t/d）</w:t>
            </w:r>
          </w:p>
        </w:tc>
        <w:tc>
          <w:tcPr>
            <w:tcW w:w="807" w:type="pct"/>
            <w:tcBorders>
              <w:top w:val="single" w:color="000000" w:sz="4" w:space="0"/>
              <w:left w:val="single" w:color="000000" w:sz="4" w:space="0"/>
              <w:bottom w:val="single" w:color="000000" w:sz="4" w:space="0"/>
              <w:right w:val="single" w:color="000000" w:sz="4" w:space="0"/>
            </w:tcBorders>
            <w:vAlign w:val="center"/>
          </w:tcPr>
          <w:p w14:paraId="59E969C0">
            <w:pPr>
              <w:pStyle w:val="31"/>
              <w:widowControl w:val="0"/>
              <w:bidi w:val="0"/>
              <w:rPr>
                <w:color w:val="auto"/>
                <w:lang w:eastAsia="en-US"/>
              </w:rPr>
            </w:pPr>
            <w:r>
              <w:rPr>
                <w:rFonts w:hint="eastAsia"/>
                <w:color w:val="auto"/>
                <w:lang w:val="en-US" w:eastAsia="zh-CN"/>
              </w:rPr>
              <w:t>8</w:t>
            </w:r>
            <w:r>
              <w:rPr>
                <w:color w:val="auto"/>
                <w:lang w:eastAsia="en-US"/>
              </w:rPr>
              <w:t>m</w:t>
            </w:r>
            <w:r>
              <w:rPr>
                <w:color w:val="auto"/>
                <w:vertAlign w:val="superscript"/>
                <w:lang w:eastAsia="en-US"/>
              </w:rPr>
              <w:t>3</w:t>
            </w:r>
            <w:r>
              <w:rPr>
                <w:color w:val="auto"/>
                <w:lang w:eastAsia="en-US"/>
              </w:rPr>
              <w:t>/d</w:t>
            </w:r>
          </w:p>
        </w:tc>
        <w:tc>
          <w:tcPr>
            <w:tcW w:w="494" w:type="pct"/>
            <w:tcBorders>
              <w:top w:val="single" w:color="000000" w:sz="4" w:space="0"/>
              <w:left w:val="single" w:color="000000" w:sz="4" w:space="0"/>
              <w:bottom w:val="single" w:color="000000" w:sz="4" w:space="0"/>
              <w:right w:val="single" w:color="000000" w:sz="4" w:space="0"/>
            </w:tcBorders>
            <w:vAlign w:val="center"/>
          </w:tcPr>
          <w:p w14:paraId="3513E9FE">
            <w:pPr>
              <w:pStyle w:val="31"/>
              <w:widowControl w:val="0"/>
              <w:bidi w:val="0"/>
              <w:rPr>
                <w:rFonts w:hint="default" w:eastAsia="宋体"/>
                <w:color w:val="auto"/>
                <w:lang w:val="en-US" w:eastAsia="zh-CN"/>
              </w:rPr>
            </w:pPr>
            <w:r>
              <w:rPr>
                <w:color w:val="auto"/>
                <w:lang w:eastAsia="en-US"/>
              </w:rPr>
              <w:t>0.00</w:t>
            </w:r>
            <w:r>
              <w:rPr>
                <w:rFonts w:hint="eastAsia"/>
                <w:color w:val="auto"/>
                <w:lang w:val="en-US" w:eastAsia="zh-CN"/>
              </w:rPr>
              <w:t>28</w:t>
            </w:r>
          </w:p>
        </w:tc>
        <w:tc>
          <w:tcPr>
            <w:tcW w:w="711" w:type="pct"/>
            <w:tcBorders>
              <w:top w:val="single" w:color="000000" w:sz="4" w:space="0"/>
              <w:left w:val="single" w:color="000000" w:sz="4" w:space="0"/>
              <w:bottom w:val="single" w:color="000000" w:sz="4" w:space="0"/>
              <w:right w:val="single" w:color="000000" w:sz="4" w:space="0"/>
            </w:tcBorders>
            <w:vAlign w:val="center"/>
          </w:tcPr>
          <w:p w14:paraId="7ED107DC">
            <w:pPr>
              <w:pStyle w:val="31"/>
              <w:widowControl w:val="0"/>
              <w:bidi w:val="0"/>
              <w:rPr>
                <w:rFonts w:hint="default" w:eastAsia="宋体"/>
                <w:color w:val="auto"/>
                <w:lang w:val="en-US" w:eastAsia="zh-CN"/>
              </w:rPr>
            </w:pPr>
            <w:r>
              <w:rPr>
                <w:color w:val="auto"/>
                <w:lang w:eastAsia="en-US"/>
              </w:rPr>
              <w:t>0.00</w:t>
            </w:r>
            <w:r>
              <w:rPr>
                <w:rFonts w:hint="eastAsia"/>
                <w:color w:val="auto"/>
                <w:lang w:val="en-US" w:eastAsia="zh-CN"/>
              </w:rPr>
              <w:t>16</w:t>
            </w:r>
          </w:p>
        </w:tc>
        <w:tc>
          <w:tcPr>
            <w:tcW w:w="713" w:type="pct"/>
            <w:tcBorders>
              <w:top w:val="single" w:color="000000" w:sz="4" w:space="0"/>
              <w:left w:val="single" w:color="000000" w:sz="4" w:space="0"/>
              <w:bottom w:val="single" w:color="000000" w:sz="4" w:space="0"/>
              <w:right w:val="single" w:color="000000" w:sz="4" w:space="0"/>
            </w:tcBorders>
            <w:vAlign w:val="center"/>
          </w:tcPr>
          <w:p w14:paraId="5F1946DB">
            <w:pPr>
              <w:pStyle w:val="31"/>
              <w:widowControl w:val="0"/>
              <w:bidi w:val="0"/>
              <w:rPr>
                <w:rFonts w:hint="default" w:eastAsia="宋体"/>
                <w:color w:val="auto"/>
                <w:lang w:val="en-US" w:eastAsia="zh-CN"/>
              </w:rPr>
            </w:pPr>
            <w:r>
              <w:rPr>
                <w:color w:val="auto"/>
                <w:lang w:eastAsia="en-US"/>
              </w:rPr>
              <w:t>0.00</w:t>
            </w:r>
            <w:r>
              <w:rPr>
                <w:rFonts w:hint="eastAsia"/>
                <w:color w:val="auto"/>
                <w:lang w:val="en-US" w:eastAsia="zh-CN"/>
              </w:rPr>
              <w:t>028</w:t>
            </w:r>
          </w:p>
        </w:tc>
        <w:tc>
          <w:tcPr>
            <w:tcW w:w="713" w:type="pct"/>
            <w:tcBorders>
              <w:top w:val="single" w:color="000000" w:sz="4" w:space="0"/>
              <w:left w:val="single" w:color="000000" w:sz="4" w:space="0"/>
              <w:bottom w:val="single" w:color="000000" w:sz="4" w:space="0"/>
              <w:right w:val="single" w:color="000000" w:sz="4" w:space="0"/>
            </w:tcBorders>
            <w:vAlign w:val="center"/>
          </w:tcPr>
          <w:p w14:paraId="4382F72D">
            <w:pPr>
              <w:pStyle w:val="31"/>
              <w:widowControl w:val="0"/>
              <w:bidi w:val="0"/>
              <w:rPr>
                <w:rFonts w:hint="eastAsia" w:eastAsia="宋体"/>
                <w:color w:val="auto"/>
                <w:lang w:eastAsia="zh-CN"/>
              </w:rPr>
            </w:pPr>
            <w:r>
              <w:rPr>
                <w:color w:val="auto"/>
                <w:lang w:eastAsia="en-US"/>
              </w:rPr>
              <w:t>0.00</w:t>
            </w:r>
            <w:r>
              <w:rPr>
                <w:rFonts w:hint="eastAsia"/>
                <w:color w:val="auto"/>
                <w:lang w:val="en-US" w:eastAsia="zh-CN"/>
              </w:rPr>
              <w:t>2</w:t>
            </w:r>
          </w:p>
        </w:tc>
      </w:tr>
      <w:tr w14:paraId="3B832B9F">
        <w:tblPrEx>
          <w:tblCellMar>
            <w:top w:w="0" w:type="dxa"/>
            <w:left w:w="0" w:type="dxa"/>
            <w:bottom w:w="0" w:type="dxa"/>
            <w:right w:w="0" w:type="dxa"/>
          </w:tblCellMar>
        </w:tblPrEx>
        <w:trPr>
          <w:trHeight w:val="454" w:hRule="atLeast"/>
          <w:jc w:val="center"/>
        </w:trPr>
        <w:tc>
          <w:tcPr>
            <w:tcW w:w="1559" w:type="pct"/>
            <w:tcBorders>
              <w:top w:val="single" w:color="000000" w:sz="4" w:space="0"/>
              <w:left w:val="single" w:color="000000" w:sz="4" w:space="0"/>
              <w:bottom w:val="single" w:color="000000" w:sz="4" w:space="0"/>
              <w:right w:val="single" w:color="000000" w:sz="4" w:space="0"/>
            </w:tcBorders>
            <w:vAlign w:val="center"/>
          </w:tcPr>
          <w:p w14:paraId="7DF4D0E2">
            <w:pPr>
              <w:pStyle w:val="31"/>
              <w:widowControl w:val="0"/>
              <w:bidi w:val="0"/>
              <w:rPr>
                <w:color w:val="auto"/>
                <w:lang w:eastAsia="en-US"/>
              </w:rPr>
            </w:pPr>
            <w:r>
              <w:rPr>
                <w:color w:val="auto"/>
                <w:lang w:eastAsia="en-US"/>
              </w:rPr>
              <w:t>总产生量（t）</w:t>
            </w:r>
          </w:p>
        </w:tc>
        <w:tc>
          <w:tcPr>
            <w:tcW w:w="807" w:type="pct"/>
            <w:tcBorders>
              <w:top w:val="single" w:color="000000" w:sz="4" w:space="0"/>
              <w:left w:val="single" w:color="000000" w:sz="4" w:space="0"/>
              <w:bottom w:val="single" w:color="000000" w:sz="4" w:space="0"/>
              <w:right w:val="single" w:color="000000" w:sz="4" w:space="0"/>
            </w:tcBorders>
            <w:vAlign w:val="center"/>
          </w:tcPr>
          <w:p w14:paraId="2E102D07">
            <w:pPr>
              <w:pStyle w:val="31"/>
              <w:widowControl w:val="0"/>
              <w:bidi w:val="0"/>
              <w:rPr>
                <w:rFonts w:hint="default"/>
                <w:color w:val="auto"/>
                <w:lang w:val="en-US" w:eastAsia="zh-CN"/>
              </w:rPr>
            </w:pPr>
            <w:r>
              <w:rPr>
                <w:rFonts w:hint="eastAsia"/>
                <w:color w:val="auto"/>
                <w:lang w:val="en-US" w:eastAsia="zh-CN"/>
              </w:rPr>
              <w:t>1680</w:t>
            </w:r>
          </w:p>
        </w:tc>
        <w:tc>
          <w:tcPr>
            <w:tcW w:w="494" w:type="pct"/>
            <w:tcBorders>
              <w:top w:val="single" w:color="000000" w:sz="4" w:space="0"/>
              <w:left w:val="single" w:color="000000" w:sz="4" w:space="0"/>
              <w:bottom w:val="single" w:color="000000" w:sz="4" w:space="0"/>
              <w:right w:val="single" w:color="000000" w:sz="4" w:space="0"/>
            </w:tcBorders>
            <w:vAlign w:val="top"/>
          </w:tcPr>
          <w:p w14:paraId="51F6EB67">
            <w:pPr>
              <w:pStyle w:val="31"/>
              <w:widowControl w:val="0"/>
              <w:bidi w:val="0"/>
              <w:rPr>
                <w:rFonts w:hint="default"/>
                <w:color w:val="auto"/>
                <w:lang w:val="en-US" w:eastAsia="zh-CN"/>
              </w:rPr>
            </w:pPr>
            <w:r>
              <w:rPr>
                <w:rFonts w:hint="eastAsia"/>
                <w:color w:val="auto"/>
                <w:lang w:eastAsia="en-US"/>
              </w:rPr>
              <w:t>0.588</w:t>
            </w:r>
          </w:p>
        </w:tc>
        <w:tc>
          <w:tcPr>
            <w:tcW w:w="711" w:type="pct"/>
            <w:tcBorders>
              <w:top w:val="single" w:color="000000" w:sz="4" w:space="0"/>
              <w:left w:val="single" w:color="000000" w:sz="4" w:space="0"/>
              <w:bottom w:val="single" w:color="000000" w:sz="4" w:space="0"/>
              <w:right w:val="single" w:color="000000" w:sz="4" w:space="0"/>
            </w:tcBorders>
            <w:vAlign w:val="top"/>
          </w:tcPr>
          <w:p w14:paraId="58745E36">
            <w:pPr>
              <w:pStyle w:val="31"/>
              <w:widowControl w:val="0"/>
              <w:bidi w:val="0"/>
              <w:rPr>
                <w:rFonts w:hint="default"/>
                <w:color w:val="auto"/>
                <w:lang w:val="en-US" w:eastAsia="zh-CN"/>
              </w:rPr>
            </w:pPr>
            <w:r>
              <w:rPr>
                <w:rFonts w:hint="eastAsia"/>
                <w:color w:val="auto"/>
                <w:lang w:eastAsia="en-US"/>
              </w:rPr>
              <w:t>0.336</w:t>
            </w:r>
          </w:p>
        </w:tc>
        <w:tc>
          <w:tcPr>
            <w:tcW w:w="713" w:type="pct"/>
            <w:tcBorders>
              <w:top w:val="single" w:color="000000" w:sz="4" w:space="0"/>
              <w:left w:val="single" w:color="000000" w:sz="4" w:space="0"/>
              <w:bottom w:val="single" w:color="000000" w:sz="4" w:space="0"/>
              <w:right w:val="single" w:color="000000" w:sz="4" w:space="0"/>
            </w:tcBorders>
            <w:vAlign w:val="top"/>
          </w:tcPr>
          <w:p w14:paraId="14E4CA2C">
            <w:pPr>
              <w:pStyle w:val="31"/>
              <w:widowControl w:val="0"/>
              <w:bidi w:val="0"/>
              <w:rPr>
                <w:rFonts w:hint="default"/>
                <w:color w:val="auto"/>
                <w:lang w:val="en-US" w:eastAsia="zh-CN"/>
              </w:rPr>
            </w:pPr>
            <w:r>
              <w:rPr>
                <w:rFonts w:hint="eastAsia"/>
                <w:color w:val="auto"/>
                <w:lang w:eastAsia="en-US"/>
              </w:rPr>
              <w:t>0.0588</w:t>
            </w:r>
          </w:p>
        </w:tc>
        <w:tc>
          <w:tcPr>
            <w:tcW w:w="713" w:type="pct"/>
            <w:tcBorders>
              <w:top w:val="single" w:color="000000" w:sz="4" w:space="0"/>
              <w:left w:val="single" w:color="000000" w:sz="4" w:space="0"/>
              <w:bottom w:val="single" w:color="000000" w:sz="4" w:space="0"/>
              <w:right w:val="single" w:color="000000" w:sz="4" w:space="0"/>
            </w:tcBorders>
            <w:vAlign w:val="top"/>
          </w:tcPr>
          <w:p w14:paraId="0DDD6C5C">
            <w:pPr>
              <w:pStyle w:val="31"/>
              <w:widowControl w:val="0"/>
              <w:bidi w:val="0"/>
              <w:rPr>
                <w:rFonts w:hint="default"/>
                <w:color w:val="auto"/>
                <w:lang w:val="en-US" w:eastAsia="zh-CN"/>
              </w:rPr>
            </w:pPr>
            <w:r>
              <w:rPr>
                <w:rFonts w:hint="eastAsia"/>
                <w:color w:val="auto"/>
                <w:lang w:eastAsia="en-US"/>
              </w:rPr>
              <w:t>0.42</w:t>
            </w:r>
          </w:p>
        </w:tc>
      </w:tr>
    </w:tbl>
    <w:p w14:paraId="5334CA7A">
      <w:pPr>
        <w:pStyle w:val="31"/>
        <w:bidi w:val="0"/>
        <w:jc w:val="both"/>
        <w:rPr>
          <w:rFonts w:hint="eastAsia"/>
          <w:color w:val="auto"/>
          <w:lang w:val="zh-CN" w:eastAsia="zh-CN"/>
        </w:rPr>
      </w:pPr>
      <w:r>
        <w:rPr>
          <w:rFonts w:hint="eastAsia"/>
          <w:color w:val="auto"/>
          <w:lang w:val="zh-CN" w:eastAsia="zh-CN"/>
        </w:rPr>
        <w:t>注：施工期</w:t>
      </w:r>
      <w:r>
        <w:rPr>
          <w:rFonts w:hint="eastAsia"/>
          <w:color w:val="auto"/>
          <w:lang w:val="en-US" w:eastAsia="zh-CN"/>
        </w:rPr>
        <w:t>7</w:t>
      </w:r>
      <w:r>
        <w:rPr>
          <w:rFonts w:hint="eastAsia"/>
          <w:color w:val="auto"/>
          <w:lang w:val="zh-CN" w:eastAsia="zh-CN"/>
        </w:rPr>
        <w:t>个月，按</w:t>
      </w:r>
      <w:r>
        <w:rPr>
          <w:rFonts w:hint="eastAsia"/>
          <w:color w:val="auto"/>
          <w:lang w:val="en-US" w:eastAsia="zh-CN"/>
        </w:rPr>
        <w:t>一个月</w:t>
      </w:r>
      <w:r>
        <w:rPr>
          <w:rFonts w:hint="eastAsia"/>
          <w:color w:val="auto"/>
          <w:lang w:val="zh-CN" w:eastAsia="zh-CN"/>
        </w:rPr>
        <w:t>施工30天计算，共计施工</w:t>
      </w:r>
      <w:r>
        <w:rPr>
          <w:rFonts w:hint="eastAsia"/>
          <w:color w:val="auto"/>
          <w:lang w:val="en-US" w:eastAsia="zh-CN"/>
        </w:rPr>
        <w:t>210</w:t>
      </w:r>
      <w:r>
        <w:rPr>
          <w:rFonts w:hint="eastAsia"/>
          <w:color w:val="auto"/>
          <w:lang w:val="zh-CN" w:eastAsia="zh-CN"/>
        </w:rPr>
        <w:t>天。</w:t>
      </w:r>
    </w:p>
    <w:p w14:paraId="32C69F6A">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hint="eastAsia"/>
          <w:color w:val="auto"/>
        </w:rPr>
        <w:t>本工程施工期水污染源分析表</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794"/>
        <w:gridCol w:w="1613"/>
        <w:gridCol w:w="2575"/>
        <w:gridCol w:w="2188"/>
      </w:tblGrid>
      <w:tr w14:paraId="6DCB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Align w:val="center"/>
          </w:tcPr>
          <w:p w14:paraId="62320000">
            <w:pPr>
              <w:pStyle w:val="31"/>
              <w:widowControl w:val="0"/>
              <w:bidi w:val="0"/>
              <w:jc w:val="center"/>
              <w:rPr>
                <w:rFonts w:hint="default"/>
                <w:color w:val="auto"/>
                <w:lang w:val="en-US" w:eastAsia="zh-CN"/>
              </w:rPr>
            </w:pPr>
            <w:r>
              <w:rPr>
                <w:rFonts w:hint="eastAsia"/>
                <w:color w:val="auto"/>
                <w:lang w:val="en-US" w:eastAsia="zh-CN"/>
              </w:rPr>
              <w:t>污染源</w:t>
            </w:r>
          </w:p>
        </w:tc>
        <w:tc>
          <w:tcPr>
            <w:tcW w:w="0" w:type="auto"/>
            <w:vAlign w:val="center"/>
          </w:tcPr>
          <w:p w14:paraId="79E5E6B3">
            <w:pPr>
              <w:pStyle w:val="31"/>
              <w:widowControl w:val="0"/>
              <w:bidi w:val="0"/>
              <w:jc w:val="center"/>
              <w:rPr>
                <w:rFonts w:hint="default"/>
                <w:color w:val="auto"/>
                <w:lang w:val="en-US" w:eastAsia="zh-CN"/>
              </w:rPr>
            </w:pPr>
            <w:r>
              <w:rPr>
                <w:rFonts w:hint="eastAsia"/>
                <w:color w:val="auto"/>
                <w:lang w:val="en-US" w:eastAsia="zh-CN"/>
              </w:rPr>
              <w:t>产生量</w:t>
            </w:r>
          </w:p>
        </w:tc>
        <w:tc>
          <w:tcPr>
            <w:tcW w:w="0" w:type="auto"/>
            <w:vAlign w:val="center"/>
          </w:tcPr>
          <w:p w14:paraId="1D83A622">
            <w:pPr>
              <w:pStyle w:val="31"/>
              <w:widowControl w:val="0"/>
              <w:bidi w:val="0"/>
              <w:jc w:val="center"/>
              <w:rPr>
                <w:rFonts w:hint="default"/>
                <w:color w:val="auto"/>
                <w:lang w:val="en-US" w:eastAsia="zh-CN"/>
              </w:rPr>
            </w:pPr>
            <w:r>
              <w:rPr>
                <w:rFonts w:hint="eastAsia"/>
                <w:color w:val="auto"/>
                <w:lang w:val="en-US" w:eastAsia="zh-CN"/>
              </w:rPr>
              <w:t>污染物</w:t>
            </w:r>
          </w:p>
        </w:tc>
        <w:tc>
          <w:tcPr>
            <w:tcW w:w="0" w:type="auto"/>
            <w:vAlign w:val="center"/>
          </w:tcPr>
          <w:p w14:paraId="62D23AF1">
            <w:pPr>
              <w:pStyle w:val="31"/>
              <w:widowControl w:val="0"/>
              <w:bidi w:val="0"/>
              <w:jc w:val="center"/>
              <w:rPr>
                <w:rFonts w:hint="default"/>
                <w:color w:val="auto"/>
                <w:lang w:val="en-US" w:eastAsia="zh-CN"/>
              </w:rPr>
            </w:pPr>
            <w:r>
              <w:rPr>
                <w:rFonts w:hint="eastAsia"/>
                <w:color w:val="auto"/>
                <w:lang w:val="en-US" w:eastAsia="zh-CN"/>
              </w:rPr>
              <w:t>采取措施</w:t>
            </w:r>
          </w:p>
        </w:tc>
        <w:tc>
          <w:tcPr>
            <w:tcW w:w="0" w:type="auto"/>
            <w:vAlign w:val="center"/>
          </w:tcPr>
          <w:p w14:paraId="2057EF04">
            <w:pPr>
              <w:pStyle w:val="31"/>
              <w:widowControl w:val="0"/>
              <w:bidi w:val="0"/>
              <w:jc w:val="center"/>
              <w:rPr>
                <w:rFonts w:hint="default"/>
                <w:color w:val="auto"/>
                <w:lang w:val="en-US" w:eastAsia="zh-CN"/>
              </w:rPr>
            </w:pPr>
            <w:r>
              <w:rPr>
                <w:rFonts w:hint="eastAsia"/>
                <w:color w:val="auto"/>
                <w:lang w:val="en-US" w:eastAsia="zh-CN"/>
              </w:rPr>
              <w:t>排放去向</w:t>
            </w:r>
          </w:p>
        </w:tc>
      </w:tr>
      <w:tr w14:paraId="1545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Align w:val="center"/>
          </w:tcPr>
          <w:p w14:paraId="62E95265">
            <w:pPr>
              <w:pStyle w:val="31"/>
              <w:widowControl w:val="0"/>
              <w:bidi w:val="0"/>
              <w:jc w:val="center"/>
              <w:rPr>
                <w:rFonts w:hint="eastAsia"/>
                <w:color w:val="auto"/>
                <w:lang w:val="zh-CN" w:eastAsia="zh-CN"/>
              </w:rPr>
            </w:pPr>
            <w:r>
              <w:rPr>
                <w:rFonts w:hint="eastAsia"/>
                <w:color w:val="auto"/>
                <w:lang w:val="zh-CN" w:eastAsia="zh-CN"/>
              </w:rPr>
              <w:t>施工车辆、设备冲洗废水</w:t>
            </w:r>
          </w:p>
        </w:tc>
        <w:tc>
          <w:tcPr>
            <w:tcW w:w="0" w:type="auto"/>
            <w:vAlign w:val="center"/>
          </w:tcPr>
          <w:p w14:paraId="79567628">
            <w:pPr>
              <w:pStyle w:val="31"/>
              <w:widowControl w:val="0"/>
              <w:bidi w:val="0"/>
              <w:jc w:val="center"/>
              <w:rPr>
                <w:rFonts w:hint="eastAsia"/>
                <w:color w:val="auto"/>
                <w:lang w:val="zh-CN" w:eastAsia="zh-CN"/>
              </w:rPr>
            </w:pPr>
            <w:r>
              <w:rPr>
                <w:rFonts w:hint="eastAsia"/>
                <w:color w:val="auto"/>
                <w:lang w:val="en-US" w:eastAsia="zh-CN"/>
              </w:rPr>
              <w:t>140</w:t>
            </w:r>
            <w:r>
              <w:rPr>
                <w:rFonts w:hint="eastAsia"/>
                <w:color w:val="auto"/>
                <w:lang w:val="zh-CN" w:eastAsia="zh-CN"/>
              </w:rPr>
              <w:t>m</w:t>
            </w:r>
            <w:r>
              <w:rPr>
                <w:rFonts w:hint="eastAsia"/>
                <w:color w:val="auto"/>
                <w:vertAlign w:val="superscript"/>
                <w:lang w:val="zh-CN" w:eastAsia="zh-CN"/>
              </w:rPr>
              <w:t>3</w:t>
            </w:r>
          </w:p>
        </w:tc>
        <w:tc>
          <w:tcPr>
            <w:tcW w:w="0" w:type="auto"/>
            <w:vAlign w:val="center"/>
          </w:tcPr>
          <w:p w14:paraId="7AFF61CB">
            <w:pPr>
              <w:pStyle w:val="31"/>
              <w:widowControl w:val="0"/>
              <w:bidi w:val="0"/>
              <w:jc w:val="center"/>
              <w:rPr>
                <w:rFonts w:hint="eastAsia"/>
                <w:color w:val="auto"/>
                <w:lang w:val="zh-CN" w:eastAsia="zh-CN"/>
              </w:rPr>
            </w:pPr>
            <w:r>
              <w:rPr>
                <w:rFonts w:hint="eastAsia"/>
                <w:color w:val="auto"/>
                <w:lang w:val="zh-CN" w:eastAsia="zh-CN"/>
              </w:rPr>
              <w:t>COD、SS、石油类</w:t>
            </w:r>
          </w:p>
        </w:tc>
        <w:tc>
          <w:tcPr>
            <w:tcW w:w="0" w:type="auto"/>
            <w:vAlign w:val="center"/>
          </w:tcPr>
          <w:p w14:paraId="33DA9DA1">
            <w:pPr>
              <w:pStyle w:val="31"/>
              <w:widowControl w:val="0"/>
              <w:bidi w:val="0"/>
              <w:jc w:val="center"/>
              <w:rPr>
                <w:rFonts w:hint="eastAsia"/>
                <w:color w:val="auto"/>
                <w:lang w:val="zh-CN" w:eastAsia="zh-CN"/>
              </w:rPr>
            </w:pPr>
            <w:r>
              <w:rPr>
                <w:rFonts w:hint="eastAsia"/>
                <w:color w:val="auto"/>
                <w:lang w:val="zh-CN" w:eastAsia="zh-CN"/>
              </w:rPr>
              <w:t>冲洗废水</w:t>
            </w:r>
            <w:r>
              <w:rPr>
                <w:rFonts w:hint="eastAsia"/>
                <w:color w:val="auto"/>
                <w:lang w:val="en-US" w:eastAsia="zh-CN"/>
              </w:rPr>
              <w:t>排入</w:t>
            </w:r>
            <w:r>
              <w:rPr>
                <w:rFonts w:hint="eastAsia"/>
                <w:color w:val="auto"/>
                <w:lang w:val="zh-CN" w:eastAsia="zh-CN"/>
              </w:rPr>
              <w:t>隔油池，使用油水分离器进行含油废水的处理。</w:t>
            </w:r>
          </w:p>
        </w:tc>
        <w:tc>
          <w:tcPr>
            <w:tcW w:w="0" w:type="auto"/>
            <w:vAlign w:val="center"/>
          </w:tcPr>
          <w:p w14:paraId="27B89A02">
            <w:pPr>
              <w:pStyle w:val="31"/>
              <w:widowControl w:val="0"/>
              <w:bidi w:val="0"/>
              <w:jc w:val="center"/>
              <w:rPr>
                <w:rFonts w:hint="default"/>
                <w:color w:val="auto"/>
                <w:lang w:val="en-US" w:eastAsia="zh-CN"/>
              </w:rPr>
            </w:pPr>
            <w:r>
              <w:rPr>
                <w:rFonts w:hint="eastAsia"/>
                <w:color w:val="auto"/>
                <w:lang w:val="en-US" w:eastAsia="zh-CN"/>
              </w:rPr>
              <w:t>处理后的污水回用于施工车辆、设备冲洗，不外排</w:t>
            </w:r>
          </w:p>
        </w:tc>
      </w:tr>
      <w:tr w14:paraId="1A58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Align w:val="center"/>
          </w:tcPr>
          <w:p w14:paraId="6E7162D0">
            <w:pPr>
              <w:pStyle w:val="31"/>
              <w:widowControl w:val="0"/>
              <w:bidi w:val="0"/>
              <w:jc w:val="center"/>
              <w:rPr>
                <w:rFonts w:hint="eastAsia"/>
                <w:color w:val="auto"/>
                <w:lang w:val="zh-CN" w:eastAsia="zh-CN"/>
              </w:rPr>
            </w:pPr>
            <w:r>
              <w:rPr>
                <w:rFonts w:hint="eastAsia"/>
                <w:color w:val="auto"/>
                <w:lang w:val="zh-CN" w:eastAsia="zh-CN"/>
              </w:rPr>
              <w:t>生活废水</w:t>
            </w:r>
          </w:p>
        </w:tc>
        <w:tc>
          <w:tcPr>
            <w:tcW w:w="0" w:type="auto"/>
            <w:vAlign w:val="center"/>
          </w:tcPr>
          <w:p w14:paraId="1595F300">
            <w:pPr>
              <w:pStyle w:val="31"/>
              <w:widowControl w:val="0"/>
              <w:bidi w:val="0"/>
              <w:jc w:val="center"/>
              <w:rPr>
                <w:rFonts w:hint="default"/>
                <w:color w:val="auto"/>
                <w:lang w:val="en-US" w:eastAsia="zh-CN"/>
              </w:rPr>
            </w:pPr>
            <w:r>
              <w:rPr>
                <w:rFonts w:hint="eastAsia"/>
                <w:color w:val="auto"/>
                <w:lang w:val="en-US" w:eastAsia="zh-CN"/>
              </w:rPr>
              <w:t>1680t</w:t>
            </w:r>
          </w:p>
        </w:tc>
        <w:tc>
          <w:tcPr>
            <w:tcW w:w="0" w:type="auto"/>
            <w:vAlign w:val="center"/>
          </w:tcPr>
          <w:p w14:paraId="6D0E29AF">
            <w:pPr>
              <w:pStyle w:val="31"/>
              <w:widowControl w:val="0"/>
              <w:bidi w:val="0"/>
              <w:jc w:val="center"/>
              <w:rPr>
                <w:rFonts w:hint="eastAsia"/>
                <w:color w:val="auto"/>
                <w:lang w:val="zh-CN" w:eastAsia="zh-CN"/>
              </w:rPr>
            </w:pPr>
            <w:r>
              <w:rPr>
                <w:rFonts w:hint="eastAsia"/>
                <w:color w:val="auto"/>
                <w:lang w:val="zh-CN" w:eastAsia="zh-CN"/>
              </w:rPr>
              <w:t>COD、BOD</w:t>
            </w:r>
            <w:r>
              <w:rPr>
                <w:rFonts w:hint="eastAsia"/>
                <w:color w:val="auto"/>
                <w:vertAlign w:val="subscript"/>
                <w:lang w:val="zh-CN" w:eastAsia="zh-CN"/>
              </w:rPr>
              <w:t>5</w:t>
            </w:r>
            <w:r>
              <w:rPr>
                <w:rFonts w:hint="eastAsia"/>
                <w:color w:val="auto"/>
                <w:lang w:val="zh-CN" w:eastAsia="zh-CN"/>
              </w:rPr>
              <w:t>、NH</w:t>
            </w:r>
            <w:r>
              <w:rPr>
                <w:rFonts w:hint="eastAsia"/>
                <w:color w:val="auto"/>
                <w:vertAlign w:val="subscript"/>
                <w:lang w:val="zh-CN" w:eastAsia="zh-CN"/>
              </w:rPr>
              <w:t>3</w:t>
            </w:r>
            <w:r>
              <w:rPr>
                <w:rFonts w:hint="eastAsia"/>
                <w:color w:val="auto"/>
                <w:lang w:val="zh-CN" w:eastAsia="zh-CN"/>
              </w:rPr>
              <w:t>-N、SS</w:t>
            </w:r>
          </w:p>
        </w:tc>
        <w:tc>
          <w:tcPr>
            <w:tcW w:w="0" w:type="auto"/>
            <w:vAlign w:val="center"/>
          </w:tcPr>
          <w:p w14:paraId="2CDE54C4">
            <w:pPr>
              <w:pStyle w:val="31"/>
              <w:widowControl w:val="0"/>
              <w:bidi w:val="0"/>
              <w:jc w:val="center"/>
              <w:rPr>
                <w:rFonts w:hint="default"/>
                <w:color w:val="auto"/>
                <w:lang w:val="en-US" w:eastAsia="zh-CN"/>
              </w:rPr>
            </w:pPr>
            <w:r>
              <w:rPr>
                <w:rFonts w:hint="eastAsia"/>
                <w:color w:val="auto"/>
                <w:lang w:val="zh-CN" w:eastAsia="zh-CN"/>
              </w:rPr>
              <w:t>生活污水经租住的民宅内的化粪池</w:t>
            </w:r>
            <w:r>
              <w:rPr>
                <w:rFonts w:hint="eastAsia"/>
                <w:color w:val="auto"/>
                <w:lang w:val="en-US" w:eastAsia="zh-CN"/>
              </w:rPr>
              <w:t>处理了</w:t>
            </w:r>
          </w:p>
        </w:tc>
        <w:tc>
          <w:tcPr>
            <w:tcW w:w="0" w:type="auto"/>
            <w:vAlign w:val="center"/>
          </w:tcPr>
          <w:p w14:paraId="6F22E01C">
            <w:pPr>
              <w:pStyle w:val="31"/>
              <w:widowControl w:val="0"/>
              <w:bidi w:val="0"/>
              <w:jc w:val="center"/>
              <w:rPr>
                <w:rFonts w:hint="default"/>
                <w:color w:val="auto"/>
                <w:lang w:val="en-US" w:eastAsia="zh-CN"/>
              </w:rPr>
            </w:pPr>
            <w:r>
              <w:rPr>
                <w:rFonts w:hint="eastAsia"/>
                <w:color w:val="auto"/>
                <w:lang w:val="en-US" w:eastAsia="zh-CN"/>
              </w:rPr>
              <w:t>生活废水回用于附近农户农田灌溉，不外排</w:t>
            </w:r>
          </w:p>
        </w:tc>
      </w:tr>
    </w:tbl>
    <w:p w14:paraId="745466E9">
      <w:pPr>
        <w:pStyle w:val="5"/>
        <w:bidi w:val="0"/>
        <w:rPr>
          <w:rFonts w:hint="eastAsia"/>
          <w:color w:val="auto"/>
          <w:lang w:val="zh-CN" w:eastAsia="zh-CN"/>
        </w:rPr>
      </w:pPr>
      <w:r>
        <w:rPr>
          <w:rFonts w:hint="eastAsia"/>
          <w:color w:val="auto"/>
          <w:lang w:val="zh-CN" w:eastAsia="zh-CN"/>
        </w:rPr>
        <w:t>施工期大气环境污染源分析</w:t>
      </w:r>
    </w:p>
    <w:p w14:paraId="35ABE3EE">
      <w:pPr>
        <w:bidi w:val="0"/>
        <w:rPr>
          <w:rFonts w:hint="eastAsia"/>
          <w:color w:val="auto"/>
          <w:lang w:val="zh-CN" w:eastAsia="zh-CN"/>
        </w:rPr>
      </w:pPr>
      <w:r>
        <w:rPr>
          <w:rFonts w:hint="eastAsia"/>
          <w:color w:val="auto"/>
          <w:lang w:val="zh-CN" w:eastAsia="zh-CN"/>
        </w:rPr>
        <w:t>（</w:t>
      </w:r>
      <w:r>
        <w:rPr>
          <w:rFonts w:hint="eastAsia"/>
          <w:color w:val="auto"/>
          <w:lang w:val="en-US" w:eastAsia="zh-CN"/>
        </w:rPr>
        <w:t>1</w:t>
      </w:r>
      <w:r>
        <w:rPr>
          <w:rFonts w:hint="eastAsia"/>
          <w:color w:val="auto"/>
          <w:lang w:val="zh-CN" w:eastAsia="zh-CN"/>
        </w:rPr>
        <w:t>）施工扬尘</w:t>
      </w:r>
    </w:p>
    <w:p w14:paraId="3FEA04D9">
      <w:pPr>
        <w:bidi w:val="0"/>
        <w:rPr>
          <w:rFonts w:hint="eastAsia"/>
          <w:color w:val="auto"/>
          <w:lang w:val="zh-CN" w:eastAsia="zh-CN"/>
        </w:rPr>
      </w:pPr>
      <w:r>
        <w:rPr>
          <w:rFonts w:hint="eastAsia"/>
          <w:color w:val="auto"/>
          <w:lang w:val="zh-CN" w:eastAsia="zh-CN"/>
        </w:rPr>
        <w:t>施工产生的扬尘主要包括土方挖掘、堆放、清运、回填等过程产生的扬尘；运输车辆往来造成地面扬尘；建筑材料以及土方等在其装卸、运输、堆放等过程中，因风力作用而产生的扬尘污染等。</w:t>
      </w:r>
    </w:p>
    <w:p w14:paraId="66EA83A7">
      <w:pPr>
        <w:bidi w:val="0"/>
        <w:rPr>
          <w:rFonts w:hint="eastAsia"/>
          <w:color w:val="auto"/>
          <w:lang w:val="zh-CN" w:eastAsia="zh-CN"/>
        </w:rPr>
      </w:pPr>
      <w:r>
        <w:rPr>
          <w:rFonts w:hint="eastAsia"/>
          <w:color w:val="auto"/>
          <w:lang w:val="zh-CN" w:eastAsia="zh-CN"/>
        </w:rPr>
        <w:t>1）土方挖掘、堆放、清运、回填等过程产生的扬尘</w:t>
      </w:r>
    </w:p>
    <w:p w14:paraId="1B76D50E">
      <w:pPr>
        <w:bidi w:val="0"/>
        <w:rPr>
          <w:rFonts w:hint="eastAsia"/>
          <w:color w:val="auto"/>
          <w:lang w:val="zh-CN" w:eastAsia="zh-CN"/>
        </w:rPr>
      </w:pPr>
      <w:r>
        <w:rPr>
          <w:rFonts w:hint="eastAsia"/>
          <w:color w:val="auto"/>
          <w:lang w:val="zh-CN" w:eastAsia="zh-CN"/>
        </w:rPr>
        <w:t>此类扬尘与砂土的粒度、湿度有关，并随天气条件而变化，难以定量估算。但就正常情况而言，扬尘量与砂土的粒度、湿度成反比，而与地面风速及地面扬尘启动风速的三次方成正比。由于在施工过程中，土质一般较松散，因此，在大风、天气干燥尤其是秋冬少雨季节的气象条件下施工场地的地面扬尘可能对项目近邻的周边区域产生较大的影响。通过类比调查，土地开挖产生的粉尘在未采取防护措施和土壤较为干燥时，施工现场空气中TSP的浓度一般可达到3.2~4.3mg/m</w:t>
      </w:r>
      <w:r>
        <w:rPr>
          <w:rFonts w:hint="eastAsia"/>
          <w:color w:val="auto"/>
          <w:vertAlign w:val="superscript"/>
          <w:lang w:val="zh-CN" w:eastAsia="zh-CN"/>
        </w:rPr>
        <w:t>3</w:t>
      </w:r>
      <w:r>
        <w:rPr>
          <w:rFonts w:hint="eastAsia"/>
          <w:color w:val="auto"/>
          <w:lang w:val="zh-CN" w:eastAsia="zh-CN"/>
        </w:rPr>
        <w:t>；在采取一定防护措施和土壤较为湿润时，施工现场空气中TSP的浓度可达到0.3-0.5mg/m</w:t>
      </w:r>
      <w:r>
        <w:rPr>
          <w:rFonts w:hint="eastAsia"/>
          <w:color w:val="auto"/>
          <w:vertAlign w:val="superscript"/>
          <w:lang w:val="zh-CN" w:eastAsia="zh-CN"/>
        </w:rPr>
        <w:t>3</w:t>
      </w:r>
      <w:r>
        <w:rPr>
          <w:rFonts w:hint="eastAsia"/>
          <w:color w:val="auto"/>
          <w:lang w:val="zh-CN" w:eastAsia="zh-CN"/>
        </w:rPr>
        <w:t>。</w:t>
      </w:r>
    </w:p>
    <w:p w14:paraId="468BE94A">
      <w:pPr>
        <w:bidi w:val="0"/>
        <w:rPr>
          <w:rFonts w:hint="eastAsia"/>
          <w:color w:val="auto"/>
          <w:lang w:val="zh-CN" w:eastAsia="zh-CN"/>
        </w:rPr>
      </w:pPr>
      <w:r>
        <w:rPr>
          <w:rFonts w:hint="eastAsia"/>
          <w:color w:val="auto"/>
          <w:lang w:val="zh-CN" w:eastAsia="zh-CN"/>
        </w:rPr>
        <w:t>本项目</w:t>
      </w:r>
      <w:r>
        <w:rPr>
          <w:rFonts w:hint="eastAsia"/>
          <w:color w:val="auto"/>
          <w:lang w:val="en-US" w:eastAsia="zh-CN"/>
        </w:rPr>
        <w:t>抛泥清除工程</w:t>
      </w:r>
      <w:r>
        <w:rPr>
          <w:rFonts w:hint="eastAsia"/>
          <w:color w:val="auto"/>
          <w:lang w:val="zh-CN" w:eastAsia="zh-CN"/>
        </w:rPr>
        <w:t>均在河道以及河道周边施工，土石方含水率较高，施工过程土石方开挖、回填、装卸等扬尘产生量较小。</w:t>
      </w:r>
    </w:p>
    <w:p w14:paraId="04C59658">
      <w:pPr>
        <w:bidi w:val="0"/>
        <w:rPr>
          <w:rFonts w:hint="eastAsia"/>
          <w:color w:val="auto"/>
          <w:lang w:val="zh-CN" w:eastAsia="zh-CN"/>
        </w:rPr>
      </w:pPr>
      <w:r>
        <w:rPr>
          <w:rFonts w:hint="eastAsia"/>
          <w:color w:val="auto"/>
          <w:lang w:val="zh-CN" w:eastAsia="zh-CN"/>
        </w:rPr>
        <w:t>施工期对大气环境的影响主要是各工程建设产生的扬尘，但其仅对局地大气环境有一定影响，采取一些洒水增湿作业等措施后，对区域大气环境的影响较小，且随着施工的结束，施工期大气影响随之消失。</w:t>
      </w:r>
    </w:p>
    <w:p w14:paraId="10AB9F06">
      <w:pPr>
        <w:bidi w:val="0"/>
        <w:rPr>
          <w:rFonts w:hint="eastAsia"/>
          <w:color w:val="auto"/>
          <w:lang w:val="zh-CN" w:eastAsia="zh-CN"/>
        </w:rPr>
      </w:pPr>
      <w:r>
        <w:rPr>
          <w:rFonts w:hint="eastAsia"/>
          <w:color w:val="auto"/>
          <w:lang w:val="zh-CN" w:eastAsia="zh-CN"/>
        </w:rPr>
        <w:t>2）施工物料堆放及装卸过程中产生的扬尘</w:t>
      </w:r>
    </w:p>
    <w:p w14:paraId="6A3969FA">
      <w:pPr>
        <w:bidi w:val="0"/>
        <w:rPr>
          <w:rFonts w:hint="eastAsia"/>
          <w:color w:val="auto"/>
          <w:lang w:val="zh-CN" w:eastAsia="zh-CN"/>
        </w:rPr>
      </w:pPr>
      <w:r>
        <w:rPr>
          <w:rFonts w:hint="eastAsia"/>
          <w:color w:val="auto"/>
          <w:lang w:val="zh-CN" w:eastAsia="zh-CN"/>
        </w:rPr>
        <w:t>在施工场地的物料堆场或临时堆放场所，若水泥、砂石等土建材料露天堆放不加覆盖，容易导致扬尘的发生。此类扬尘的产生条件及产生量与场地平整、土石方清挖过程的地面扬尘的情况基本相似。</w:t>
      </w:r>
    </w:p>
    <w:p w14:paraId="016CC257">
      <w:pPr>
        <w:bidi w:val="0"/>
        <w:rPr>
          <w:rFonts w:hint="eastAsia"/>
          <w:color w:val="auto"/>
          <w:lang w:val="zh-CN" w:eastAsia="zh-CN"/>
        </w:rPr>
      </w:pPr>
      <w:r>
        <w:rPr>
          <w:rFonts w:hint="eastAsia"/>
          <w:color w:val="auto"/>
          <w:lang w:val="zh-CN" w:eastAsia="zh-CN"/>
        </w:rPr>
        <w:t>3）运输车辆造成的道路扬尘</w:t>
      </w:r>
    </w:p>
    <w:p w14:paraId="3EC859CF">
      <w:pPr>
        <w:bidi w:val="0"/>
        <w:rPr>
          <w:rFonts w:hint="eastAsia"/>
          <w:color w:val="auto"/>
          <w:lang w:val="zh-CN" w:eastAsia="zh-CN"/>
        </w:rPr>
      </w:pPr>
      <w:r>
        <w:rPr>
          <w:rFonts w:hint="eastAsia"/>
          <w:color w:val="auto"/>
          <w:lang w:val="zh-CN" w:eastAsia="zh-CN"/>
        </w:rPr>
        <w:t>施工道路扬尘包括施工车辆行驶时产生的路面扬尘、车上物料的沿途散落和风致扬尘，主要集中在工程施工区内的进场道路和主要运输干道两侧，尤其是作为场外物资进入施工区的主要通道的场外进场公路段。路面扬尘与路况、天气条件密切相关。对施工车辆经过的路段而言，积尘相对较多，若不能经常清除、冲洗路面积尘，则车辆经过时引起的扬尘较一般交通路面大得多，尤其在干燥的天气条件下，对道路两侧的影响明显。在物料运输过程中，物料在起、迄点的装卸和沿途的散落也会产生一定数量的扬尘。据了解，施工现场土方湿度较大，运输、装卸过程所引起的风致扬尘量相对于水泥、沙土而言要少得多。</w:t>
      </w:r>
    </w:p>
    <w:p w14:paraId="352FAFC2">
      <w:pPr>
        <w:bidi w:val="0"/>
        <w:rPr>
          <w:rFonts w:hint="eastAsia"/>
          <w:color w:val="auto"/>
          <w:lang w:val="zh-CN" w:eastAsia="zh-CN"/>
        </w:rPr>
      </w:pPr>
      <w:r>
        <w:rPr>
          <w:rFonts w:hint="eastAsia"/>
          <w:color w:val="auto"/>
          <w:lang w:val="zh-CN" w:eastAsia="zh-CN"/>
        </w:rPr>
        <w:t>根据有关资料，施工过程中车辆行驶产生的扬尘约占施工总扬尘量的60%以上，一般情况车辆行驶产生的扬尘在同样路面清洁程度下，车速越快，扬尘量越大；而在同样车速下，路面越脏扬尘量越大。这部分扬尘多属粒径较大的颗粒物，根据同类工程资料，未铺装道路路面泥土粉尘粒径分布小于5μm的占8%，5～30μm的占24%，大于30μm的占68%，若在春季施工，风速较大，地表干燥，扬尘量必然很大，将对河道沿线特别是下风向空气环境产生污染；夏季施工，因风速较小，加之此季降水较多，地表潮湿，不易产生扬尘。</w:t>
      </w:r>
    </w:p>
    <w:p w14:paraId="19A34A0B">
      <w:pPr>
        <w:bidi w:val="0"/>
        <w:rPr>
          <w:rFonts w:hint="eastAsia"/>
          <w:color w:val="auto"/>
          <w:lang w:val="zh-CN" w:eastAsia="zh-CN"/>
        </w:rPr>
      </w:pPr>
      <w:r>
        <w:rPr>
          <w:rFonts w:hint="eastAsia"/>
          <w:color w:val="auto"/>
          <w:lang w:val="zh-CN" w:eastAsia="zh-CN"/>
        </w:rPr>
        <w:t>（</w:t>
      </w:r>
      <w:r>
        <w:rPr>
          <w:rFonts w:hint="eastAsia"/>
          <w:color w:val="auto"/>
          <w:lang w:val="en-US" w:eastAsia="zh-CN"/>
        </w:rPr>
        <w:t>2</w:t>
      </w:r>
      <w:r>
        <w:rPr>
          <w:rFonts w:hint="eastAsia"/>
          <w:color w:val="auto"/>
          <w:lang w:val="zh-CN" w:eastAsia="zh-CN"/>
        </w:rPr>
        <w:t>）燃油废气</w:t>
      </w:r>
    </w:p>
    <w:p w14:paraId="3AF628D9">
      <w:pPr>
        <w:bidi w:val="0"/>
        <w:rPr>
          <w:rFonts w:hint="eastAsia"/>
          <w:color w:val="auto"/>
          <w:lang w:val="zh-CN" w:eastAsia="zh-CN"/>
        </w:rPr>
      </w:pPr>
      <w:r>
        <w:rPr>
          <w:rFonts w:hint="eastAsia"/>
          <w:color w:val="auto"/>
          <w:lang w:val="zh-CN" w:eastAsia="zh-CN"/>
        </w:rPr>
        <w:t>本工程施工过程中使用的挖掘机、推土机、运输车辆等作业时将产生燃油废气，其主要污染物为SO</w:t>
      </w:r>
      <w:r>
        <w:rPr>
          <w:rFonts w:hint="eastAsia"/>
          <w:color w:val="auto"/>
          <w:vertAlign w:val="subscript"/>
          <w:lang w:val="zh-CN" w:eastAsia="zh-CN"/>
        </w:rPr>
        <w:t>2</w:t>
      </w:r>
      <w:r>
        <w:rPr>
          <w:rFonts w:hint="eastAsia"/>
          <w:color w:val="auto"/>
          <w:lang w:val="zh-CN" w:eastAsia="zh-CN"/>
        </w:rPr>
        <w:t>、NOx、总烃等，对大气环境会产生一定的影响。其产生量与施工机械数量及密度、耗油量、燃料品质及机械设备状况有关。施工机械属于间歇性污染源，运输车辆为流动性污染源，属无组织排放，排放主要集中在施工场地、施工运输公路和施工区域沿线。</w:t>
      </w:r>
    </w:p>
    <w:p w14:paraId="4F47B73D">
      <w:pPr>
        <w:bidi w:val="0"/>
        <w:rPr>
          <w:rFonts w:hint="eastAsia"/>
          <w:color w:val="auto"/>
          <w:lang w:val="zh-CN" w:eastAsia="zh-CN"/>
        </w:rPr>
      </w:pPr>
      <w:r>
        <w:rPr>
          <w:rFonts w:hint="eastAsia"/>
          <w:color w:val="auto"/>
          <w:lang w:val="zh-CN" w:eastAsia="zh-CN"/>
        </w:rPr>
        <w:t>施工场地汽车尾气对大气环境的影响有如下几个特点：</w:t>
      </w:r>
    </w:p>
    <w:p w14:paraId="6361F688">
      <w:pPr>
        <w:bidi w:val="0"/>
        <w:rPr>
          <w:rFonts w:hint="eastAsia"/>
          <w:color w:val="auto"/>
          <w:lang w:val="zh-CN" w:eastAsia="zh-CN"/>
        </w:rPr>
      </w:pPr>
      <w:r>
        <w:rPr>
          <w:rFonts w:hint="eastAsia"/>
          <w:color w:val="auto"/>
          <w:lang w:val="zh-CN" w:eastAsia="zh-CN"/>
        </w:rPr>
        <w:t>①车辆在是施工场范围内活动，尾气呈面源污染形式；</w:t>
      </w:r>
    </w:p>
    <w:p w14:paraId="4FBBB880">
      <w:pPr>
        <w:bidi w:val="0"/>
        <w:rPr>
          <w:rFonts w:hint="eastAsia"/>
          <w:color w:val="auto"/>
          <w:lang w:val="zh-CN" w:eastAsia="zh-CN"/>
        </w:rPr>
      </w:pPr>
      <w:r>
        <w:rPr>
          <w:rFonts w:hint="eastAsia"/>
          <w:color w:val="auto"/>
          <w:lang w:val="zh-CN" w:eastAsia="zh-CN"/>
        </w:rPr>
        <w:t>②车辆排气筒高度较低，尾气扩散范围不大，对周围地区影响较小；</w:t>
      </w:r>
    </w:p>
    <w:p w14:paraId="7FF06E46">
      <w:pPr>
        <w:bidi w:val="0"/>
        <w:rPr>
          <w:rFonts w:hint="eastAsia"/>
          <w:color w:val="auto"/>
          <w:lang w:val="zh-CN" w:eastAsia="zh-CN"/>
        </w:rPr>
      </w:pPr>
      <w:r>
        <w:rPr>
          <w:rFonts w:hint="eastAsia"/>
          <w:color w:val="auto"/>
          <w:lang w:val="zh-CN" w:eastAsia="zh-CN"/>
        </w:rPr>
        <w:t>③车辆为非连续行驶状态，污染物排放时间及排放量相对较少。</w:t>
      </w:r>
    </w:p>
    <w:p w14:paraId="3750BC28">
      <w:pPr>
        <w:bidi w:val="0"/>
        <w:rPr>
          <w:rFonts w:hint="eastAsia"/>
          <w:color w:val="auto"/>
          <w:lang w:val="zh-CN" w:eastAsia="zh-CN"/>
        </w:rPr>
      </w:pPr>
      <w:r>
        <w:rPr>
          <w:rFonts w:hint="eastAsia"/>
          <w:color w:val="auto"/>
          <w:lang w:val="zh-CN" w:eastAsia="zh-CN"/>
        </w:rPr>
        <w:t>（</w:t>
      </w:r>
      <w:r>
        <w:rPr>
          <w:rFonts w:hint="eastAsia"/>
          <w:color w:val="auto"/>
          <w:lang w:val="en-US" w:eastAsia="zh-CN"/>
        </w:rPr>
        <w:t>3</w:t>
      </w:r>
      <w:r>
        <w:rPr>
          <w:rFonts w:hint="eastAsia"/>
          <w:color w:val="auto"/>
          <w:lang w:val="zh-CN" w:eastAsia="zh-CN"/>
        </w:rPr>
        <w:t>）底泥</w:t>
      </w:r>
      <w:r>
        <w:rPr>
          <w:rFonts w:hint="eastAsia"/>
          <w:color w:val="auto"/>
          <w:lang w:val="en-US" w:eastAsia="zh-CN"/>
        </w:rPr>
        <w:t>弃土</w:t>
      </w:r>
      <w:r>
        <w:rPr>
          <w:rFonts w:hint="eastAsia"/>
          <w:color w:val="auto"/>
          <w:lang w:val="zh-CN" w:eastAsia="zh-CN"/>
        </w:rPr>
        <w:t>恶臭</w:t>
      </w:r>
    </w:p>
    <w:p w14:paraId="457E8446">
      <w:pPr>
        <w:bidi w:val="0"/>
        <w:rPr>
          <w:rFonts w:hint="eastAsia"/>
          <w:color w:val="auto"/>
          <w:lang w:val="zh-CN" w:eastAsia="zh-CN"/>
        </w:rPr>
      </w:pPr>
      <w:r>
        <w:rPr>
          <w:rFonts w:hint="eastAsia"/>
          <w:color w:val="auto"/>
          <w:lang w:val="en-US" w:eastAsia="zh-CN"/>
        </w:rPr>
        <w:t>本项目抛泥区清除工程主要为滩地底泥弃土清除。清理</w:t>
      </w:r>
      <w:r>
        <w:rPr>
          <w:rFonts w:hint="eastAsia"/>
          <w:color w:val="auto"/>
          <w:lang w:val="zh-CN" w:eastAsia="zh-CN"/>
        </w:rPr>
        <w:t>后的</w:t>
      </w:r>
      <w:r>
        <w:rPr>
          <w:rFonts w:hint="eastAsia"/>
          <w:color w:val="auto"/>
          <w:lang w:val="en-US" w:eastAsia="zh-CN"/>
        </w:rPr>
        <w:t>底泥弃土</w:t>
      </w:r>
      <w:r>
        <w:rPr>
          <w:rFonts w:hint="eastAsia"/>
          <w:color w:val="auto"/>
          <w:lang w:val="zh-CN" w:eastAsia="zh-CN"/>
        </w:rPr>
        <w:t>在运至指定弃土</w:t>
      </w:r>
      <w:r>
        <w:rPr>
          <w:rFonts w:hint="eastAsia"/>
          <w:color w:val="auto"/>
          <w:lang w:val="en-US" w:eastAsia="zh-CN"/>
        </w:rPr>
        <w:t>区</w:t>
      </w:r>
      <w:r>
        <w:rPr>
          <w:rFonts w:hint="eastAsia"/>
          <w:color w:val="auto"/>
          <w:lang w:val="zh-CN" w:eastAsia="zh-CN"/>
        </w:rPr>
        <w:t>堆放晾晒，</w:t>
      </w:r>
      <w:r>
        <w:rPr>
          <w:rFonts w:hint="eastAsia"/>
          <w:color w:val="auto"/>
          <w:lang w:val="en-US" w:eastAsia="zh-CN"/>
        </w:rPr>
        <w:t>底泥弃土</w:t>
      </w:r>
      <w:r>
        <w:rPr>
          <w:rFonts w:hint="eastAsia"/>
          <w:color w:val="auto"/>
          <w:lang w:val="zh-CN" w:eastAsia="zh-CN"/>
        </w:rPr>
        <w:t>在运输过程中按照指定路线运输，尽量避开居民集中区。</w:t>
      </w:r>
      <w:r>
        <w:rPr>
          <w:rFonts w:hint="eastAsia"/>
          <w:color w:val="auto"/>
          <w:lang w:val="en-US" w:eastAsia="zh-CN"/>
        </w:rPr>
        <w:t>底泥弃土</w:t>
      </w:r>
      <w:r>
        <w:rPr>
          <w:rFonts w:hint="eastAsia"/>
          <w:color w:val="auto"/>
          <w:lang w:val="zh-CN" w:eastAsia="zh-CN"/>
        </w:rPr>
        <w:t>中含有有机质、氮、磷，在厌氧条件下会形成硫化氢、氨气等恶臭气体。根据类比分析，河道清淤过程中在底泥开挖段河道岸边将会有较明显的臭味，10m之外达到2级强度，有轻微臭味，低于恶臭强度的限制标准（2.5-3.5级）；40m之外基本无气味，而且这种影响是暂时的，随着施工期的结束影响也随之消失。</w:t>
      </w:r>
    </w:p>
    <w:p w14:paraId="426D10BA">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hint="eastAsia"/>
          <w:b/>
          <w:bCs w:val="0"/>
          <w:color w:val="auto"/>
          <w:lang w:val="zh-CN" w:eastAsia="zh-CN"/>
        </w:rPr>
        <w:t>底泥臭气强度</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9"/>
        <w:gridCol w:w="4275"/>
        <w:gridCol w:w="2788"/>
      </w:tblGrid>
      <w:tr w14:paraId="668C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7" w:type="pct"/>
            <w:tcMar>
              <w:left w:w="28" w:type="dxa"/>
              <w:right w:w="28" w:type="dxa"/>
            </w:tcMar>
            <w:vAlign w:val="center"/>
          </w:tcPr>
          <w:p w14:paraId="07ED4443">
            <w:pPr>
              <w:pStyle w:val="31"/>
              <w:bidi w:val="0"/>
              <w:rPr>
                <w:color w:val="auto"/>
                <w:lang w:val="en-GB" w:eastAsia="zh-TW"/>
              </w:rPr>
            </w:pPr>
            <w:r>
              <w:rPr>
                <w:color w:val="auto"/>
              </w:rPr>
              <w:t>距离</w:t>
            </w:r>
          </w:p>
        </w:tc>
        <w:tc>
          <w:tcPr>
            <w:tcW w:w="2556" w:type="pct"/>
            <w:tcMar>
              <w:left w:w="28" w:type="dxa"/>
              <w:right w:w="28" w:type="dxa"/>
            </w:tcMar>
            <w:vAlign w:val="center"/>
          </w:tcPr>
          <w:p w14:paraId="59196893">
            <w:pPr>
              <w:pStyle w:val="31"/>
              <w:bidi w:val="0"/>
              <w:rPr>
                <w:color w:val="auto"/>
                <w:lang w:val="en-GB" w:eastAsia="zh-TW"/>
              </w:rPr>
            </w:pPr>
            <w:r>
              <w:rPr>
                <w:color w:val="auto"/>
              </w:rPr>
              <w:t>臭气感觉强度</w:t>
            </w:r>
          </w:p>
        </w:tc>
        <w:tc>
          <w:tcPr>
            <w:tcW w:w="1667" w:type="pct"/>
            <w:tcMar>
              <w:left w:w="28" w:type="dxa"/>
              <w:right w:w="28" w:type="dxa"/>
            </w:tcMar>
            <w:vAlign w:val="center"/>
          </w:tcPr>
          <w:p w14:paraId="5B651849">
            <w:pPr>
              <w:pStyle w:val="31"/>
              <w:bidi w:val="0"/>
              <w:rPr>
                <w:color w:val="auto"/>
                <w:lang w:val="en-GB" w:eastAsia="zh-TW"/>
              </w:rPr>
            </w:pPr>
            <w:r>
              <w:rPr>
                <w:color w:val="auto"/>
              </w:rPr>
              <w:t>级别</w:t>
            </w:r>
          </w:p>
        </w:tc>
      </w:tr>
      <w:tr w14:paraId="05F1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7" w:type="pct"/>
            <w:tcMar>
              <w:left w:w="28" w:type="dxa"/>
              <w:right w:w="28" w:type="dxa"/>
            </w:tcMar>
            <w:vAlign w:val="center"/>
          </w:tcPr>
          <w:p w14:paraId="4AE3A646">
            <w:pPr>
              <w:pStyle w:val="31"/>
              <w:bidi w:val="0"/>
              <w:rPr>
                <w:color w:val="auto"/>
                <w:lang w:val="en-GB" w:eastAsia="zh-TW"/>
              </w:rPr>
            </w:pPr>
            <w:r>
              <w:rPr>
                <w:color w:val="auto"/>
              </w:rPr>
              <w:t>开挖区</w:t>
            </w:r>
          </w:p>
        </w:tc>
        <w:tc>
          <w:tcPr>
            <w:tcW w:w="2556" w:type="pct"/>
            <w:tcMar>
              <w:left w:w="28" w:type="dxa"/>
              <w:right w:w="28" w:type="dxa"/>
            </w:tcMar>
            <w:vAlign w:val="center"/>
          </w:tcPr>
          <w:p w14:paraId="606E0A9B">
            <w:pPr>
              <w:pStyle w:val="31"/>
              <w:bidi w:val="0"/>
              <w:rPr>
                <w:color w:val="auto"/>
                <w:lang w:val="en-GB" w:eastAsia="zh-TW"/>
              </w:rPr>
            </w:pPr>
            <w:r>
              <w:rPr>
                <w:color w:val="auto"/>
              </w:rPr>
              <w:t>有较明显臭味</w:t>
            </w:r>
          </w:p>
        </w:tc>
        <w:tc>
          <w:tcPr>
            <w:tcW w:w="1667" w:type="pct"/>
            <w:tcMar>
              <w:left w:w="28" w:type="dxa"/>
              <w:right w:w="28" w:type="dxa"/>
            </w:tcMar>
            <w:vAlign w:val="center"/>
          </w:tcPr>
          <w:p w14:paraId="3F06481C">
            <w:pPr>
              <w:pStyle w:val="31"/>
              <w:bidi w:val="0"/>
              <w:rPr>
                <w:color w:val="auto"/>
                <w:lang w:val="en-GB" w:eastAsia="zh-TW"/>
              </w:rPr>
            </w:pPr>
            <w:r>
              <w:rPr>
                <w:color w:val="auto"/>
              </w:rPr>
              <w:t>3级</w:t>
            </w:r>
          </w:p>
        </w:tc>
      </w:tr>
      <w:tr w14:paraId="68F45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7" w:type="pct"/>
            <w:tcMar>
              <w:left w:w="28" w:type="dxa"/>
              <w:right w:w="28" w:type="dxa"/>
            </w:tcMar>
            <w:vAlign w:val="center"/>
          </w:tcPr>
          <w:p w14:paraId="389A0652">
            <w:pPr>
              <w:pStyle w:val="31"/>
              <w:bidi w:val="0"/>
              <w:rPr>
                <w:color w:val="auto"/>
                <w:lang w:val="en-GB" w:eastAsia="zh-TW"/>
              </w:rPr>
            </w:pPr>
            <w:r>
              <w:rPr>
                <w:color w:val="auto"/>
              </w:rPr>
              <w:t>开挖区30m</w:t>
            </w:r>
          </w:p>
        </w:tc>
        <w:tc>
          <w:tcPr>
            <w:tcW w:w="2556" w:type="pct"/>
            <w:tcMar>
              <w:left w:w="28" w:type="dxa"/>
              <w:right w:w="28" w:type="dxa"/>
            </w:tcMar>
            <w:vAlign w:val="center"/>
          </w:tcPr>
          <w:p w14:paraId="21323943">
            <w:pPr>
              <w:pStyle w:val="31"/>
              <w:bidi w:val="0"/>
              <w:rPr>
                <w:color w:val="auto"/>
                <w:lang w:val="en-GB" w:eastAsia="zh-TW"/>
              </w:rPr>
            </w:pPr>
            <w:r>
              <w:rPr>
                <w:color w:val="auto"/>
              </w:rPr>
              <w:t>轻微</w:t>
            </w:r>
          </w:p>
        </w:tc>
        <w:tc>
          <w:tcPr>
            <w:tcW w:w="1667" w:type="pct"/>
            <w:tcMar>
              <w:left w:w="28" w:type="dxa"/>
              <w:right w:w="28" w:type="dxa"/>
            </w:tcMar>
            <w:vAlign w:val="center"/>
          </w:tcPr>
          <w:p w14:paraId="63F1E998">
            <w:pPr>
              <w:pStyle w:val="31"/>
              <w:bidi w:val="0"/>
              <w:rPr>
                <w:color w:val="auto"/>
                <w:lang w:val="en-GB" w:eastAsia="zh-TW"/>
              </w:rPr>
            </w:pPr>
            <w:r>
              <w:rPr>
                <w:color w:val="auto"/>
              </w:rPr>
              <w:t>2级</w:t>
            </w:r>
          </w:p>
        </w:tc>
      </w:tr>
      <w:tr w14:paraId="649C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7" w:type="pct"/>
            <w:tcMar>
              <w:left w:w="28" w:type="dxa"/>
              <w:right w:w="28" w:type="dxa"/>
            </w:tcMar>
            <w:vAlign w:val="center"/>
          </w:tcPr>
          <w:p w14:paraId="75931E31">
            <w:pPr>
              <w:pStyle w:val="31"/>
              <w:bidi w:val="0"/>
              <w:rPr>
                <w:color w:val="auto"/>
                <w:lang w:val="en-GB" w:eastAsia="zh-TW"/>
              </w:rPr>
            </w:pPr>
            <w:r>
              <w:rPr>
                <w:color w:val="auto"/>
              </w:rPr>
              <w:t>开挖区80m</w:t>
            </w:r>
          </w:p>
        </w:tc>
        <w:tc>
          <w:tcPr>
            <w:tcW w:w="2556" w:type="pct"/>
            <w:tcMar>
              <w:left w:w="28" w:type="dxa"/>
              <w:right w:w="28" w:type="dxa"/>
            </w:tcMar>
            <w:vAlign w:val="center"/>
          </w:tcPr>
          <w:p w14:paraId="1FE72A6C">
            <w:pPr>
              <w:pStyle w:val="31"/>
              <w:bidi w:val="0"/>
              <w:rPr>
                <w:color w:val="auto"/>
                <w:lang w:val="en-GB" w:eastAsia="zh-TW"/>
              </w:rPr>
            </w:pPr>
            <w:r>
              <w:rPr>
                <w:color w:val="auto"/>
              </w:rPr>
              <w:t>极微</w:t>
            </w:r>
          </w:p>
        </w:tc>
        <w:tc>
          <w:tcPr>
            <w:tcW w:w="1667" w:type="pct"/>
            <w:tcMar>
              <w:left w:w="28" w:type="dxa"/>
              <w:right w:w="28" w:type="dxa"/>
            </w:tcMar>
            <w:vAlign w:val="center"/>
          </w:tcPr>
          <w:p w14:paraId="4D977315">
            <w:pPr>
              <w:pStyle w:val="31"/>
              <w:bidi w:val="0"/>
              <w:rPr>
                <w:color w:val="auto"/>
                <w:lang w:val="en-GB" w:eastAsia="zh-TW"/>
              </w:rPr>
            </w:pPr>
            <w:r>
              <w:rPr>
                <w:color w:val="auto"/>
              </w:rPr>
              <w:t>1级</w:t>
            </w:r>
          </w:p>
        </w:tc>
      </w:tr>
      <w:tr w14:paraId="71C51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7" w:type="pct"/>
            <w:tcMar>
              <w:left w:w="28" w:type="dxa"/>
              <w:right w:w="28" w:type="dxa"/>
            </w:tcMar>
            <w:vAlign w:val="center"/>
          </w:tcPr>
          <w:p w14:paraId="6E79AEE8">
            <w:pPr>
              <w:pStyle w:val="31"/>
              <w:bidi w:val="0"/>
              <w:rPr>
                <w:color w:val="auto"/>
                <w:lang w:val="en-GB" w:eastAsia="zh-TW"/>
              </w:rPr>
            </w:pPr>
            <w:r>
              <w:rPr>
                <w:color w:val="auto"/>
              </w:rPr>
              <w:t>100m外</w:t>
            </w:r>
          </w:p>
        </w:tc>
        <w:tc>
          <w:tcPr>
            <w:tcW w:w="2556" w:type="pct"/>
            <w:tcMar>
              <w:left w:w="28" w:type="dxa"/>
              <w:right w:w="28" w:type="dxa"/>
            </w:tcMar>
            <w:vAlign w:val="center"/>
          </w:tcPr>
          <w:p w14:paraId="2D247DF4">
            <w:pPr>
              <w:pStyle w:val="31"/>
              <w:bidi w:val="0"/>
              <w:rPr>
                <w:color w:val="auto"/>
                <w:lang w:val="en-GB" w:eastAsia="zh-TW"/>
              </w:rPr>
            </w:pPr>
            <w:r>
              <w:rPr>
                <w:color w:val="auto"/>
              </w:rPr>
              <w:t>无</w:t>
            </w:r>
          </w:p>
        </w:tc>
        <w:tc>
          <w:tcPr>
            <w:tcW w:w="1667" w:type="pct"/>
            <w:tcMar>
              <w:left w:w="28" w:type="dxa"/>
              <w:right w:w="28" w:type="dxa"/>
            </w:tcMar>
            <w:vAlign w:val="center"/>
          </w:tcPr>
          <w:p w14:paraId="34701E80">
            <w:pPr>
              <w:pStyle w:val="31"/>
              <w:bidi w:val="0"/>
              <w:rPr>
                <w:color w:val="auto"/>
                <w:lang w:val="en-GB" w:eastAsia="zh-TW"/>
              </w:rPr>
            </w:pPr>
            <w:r>
              <w:rPr>
                <w:color w:val="auto"/>
              </w:rPr>
              <w:t>0级</w:t>
            </w:r>
          </w:p>
        </w:tc>
      </w:tr>
      <w:tr w14:paraId="14E1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7" w:type="pct"/>
            <w:tcMar>
              <w:left w:w="28" w:type="dxa"/>
              <w:right w:w="28" w:type="dxa"/>
            </w:tcMar>
            <w:vAlign w:val="center"/>
          </w:tcPr>
          <w:p w14:paraId="6BAC4B38">
            <w:pPr>
              <w:pStyle w:val="31"/>
              <w:bidi w:val="0"/>
              <w:rPr>
                <w:color w:val="auto"/>
                <w:lang w:val="en-GB" w:eastAsia="zh-TW"/>
              </w:rPr>
            </w:pPr>
            <w:r>
              <w:rPr>
                <w:color w:val="auto"/>
              </w:rPr>
              <w:t>备注</w:t>
            </w:r>
          </w:p>
        </w:tc>
        <w:tc>
          <w:tcPr>
            <w:tcW w:w="4223" w:type="pct"/>
            <w:gridSpan w:val="2"/>
            <w:tcMar>
              <w:left w:w="28" w:type="dxa"/>
              <w:right w:w="28" w:type="dxa"/>
            </w:tcMar>
            <w:vAlign w:val="center"/>
          </w:tcPr>
          <w:p w14:paraId="4FD81176">
            <w:pPr>
              <w:pStyle w:val="31"/>
              <w:bidi w:val="0"/>
              <w:rPr>
                <w:color w:val="auto"/>
                <w:lang w:val="en-GB" w:eastAsia="zh-TW"/>
              </w:rPr>
            </w:pPr>
            <w:r>
              <w:rPr>
                <w:color w:val="auto"/>
              </w:rPr>
              <w:t>恶臭强度是以臭味的嗅觉阈值为基准划分等级的，我国把恶臭强度分为6级</w:t>
            </w:r>
          </w:p>
        </w:tc>
      </w:tr>
    </w:tbl>
    <w:p w14:paraId="7F3977D2">
      <w:pPr>
        <w:pStyle w:val="5"/>
        <w:bidi w:val="0"/>
        <w:rPr>
          <w:rFonts w:hint="eastAsia"/>
          <w:color w:val="auto"/>
          <w:lang w:val="zh-CN" w:eastAsia="zh-CN"/>
        </w:rPr>
      </w:pPr>
      <w:r>
        <w:rPr>
          <w:rFonts w:hint="eastAsia"/>
          <w:color w:val="auto"/>
          <w:lang w:val="zh-CN" w:eastAsia="zh-CN"/>
        </w:rPr>
        <w:t>施工期声环境污染源分析</w:t>
      </w:r>
    </w:p>
    <w:p w14:paraId="473C1385">
      <w:pPr>
        <w:bidi w:val="0"/>
        <w:rPr>
          <w:rFonts w:hint="eastAsia"/>
          <w:color w:val="auto"/>
          <w:lang w:val="zh-CN" w:eastAsia="zh-CN"/>
        </w:rPr>
      </w:pPr>
      <w:r>
        <w:rPr>
          <w:rFonts w:hint="eastAsia"/>
          <w:color w:val="auto"/>
          <w:lang w:val="zh-CN" w:eastAsia="zh-CN"/>
        </w:rPr>
        <w:t>施工期的噪声污染源主要由两大部分组成，包括固定噪声源和流动噪声源。一是来自施工开挖、回填、夯实等施工活动中施工机械运行的固定、连续式声源噪声，具有声级大、声源强、连续性等特点；其次是载重车辆运输等流动、间断式的噪声源，具有声源面广、流动性强等特点。根据《环境噪声与振动控制工程技术导则》（HJ2034-2013）中附表A.2常见施工机械噪声源强及本项目特征。</w:t>
      </w:r>
    </w:p>
    <w:p w14:paraId="3B95F1F4">
      <w:pPr>
        <w:pStyle w:val="11"/>
        <w:rPr>
          <w:rFonts w:hint="eastAsia"/>
          <w:b/>
          <w:bCs w:val="0"/>
          <w:color w:val="auto"/>
          <w:lang w:val="zh-CN" w:eastAsia="zh-CN"/>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4</w:t>
      </w:r>
      <w:r>
        <w:rPr>
          <w:color w:val="auto"/>
        </w:rPr>
        <w:fldChar w:fldCharType="end"/>
      </w:r>
      <w:r>
        <w:rPr>
          <w:rFonts w:hint="eastAsia"/>
          <w:b/>
          <w:bCs w:val="0"/>
          <w:color w:val="auto"/>
          <w:lang w:val="zh-CN" w:eastAsia="zh-CN"/>
        </w:rPr>
        <w:t>各种施工机械设备噪声值</w:t>
      </w:r>
    </w:p>
    <w:tbl>
      <w:tblPr>
        <w:tblStyle w:val="24"/>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5"/>
        <w:gridCol w:w="1223"/>
        <w:gridCol w:w="1082"/>
        <w:gridCol w:w="762"/>
        <w:gridCol w:w="762"/>
        <w:gridCol w:w="762"/>
        <w:gridCol w:w="762"/>
        <w:gridCol w:w="763"/>
        <w:gridCol w:w="762"/>
      </w:tblGrid>
      <w:tr w14:paraId="6FFFE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878" w:type="pct"/>
            <w:noWrap w:val="0"/>
            <w:vAlign w:val="center"/>
          </w:tcPr>
          <w:p w14:paraId="1E9ACBAC">
            <w:pPr>
              <w:pStyle w:val="31"/>
              <w:bidi w:val="0"/>
              <w:rPr>
                <w:rFonts w:hint="default"/>
                <w:color w:val="auto"/>
                <w:lang w:val="zh-CN"/>
              </w:rPr>
            </w:pPr>
            <w:r>
              <w:rPr>
                <w:rFonts w:hint="default"/>
                <w:color w:val="auto"/>
                <w:lang w:val="zh-CN"/>
              </w:rPr>
              <w:t>机械名称</w:t>
            </w:r>
          </w:p>
        </w:tc>
        <w:tc>
          <w:tcPr>
            <w:tcW w:w="732" w:type="pct"/>
            <w:noWrap w:val="0"/>
            <w:vAlign w:val="center"/>
          </w:tcPr>
          <w:p w14:paraId="7B9E2027">
            <w:pPr>
              <w:pStyle w:val="31"/>
              <w:bidi w:val="0"/>
              <w:rPr>
                <w:rFonts w:hint="default"/>
                <w:color w:val="auto"/>
                <w:lang w:val="zh-CN"/>
              </w:rPr>
            </w:pPr>
            <w:r>
              <w:rPr>
                <w:rFonts w:hint="default"/>
                <w:color w:val="auto"/>
                <w:lang w:val="zh-CN"/>
              </w:rPr>
              <w:t>测点与声源</w:t>
            </w:r>
          </w:p>
          <w:p w14:paraId="268C577A">
            <w:pPr>
              <w:pStyle w:val="31"/>
              <w:bidi w:val="0"/>
              <w:rPr>
                <w:rFonts w:hint="default"/>
                <w:color w:val="auto"/>
                <w:lang w:val="zh-CN"/>
              </w:rPr>
            </w:pPr>
            <w:r>
              <w:rPr>
                <w:rFonts w:hint="default"/>
                <w:color w:val="auto"/>
                <w:lang w:val="zh-CN"/>
              </w:rPr>
              <w:t>距离</w:t>
            </w:r>
            <w:r>
              <w:rPr>
                <w:rFonts w:hint="eastAsia"/>
                <w:color w:val="auto"/>
                <w:lang w:val="zh-CN"/>
              </w:rPr>
              <w:t>（</w:t>
            </w:r>
            <w:r>
              <w:rPr>
                <w:rFonts w:hint="default"/>
                <w:color w:val="auto"/>
                <w:lang w:val="zh-CN"/>
              </w:rPr>
              <w:t>m</w:t>
            </w:r>
            <w:r>
              <w:rPr>
                <w:rFonts w:hint="eastAsia"/>
                <w:color w:val="auto"/>
                <w:lang w:val="zh-CN"/>
              </w:rPr>
              <w:t>）</w:t>
            </w:r>
          </w:p>
        </w:tc>
        <w:tc>
          <w:tcPr>
            <w:tcW w:w="648" w:type="pct"/>
            <w:noWrap w:val="0"/>
            <w:vAlign w:val="center"/>
          </w:tcPr>
          <w:p w14:paraId="2D5446B3">
            <w:pPr>
              <w:pStyle w:val="31"/>
              <w:bidi w:val="0"/>
              <w:rPr>
                <w:rFonts w:hint="default"/>
                <w:color w:val="auto"/>
                <w:lang w:val="zh-CN"/>
              </w:rPr>
            </w:pPr>
            <w:r>
              <w:rPr>
                <w:rFonts w:hint="default"/>
                <w:color w:val="auto"/>
                <w:lang w:val="zh-CN"/>
              </w:rPr>
              <w:t>噪声源强</w:t>
            </w:r>
          </w:p>
          <w:p w14:paraId="7FED6A70">
            <w:pPr>
              <w:pStyle w:val="31"/>
              <w:bidi w:val="0"/>
              <w:rPr>
                <w:rFonts w:hint="default"/>
                <w:color w:val="auto"/>
                <w:lang w:val="zh-CN"/>
              </w:rPr>
            </w:pPr>
            <w:r>
              <w:rPr>
                <w:rFonts w:hint="eastAsia"/>
                <w:color w:val="auto"/>
                <w:lang w:val="zh-CN"/>
              </w:rPr>
              <w:t>（</w:t>
            </w:r>
            <w:r>
              <w:rPr>
                <w:rFonts w:hint="default"/>
                <w:color w:val="auto"/>
                <w:lang w:val="zh-CN"/>
              </w:rPr>
              <w:t>dB</w:t>
            </w:r>
            <w:r>
              <w:rPr>
                <w:rFonts w:hint="eastAsia"/>
                <w:color w:val="auto"/>
                <w:lang w:val="zh-CN"/>
              </w:rPr>
              <w:t>（</w:t>
            </w:r>
            <w:r>
              <w:rPr>
                <w:rFonts w:hint="default"/>
                <w:color w:val="auto"/>
                <w:lang w:val="zh-CN"/>
              </w:rPr>
              <w:t>A</w:t>
            </w:r>
            <w:r>
              <w:rPr>
                <w:rFonts w:hint="eastAsia"/>
                <w:color w:val="auto"/>
                <w:lang w:val="zh-CN"/>
              </w:rPr>
              <w:t>））</w:t>
            </w:r>
          </w:p>
        </w:tc>
        <w:tc>
          <w:tcPr>
            <w:tcW w:w="456" w:type="pct"/>
            <w:noWrap w:val="0"/>
            <w:vAlign w:val="center"/>
          </w:tcPr>
          <w:p w14:paraId="14BFD891">
            <w:pPr>
              <w:pStyle w:val="31"/>
              <w:bidi w:val="0"/>
              <w:rPr>
                <w:rFonts w:hint="default"/>
                <w:color w:val="auto"/>
                <w:lang w:val="zh-CN"/>
              </w:rPr>
            </w:pPr>
            <w:r>
              <w:rPr>
                <w:rFonts w:hint="default"/>
                <w:color w:val="auto"/>
                <w:lang w:val="zh-CN"/>
              </w:rPr>
              <w:t>10m</w:t>
            </w:r>
          </w:p>
        </w:tc>
        <w:tc>
          <w:tcPr>
            <w:tcW w:w="456" w:type="pct"/>
            <w:noWrap w:val="0"/>
            <w:vAlign w:val="center"/>
          </w:tcPr>
          <w:p w14:paraId="1A0FE2CD">
            <w:pPr>
              <w:pStyle w:val="31"/>
              <w:bidi w:val="0"/>
              <w:rPr>
                <w:rFonts w:hint="default"/>
                <w:color w:val="auto"/>
                <w:lang w:val="zh-CN"/>
              </w:rPr>
            </w:pPr>
            <w:r>
              <w:rPr>
                <w:rFonts w:hint="default"/>
                <w:color w:val="auto"/>
                <w:lang w:val="zh-CN"/>
              </w:rPr>
              <w:t>20m</w:t>
            </w:r>
          </w:p>
        </w:tc>
        <w:tc>
          <w:tcPr>
            <w:tcW w:w="456" w:type="pct"/>
            <w:noWrap w:val="0"/>
            <w:vAlign w:val="center"/>
          </w:tcPr>
          <w:p w14:paraId="55AD648D">
            <w:pPr>
              <w:pStyle w:val="31"/>
              <w:bidi w:val="0"/>
              <w:rPr>
                <w:rFonts w:hint="default"/>
                <w:color w:val="auto"/>
                <w:lang w:val="zh-CN"/>
              </w:rPr>
            </w:pPr>
            <w:r>
              <w:rPr>
                <w:rFonts w:hint="default"/>
                <w:color w:val="auto"/>
                <w:lang w:val="zh-CN"/>
              </w:rPr>
              <w:t>50m</w:t>
            </w:r>
          </w:p>
        </w:tc>
        <w:tc>
          <w:tcPr>
            <w:tcW w:w="456" w:type="pct"/>
            <w:noWrap w:val="0"/>
            <w:vAlign w:val="center"/>
          </w:tcPr>
          <w:p w14:paraId="4C54579D">
            <w:pPr>
              <w:pStyle w:val="31"/>
              <w:bidi w:val="0"/>
              <w:rPr>
                <w:rFonts w:hint="default"/>
                <w:color w:val="auto"/>
                <w:lang w:val="zh-CN"/>
              </w:rPr>
            </w:pPr>
            <w:r>
              <w:rPr>
                <w:rFonts w:hint="default"/>
                <w:color w:val="auto"/>
                <w:lang w:val="zh-CN"/>
              </w:rPr>
              <w:t>100m</w:t>
            </w:r>
          </w:p>
        </w:tc>
        <w:tc>
          <w:tcPr>
            <w:tcW w:w="457" w:type="pct"/>
            <w:noWrap w:val="0"/>
            <w:vAlign w:val="center"/>
          </w:tcPr>
          <w:p w14:paraId="27333B4D">
            <w:pPr>
              <w:pStyle w:val="31"/>
              <w:bidi w:val="0"/>
              <w:rPr>
                <w:rFonts w:hint="default"/>
                <w:color w:val="auto"/>
                <w:lang w:val="zh-CN"/>
              </w:rPr>
            </w:pPr>
            <w:r>
              <w:rPr>
                <w:rFonts w:hint="default"/>
                <w:color w:val="auto"/>
                <w:lang w:val="zh-CN"/>
              </w:rPr>
              <w:t>150m</w:t>
            </w:r>
          </w:p>
        </w:tc>
        <w:tc>
          <w:tcPr>
            <w:tcW w:w="456" w:type="pct"/>
            <w:noWrap w:val="0"/>
            <w:vAlign w:val="center"/>
          </w:tcPr>
          <w:p w14:paraId="3980145E">
            <w:pPr>
              <w:pStyle w:val="31"/>
              <w:bidi w:val="0"/>
              <w:rPr>
                <w:rFonts w:hint="default"/>
                <w:color w:val="auto"/>
                <w:lang w:val="zh-CN"/>
              </w:rPr>
            </w:pPr>
            <w:r>
              <w:rPr>
                <w:rFonts w:hint="default"/>
                <w:color w:val="auto"/>
                <w:lang w:val="zh-CN"/>
              </w:rPr>
              <w:t>200m</w:t>
            </w:r>
          </w:p>
        </w:tc>
      </w:tr>
      <w:tr w14:paraId="06803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63AF17A1">
            <w:pPr>
              <w:pStyle w:val="31"/>
              <w:bidi w:val="0"/>
              <w:rPr>
                <w:rFonts w:hint="default"/>
                <w:color w:val="auto"/>
                <w:lang w:val="zh-CN"/>
              </w:rPr>
            </w:pPr>
            <w:r>
              <w:rPr>
                <w:rFonts w:hint="default"/>
                <w:color w:val="auto"/>
                <w:lang w:val="zh-CN"/>
              </w:rPr>
              <w:t>挖掘机</w:t>
            </w:r>
          </w:p>
        </w:tc>
        <w:tc>
          <w:tcPr>
            <w:tcW w:w="732" w:type="pct"/>
            <w:noWrap w:val="0"/>
            <w:vAlign w:val="center"/>
          </w:tcPr>
          <w:p w14:paraId="4E2C7168">
            <w:pPr>
              <w:pStyle w:val="31"/>
              <w:bidi w:val="0"/>
              <w:rPr>
                <w:rFonts w:hint="default"/>
                <w:color w:val="auto"/>
                <w:lang w:val="zh-CN"/>
              </w:rPr>
            </w:pPr>
            <w:r>
              <w:rPr>
                <w:rFonts w:hint="default"/>
                <w:color w:val="auto"/>
                <w:lang w:val="zh-CN"/>
              </w:rPr>
              <w:t>5</w:t>
            </w:r>
          </w:p>
        </w:tc>
        <w:tc>
          <w:tcPr>
            <w:tcW w:w="648" w:type="pct"/>
            <w:noWrap w:val="0"/>
            <w:vAlign w:val="center"/>
          </w:tcPr>
          <w:p w14:paraId="305113BF">
            <w:pPr>
              <w:pStyle w:val="31"/>
              <w:bidi w:val="0"/>
              <w:rPr>
                <w:rFonts w:hint="default"/>
                <w:color w:val="auto"/>
                <w:lang w:val="zh-CN"/>
              </w:rPr>
            </w:pPr>
            <w:r>
              <w:rPr>
                <w:rFonts w:hint="default"/>
                <w:color w:val="auto"/>
                <w:lang w:val="zh-CN"/>
              </w:rPr>
              <w:t>86</w:t>
            </w:r>
          </w:p>
        </w:tc>
        <w:tc>
          <w:tcPr>
            <w:tcW w:w="456" w:type="pct"/>
            <w:noWrap w:val="0"/>
            <w:vAlign w:val="center"/>
          </w:tcPr>
          <w:p w14:paraId="651456CE">
            <w:pPr>
              <w:pStyle w:val="31"/>
              <w:bidi w:val="0"/>
              <w:rPr>
                <w:rFonts w:hint="default"/>
                <w:color w:val="auto"/>
                <w:lang w:val="zh-CN"/>
              </w:rPr>
            </w:pPr>
            <w:r>
              <w:rPr>
                <w:rFonts w:hint="default"/>
                <w:color w:val="auto"/>
                <w:lang w:val="zh-CN"/>
              </w:rPr>
              <w:t>72.0</w:t>
            </w:r>
          </w:p>
        </w:tc>
        <w:tc>
          <w:tcPr>
            <w:tcW w:w="456" w:type="pct"/>
            <w:noWrap w:val="0"/>
            <w:vAlign w:val="center"/>
          </w:tcPr>
          <w:p w14:paraId="1029D8B8">
            <w:pPr>
              <w:pStyle w:val="31"/>
              <w:bidi w:val="0"/>
              <w:rPr>
                <w:rFonts w:hint="default"/>
                <w:color w:val="auto"/>
                <w:lang w:val="zh-CN"/>
              </w:rPr>
            </w:pPr>
            <w:r>
              <w:rPr>
                <w:rFonts w:hint="default"/>
                <w:color w:val="auto"/>
                <w:lang w:val="zh-CN"/>
              </w:rPr>
              <w:t>66.0</w:t>
            </w:r>
          </w:p>
        </w:tc>
        <w:tc>
          <w:tcPr>
            <w:tcW w:w="456" w:type="pct"/>
            <w:noWrap w:val="0"/>
            <w:vAlign w:val="center"/>
          </w:tcPr>
          <w:p w14:paraId="60344164">
            <w:pPr>
              <w:pStyle w:val="31"/>
              <w:bidi w:val="0"/>
              <w:rPr>
                <w:rFonts w:hint="default"/>
                <w:color w:val="auto"/>
                <w:lang w:val="zh-CN"/>
              </w:rPr>
            </w:pPr>
            <w:r>
              <w:rPr>
                <w:rFonts w:hint="default"/>
                <w:color w:val="auto"/>
                <w:lang w:val="zh-CN"/>
              </w:rPr>
              <w:t>58.0</w:t>
            </w:r>
          </w:p>
        </w:tc>
        <w:tc>
          <w:tcPr>
            <w:tcW w:w="456" w:type="pct"/>
            <w:noWrap w:val="0"/>
            <w:vAlign w:val="center"/>
          </w:tcPr>
          <w:p w14:paraId="51CA45E0">
            <w:pPr>
              <w:pStyle w:val="31"/>
              <w:bidi w:val="0"/>
              <w:rPr>
                <w:rFonts w:hint="default"/>
                <w:color w:val="auto"/>
                <w:lang w:val="zh-CN"/>
              </w:rPr>
            </w:pPr>
            <w:r>
              <w:rPr>
                <w:rFonts w:hint="default"/>
                <w:color w:val="auto"/>
                <w:lang w:val="zh-CN"/>
              </w:rPr>
              <w:t>52.0</w:t>
            </w:r>
          </w:p>
        </w:tc>
        <w:tc>
          <w:tcPr>
            <w:tcW w:w="457" w:type="pct"/>
            <w:noWrap w:val="0"/>
            <w:vAlign w:val="center"/>
          </w:tcPr>
          <w:p w14:paraId="2CD6FE12">
            <w:pPr>
              <w:pStyle w:val="31"/>
              <w:bidi w:val="0"/>
              <w:rPr>
                <w:rFonts w:hint="default"/>
                <w:color w:val="auto"/>
                <w:lang w:val="zh-CN"/>
              </w:rPr>
            </w:pPr>
            <w:r>
              <w:rPr>
                <w:rFonts w:hint="default"/>
                <w:color w:val="auto"/>
                <w:lang w:val="zh-CN"/>
              </w:rPr>
              <w:t>48.5</w:t>
            </w:r>
          </w:p>
        </w:tc>
        <w:tc>
          <w:tcPr>
            <w:tcW w:w="456" w:type="pct"/>
            <w:noWrap w:val="0"/>
            <w:vAlign w:val="center"/>
          </w:tcPr>
          <w:p w14:paraId="084024B3">
            <w:pPr>
              <w:pStyle w:val="31"/>
              <w:bidi w:val="0"/>
              <w:rPr>
                <w:rFonts w:hint="default"/>
                <w:color w:val="auto"/>
                <w:lang w:val="zh-CN"/>
              </w:rPr>
            </w:pPr>
            <w:r>
              <w:rPr>
                <w:rFonts w:hint="default"/>
                <w:color w:val="auto"/>
                <w:lang w:val="zh-CN"/>
              </w:rPr>
              <w:t>46.0</w:t>
            </w:r>
          </w:p>
        </w:tc>
      </w:tr>
      <w:tr w14:paraId="0B7EB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40FD0BCE">
            <w:pPr>
              <w:pStyle w:val="31"/>
              <w:bidi w:val="0"/>
              <w:rPr>
                <w:rFonts w:hint="default"/>
                <w:color w:val="auto"/>
                <w:lang w:val="zh-CN"/>
              </w:rPr>
            </w:pPr>
            <w:r>
              <w:rPr>
                <w:rFonts w:hint="default"/>
                <w:color w:val="auto"/>
                <w:lang w:val="zh-CN"/>
              </w:rPr>
              <w:t>推土机</w:t>
            </w:r>
          </w:p>
        </w:tc>
        <w:tc>
          <w:tcPr>
            <w:tcW w:w="732" w:type="pct"/>
            <w:noWrap w:val="0"/>
            <w:vAlign w:val="center"/>
          </w:tcPr>
          <w:p w14:paraId="0A303C0D">
            <w:pPr>
              <w:pStyle w:val="31"/>
              <w:bidi w:val="0"/>
              <w:rPr>
                <w:rFonts w:hint="default"/>
                <w:color w:val="auto"/>
                <w:lang w:val="zh-CN"/>
              </w:rPr>
            </w:pPr>
            <w:r>
              <w:rPr>
                <w:rFonts w:hint="default"/>
                <w:color w:val="auto"/>
                <w:lang w:val="zh-CN"/>
              </w:rPr>
              <w:t>5</w:t>
            </w:r>
          </w:p>
        </w:tc>
        <w:tc>
          <w:tcPr>
            <w:tcW w:w="648" w:type="pct"/>
            <w:noWrap w:val="0"/>
            <w:vAlign w:val="center"/>
          </w:tcPr>
          <w:p w14:paraId="59453E77">
            <w:pPr>
              <w:pStyle w:val="31"/>
              <w:bidi w:val="0"/>
              <w:rPr>
                <w:rFonts w:hint="default"/>
                <w:color w:val="auto"/>
                <w:lang w:val="zh-CN"/>
              </w:rPr>
            </w:pPr>
            <w:r>
              <w:rPr>
                <w:rFonts w:hint="default"/>
                <w:color w:val="auto"/>
                <w:lang w:val="zh-CN"/>
              </w:rPr>
              <w:t>86</w:t>
            </w:r>
          </w:p>
        </w:tc>
        <w:tc>
          <w:tcPr>
            <w:tcW w:w="456" w:type="pct"/>
            <w:noWrap w:val="0"/>
            <w:vAlign w:val="center"/>
          </w:tcPr>
          <w:p w14:paraId="285B6785">
            <w:pPr>
              <w:pStyle w:val="31"/>
              <w:bidi w:val="0"/>
              <w:rPr>
                <w:rFonts w:hint="default"/>
                <w:color w:val="auto"/>
                <w:lang w:val="zh-CN"/>
              </w:rPr>
            </w:pPr>
            <w:r>
              <w:rPr>
                <w:rFonts w:hint="default"/>
                <w:color w:val="auto"/>
                <w:lang w:val="zh-CN"/>
              </w:rPr>
              <w:t>72.0</w:t>
            </w:r>
          </w:p>
        </w:tc>
        <w:tc>
          <w:tcPr>
            <w:tcW w:w="456" w:type="pct"/>
            <w:noWrap w:val="0"/>
            <w:vAlign w:val="center"/>
          </w:tcPr>
          <w:p w14:paraId="677CCF7F">
            <w:pPr>
              <w:pStyle w:val="31"/>
              <w:bidi w:val="0"/>
              <w:rPr>
                <w:rFonts w:hint="default"/>
                <w:color w:val="auto"/>
                <w:lang w:val="zh-CN"/>
              </w:rPr>
            </w:pPr>
            <w:r>
              <w:rPr>
                <w:rFonts w:hint="default"/>
                <w:color w:val="auto"/>
                <w:lang w:val="zh-CN"/>
              </w:rPr>
              <w:t>66.0</w:t>
            </w:r>
          </w:p>
        </w:tc>
        <w:tc>
          <w:tcPr>
            <w:tcW w:w="456" w:type="pct"/>
            <w:noWrap w:val="0"/>
            <w:vAlign w:val="center"/>
          </w:tcPr>
          <w:p w14:paraId="0431E825">
            <w:pPr>
              <w:pStyle w:val="31"/>
              <w:bidi w:val="0"/>
              <w:rPr>
                <w:rFonts w:hint="default"/>
                <w:color w:val="auto"/>
                <w:lang w:val="zh-CN"/>
              </w:rPr>
            </w:pPr>
            <w:r>
              <w:rPr>
                <w:rFonts w:hint="default"/>
                <w:color w:val="auto"/>
                <w:lang w:val="zh-CN"/>
              </w:rPr>
              <w:t>58.0</w:t>
            </w:r>
          </w:p>
        </w:tc>
        <w:tc>
          <w:tcPr>
            <w:tcW w:w="456" w:type="pct"/>
            <w:noWrap w:val="0"/>
            <w:vAlign w:val="center"/>
          </w:tcPr>
          <w:p w14:paraId="1C0B8869">
            <w:pPr>
              <w:pStyle w:val="31"/>
              <w:bidi w:val="0"/>
              <w:rPr>
                <w:rFonts w:hint="default"/>
                <w:color w:val="auto"/>
                <w:lang w:val="zh-CN"/>
              </w:rPr>
            </w:pPr>
            <w:r>
              <w:rPr>
                <w:rFonts w:hint="default"/>
                <w:color w:val="auto"/>
                <w:lang w:val="zh-CN"/>
              </w:rPr>
              <w:t>52.0</w:t>
            </w:r>
          </w:p>
        </w:tc>
        <w:tc>
          <w:tcPr>
            <w:tcW w:w="457" w:type="pct"/>
            <w:noWrap w:val="0"/>
            <w:vAlign w:val="center"/>
          </w:tcPr>
          <w:p w14:paraId="2B2DA22A">
            <w:pPr>
              <w:pStyle w:val="31"/>
              <w:bidi w:val="0"/>
              <w:rPr>
                <w:rFonts w:hint="default"/>
                <w:color w:val="auto"/>
                <w:lang w:val="zh-CN"/>
              </w:rPr>
            </w:pPr>
            <w:r>
              <w:rPr>
                <w:rFonts w:hint="default"/>
                <w:color w:val="auto"/>
                <w:lang w:val="zh-CN"/>
              </w:rPr>
              <w:t>48.5</w:t>
            </w:r>
          </w:p>
        </w:tc>
        <w:tc>
          <w:tcPr>
            <w:tcW w:w="456" w:type="pct"/>
            <w:noWrap w:val="0"/>
            <w:vAlign w:val="center"/>
          </w:tcPr>
          <w:p w14:paraId="09F87398">
            <w:pPr>
              <w:pStyle w:val="31"/>
              <w:bidi w:val="0"/>
              <w:rPr>
                <w:rFonts w:hint="default"/>
                <w:color w:val="auto"/>
                <w:lang w:val="zh-CN"/>
              </w:rPr>
            </w:pPr>
            <w:r>
              <w:rPr>
                <w:rFonts w:hint="default"/>
                <w:color w:val="auto"/>
                <w:lang w:val="zh-CN"/>
              </w:rPr>
              <w:t>46.0</w:t>
            </w:r>
          </w:p>
        </w:tc>
      </w:tr>
      <w:tr w14:paraId="4ACFF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0F8899E2">
            <w:pPr>
              <w:pStyle w:val="31"/>
              <w:bidi w:val="0"/>
              <w:rPr>
                <w:rFonts w:hint="default"/>
                <w:color w:val="auto"/>
                <w:lang w:val="zh-CN"/>
              </w:rPr>
            </w:pPr>
            <w:r>
              <w:rPr>
                <w:rFonts w:hint="default"/>
                <w:color w:val="auto"/>
                <w:lang w:val="zh-CN"/>
              </w:rPr>
              <w:t>自卸汽车</w:t>
            </w:r>
          </w:p>
        </w:tc>
        <w:tc>
          <w:tcPr>
            <w:tcW w:w="732" w:type="pct"/>
            <w:noWrap w:val="0"/>
            <w:vAlign w:val="center"/>
          </w:tcPr>
          <w:p w14:paraId="4F23803A">
            <w:pPr>
              <w:pStyle w:val="31"/>
              <w:bidi w:val="0"/>
              <w:rPr>
                <w:rFonts w:hint="default"/>
                <w:color w:val="auto"/>
                <w:lang w:val="zh-CN"/>
              </w:rPr>
            </w:pPr>
            <w:r>
              <w:rPr>
                <w:rFonts w:hint="default"/>
                <w:color w:val="auto"/>
                <w:lang w:val="zh-CN"/>
              </w:rPr>
              <w:t>5</w:t>
            </w:r>
          </w:p>
        </w:tc>
        <w:tc>
          <w:tcPr>
            <w:tcW w:w="648" w:type="pct"/>
            <w:noWrap w:val="0"/>
            <w:vAlign w:val="center"/>
          </w:tcPr>
          <w:p w14:paraId="362F380C">
            <w:pPr>
              <w:pStyle w:val="31"/>
              <w:bidi w:val="0"/>
              <w:rPr>
                <w:rFonts w:hint="default"/>
                <w:color w:val="auto"/>
                <w:lang w:val="zh-CN"/>
              </w:rPr>
            </w:pPr>
            <w:r>
              <w:rPr>
                <w:rFonts w:hint="default"/>
                <w:color w:val="auto"/>
                <w:lang w:val="zh-CN"/>
              </w:rPr>
              <w:t>80</w:t>
            </w:r>
          </w:p>
        </w:tc>
        <w:tc>
          <w:tcPr>
            <w:tcW w:w="456" w:type="pct"/>
            <w:noWrap w:val="0"/>
            <w:vAlign w:val="center"/>
          </w:tcPr>
          <w:p w14:paraId="15C3C7FF">
            <w:pPr>
              <w:pStyle w:val="31"/>
              <w:bidi w:val="0"/>
              <w:rPr>
                <w:rFonts w:hint="default"/>
                <w:color w:val="auto"/>
                <w:lang w:val="zh-CN"/>
              </w:rPr>
            </w:pPr>
            <w:r>
              <w:rPr>
                <w:rFonts w:hint="default"/>
                <w:color w:val="auto"/>
                <w:lang w:val="zh-CN"/>
              </w:rPr>
              <w:t>66.0</w:t>
            </w:r>
          </w:p>
        </w:tc>
        <w:tc>
          <w:tcPr>
            <w:tcW w:w="456" w:type="pct"/>
            <w:noWrap w:val="0"/>
            <w:vAlign w:val="center"/>
          </w:tcPr>
          <w:p w14:paraId="7A483543">
            <w:pPr>
              <w:pStyle w:val="31"/>
              <w:bidi w:val="0"/>
              <w:rPr>
                <w:rFonts w:hint="default"/>
                <w:color w:val="auto"/>
                <w:lang w:val="zh-CN"/>
              </w:rPr>
            </w:pPr>
            <w:r>
              <w:rPr>
                <w:rFonts w:hint="default"/>
                <w:color w:val="auto"/>
                <w:lang w:val="zh-CN"/>
              </w:rPr>
              <w:t>60.0</w:t>
            </w:r>
          </w:p>
        </w:tc>
        <w:tc>
          <w:tcPr>
            <w:tcW w:w="456" w:type="pct"/>
            <w:noWrap w:val="0"/>
            <w:vAlign w:val="center"/>
          </w:tcPr>
          <w:p w14:paraId="00733B50">
            <w:pPr>
              <w:pStyle w:val="31"/>
              <w:bidi w:val="0"/>
              <w:rPr>
                <w:rFonts w:hint="default"/>
                <w:color w:val="auto"/>
                <w:lang w:val="zh-CN"/>
              </w:rPr>
            </w:pPr>
            <w:r>
              <w:rPr>
                <w:rFonts w:hint="default"/>
                <w:color w:val="auto"/>
                <w:lang w:val="zh-CN"/>
              </w:rPr>
              <w:t>52.0</w:t>
            </w:r>
          </w:p>
        </w:tc>
        <w:tc>
          <w:tcPr>
            <w:tcW w:w="456" w:type="pct"/>
            <w:noWrap w:val="0"/>
            <w:vAlign w:val="center"/>
          </w:tcPr>
          <w:p w14:paraId="22FE816D">
            <w:pPr>
              <w:pStyle w:val="31"/>
              <w:bidi w:val="0"/>
              <w:rPr>
                <w:rFonts w:hint="default"/>
                <w:color w:val="auto"/>
                <w:lang w:val="zh-CN"/>
              </w:rPr>
            </w:pPr>
            <w:r>
              <w:rPr>
                <w:rFonts w:hint="default"/>
                <w:color w:val="auto"/>
                <w:lang w:val="zh-CN"/>
              </w:rPr>
              <w:t>46.0</w:t>
            </w:r>
          </w:p>
        </w:tc>
        <w:tc>
          <w:tcPr>
            <w:tcW w:w="457" w:type="pct"/>
            <w:noWrap w:val="0"/>
            <w:vAlign w:val="center"/>
          </w:tcPr>
          <w:p w14:paraId="3019B1BD">
            <w:pPr>
              <w:pStyle w:val="31"/>
              <w:bidi w:val="0"/>
              <w:rPr>
                <w:rFonts w:hint="default"/>
                <w:color w:val="auto"/>
                <w:lang w:val="zh-CN"/>
              </w:rPr>
            </w:pPr>
            <w:r>
              <w:rPr>
                <w:rFonts w:hint="default"/>
                <w:color w:val="auto"/>
                <w:lang w:val="zh-CN"/>
              </w:rPr>
              <w:t>42.5</w:t>
            </w:r>
          </w:p>
        </w:tc>
        <w:tc>
          <w:tcPr>
            <w:tcW w:w="456" w:type="pct"/>
            <w:noWrap w:val="0"/>
            <w:vAlign w:val="center"/>
          </w:tcPr>
          <w:p w14:paraId="2C198E4C">
            <w:pPr>
              <w:pStyle w:val="31"/>
              <w:bidi w:val="0"/>
              <w:rPr>
                <w:rFonts w:hint="default"/>
                <w:color w:val="auto"/>
                <w:lang w:val="zh-CN"/>
              </w:rPr>
            </w:pPr>
            <w:r>
              <w:rPr>
                <w:rFonts w:hint="default"/>
                <w:color w:val="auto"/>
                <w:lang w:val="zh-CN"/>
              </w:rPr>
              <w:t>40.0</w:t>
            </w:r>
          </w:p>
        </w:tc>
      </w:tr>
      <w:tr w14:paraId="4D375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376C66C9">
            <w:pPr>
              <w:pStyle w:val="31"/>
              <w:bidi w:val="0"/>
              <w:rPr>
                <w:rFonts w:hint="default"/>
                <w:color w:val="auto"/>
                <w:lang w:val="zh-CN"/>
              </w:rPr>
            </w:pPr>
            <w:r>
              <w:rPr>
                <w:rFonts w:hint="default"/>
                <w:color w:val="auto"/>
                <w:lang w:val="zh-CN"/>
              </w:rPr>
              <w:t>蛙式夯实机</w:t>
            </w:r>
          </w:p>
        </w:tc>
        <w:tc>
          <w:tcPr>
            <w:tcW w:w="732" w:type="pct"/>
            <w:noWrap w:val="0"/>
            <w:vAlign w:val="center"/>
          </w:tcPr>
          <w:p w14:paraId="40544633">
            <w:pPr>
              <w:pStyle w:val="31"/>
              <w:bidi w:val="0"/>
              <w:rPr>
                <w:rFonts w:hint="default"/>
                <w:color w:val="auto"/>
                <w:lang w:val="zh-CN"/>
              </w:rPr>
            </w:pPr>
            <w:r>
              <w:rPr>
                <w:rFonts w:hint="default"/>
                <w:color w:val="auto"/>
                <w:lang w:val="zh-CN"/>
              </w:rPr>
              <w:t>5</w:t>
            </w:r>
          </w:p>
        </w:tc>
        <w:tc>
          <w:tcPr>
            <w:tcW w:w="648" w:type="pct"/>
            <w:noWrap w:val="0"/>
            <w:vAlign w:val="center"/>
          </w:tcPr>
          <w:p w14:paraId="37F7D8D6">
            <w:pPr>
              <w:pStyle w:val="31"/>
              <w:bidi w:val="0"/>
              <w:rPr>
                <w:rFonts w:hint="default"/>
                <w:color w:val="auto"/>
                <w:lang w:val="zh-CN"/>
              </w:rPr>
            </w:pPr>
            <w:r>
              <w:rPr>
                <w:rFonts w:hint="default"/>
                <w:color w:val="auto"/>
                <w:lang w:val="zh-CN"/>
              </w:rPr>
              <w:t>92</w:t>
            </w:r>
          </w:p>
        </w:tc>
        <w:tc>
          <w:tcPr>
            <w:tcW w:w="456" w:type="pct"/>
            <w:noWrap w:val="0"/>
            <w:vAlign w:val="center"/>
          </w:tcPr>
          <w:p w14:paraId="40343CBC">
            <w:pPr>
              <w:pStyle w:val="31"/>
              <w:bidi w:val="0"/>
              <w:rPr>
                <w:rFonts w:hint="default"/>
                <w:color w:val="auto"/>
                <w:lang w:val="zh-CN"/>
              </w:rPr>
            </w:pPr>
            <w:r>
              <w:rPr>
                <w:rFonts w:hint="default"/>
                <w:color w:val="auto"/>
                <w:lang w:val="zh-CN"/>
              </w:rPr>
              <w:t>78.0</w:t>
            </w:r>
          </w:p>
        </w:tc>
        <w:tc>
          <w:tcPr>
            <w:tcW w:w="456" w:type="pct"/>
            <w:noWrap w:val="0"/>
            <w:vAlign w:val="center"/>
          </w:tcPr>
          <w:p w14:paraId="024D8D05">
            <w:pPr>
              <w:pStyle w:val="31"/>
              <w:bidi w:val="0"/>
              <w:rPr>
                <w:rFonts w:hint="default"/>
                <w:color w:val="auto"/>
                <w:lang w:val="zh-CN"/>
              </w:rPr>
            </w:pPr>
            <w:r>
              <w:rPr>
                <w:rFonts w:hint="default"/>
                <w:color w:val="auto"/>
                <w:lang w:val="zh-CN"/>
              </w:rPr>
              <w:t>72.0</w:t>
            </w:r>
          </w:p>
        </w:tc>
        <w:tc>
          <w:tcPr>
            <w:tcW w:w="456" w:type="pct"/>
            <w:noWrap w:val="0"/>
            <w:vAlign w:val="center"/>
          </w:tcPr>
          <w:p w14:paraId="062A16E4">
            <w:pPr>
              <w:pStyle w:val="31"/>
              <w:bidi w:val="0"/>
              <w:rPr>
                <w:rFonts w:hint="default"/>
                <w:color w:val="auto"/>
                <w:lang w:val="zh-CN"/>
              </w:rPr>
            </w:pPr>
            <w:r>
              <w:rPr>
                <w:rFonts w:hint="default"/>
                <w:color w:val="auto"/>
                <w:lang w:val="zh-CN"/>
              </w:rPr>
              <w:t>64.0</w:t>
            </w:r>
          </w:p>
        </w:tc>
        <w:tc>
          <w:tcPr>
            <w:tcW w:w="456" w:type="pct"/>
            <w:noWrap w:val="0"/>
            <w:vAlign w:val="center"/>
          </w:tcPr>
          <w:p w14:paraId="312FCD07">
            <w:pPr>
              <w:pStyle w:val="31"/>
              <w:bidi w:val="0"/>
              <w:rPr>
                <w:rFonts w:hint="default"/>
                <w:color w:val="auto"/>
                <w:lang w:val="zh-CN"/>
              </w:rPr>
            </w:pPr>
            <w:r>
              <w:rPr>
                <w:rFonts w:hint="default"/>
                <w:color w:val="auto"/>
                <w:lang w:val="zh-CN"/>
              </w:rPr>
              <w:t>58.0</w:t>
            </w:r>
          </w:p>
        </w:tc>
        <w:tc>
          <w:tcPr>
            <w:tcW w:w="457" w:type="pct"/>
            <w:noWrap w:val="0"/>
            <w:vAlign w:val="center"/>
          </w:tcPr>
          <w:p w14:paraId="53D16E50">
            <w:pPr>
              <w:pStyle w:val="31"/>
              <w:bidi w:val="0"/>
              <w:rPr>
                <w:rFonts w:hint="default"/>
                <w:color w:val="auto"/>
                <w:lang w:val="zh-CN"/>
              </w:rPr>
            </w:pPr>
            <w:r>
              <w:rPr>
                <w:rFonts w:hint="default"/>
                <w:color w:val="auto"/>
                <w:lang w:val="zh-CN"/>
              </w:rPr>
              <w:t>54.5</w:t>
            </w:r>
          </w:p>
        </w:tc>
        <w:tc>
          <w:tcPr>
            <w:tcW w:w="456" w:type="pct"/>
            <w:noWrap w:val="0"/>
            <w:vAlign w:val="center"/>
          </w:tcPr>
          <w:p w14:paraId="1EBEB90B">
            <w:pPr>
              <w:pStyle w:val="31"/>
              <w:bidi w:val="0"/>
              <w:rPr>
                <w:rFonts w:hint="default"/>
                <w:color w:val="auto"/>
                <w:lang w:val="zh-CN"/>
              </w:rPr>
            </w:pPr>
            <w:r>
              <w:rPr>
                <w:rFonts w:hint="default"/>
                <w:color w:val="auto"/>
                <w:lang w:val="zh-CN"/>
              </w:rPr>
              <w:t>52.0</w:t>
            </w:r>
          </w:p>
        </w:tc>
      </w:tr>
      <w:tr w14:paraId="0F46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0AB31CC2">
            <w:pPr>
              <w:pStyle w:val="31"/>
              <w:bidi w:val="0"/>
              <w:rPr>
                <w:rFonts w:hint="default"/>
                <w:color w:val="auto"/>
                <w:lang w:val="zh-CN"/>
              </w:rPr>
            </w:pPr>
            <w:r>
              <w:rPr>
                <w:rFonts w:hint="default"/>
                <w:color w:val="auto"/>
                <w:lang w:val="zh-CN"/>
              </w:rPr>
              <w:t>卷扬机</w:t>
            </w:r>
          </w:p>
        </w:tc>
        <w:tc>
          <w:tcPr>
            <w:tcW w:w="732" w:type="pct"/>
            <w:noWrap w:val="0"/>
            <w:vAlign w:val="center"/>
          </w:tcPr>
          <w:p w14:paraId="2B00C569">
            <w:pPr>
              <w:pStyle w:val="31"/>
              <w:bidi w:val="0"/>
              <w:rPr>
                <w:rFonts w:hint="default"/>
                <w:color w:val="auto"/>
                <w:lang w:val="zh-CN"/>
              </w:rPr>
            </w:pPr>
            <w:r>
              <w:rPr>
                <w:rFonts w:hint="default"/>
                <w:color w:val="auto"/>
                <w:lang w:val="zh-CN"/>
              </w:rPr>
              <w:t>5</w:t>
            </w:r>
          </w:p>
        </w:tc>
        <w:tc>
          <w:tcPr>
            <w:tcW w:w="648" w:type="pct"/>
            <w:noWrap w:val="0"/>
            <w:vAlign w:val="center"/>
          </w:tcPr>
          <w:p w14:paraId="563666AF">
            <w:pPr>
              <w:pStyle w:val="31"/>
              <w:bidi w:val="0"/>
              <w:rPr>
                <w:rFonts w:hint="default"/>
                <w:color w:val="auto"/>
                <w:lang w:val="zh-CN"/>
              </w:rPr>
            </w:pPr>
            <w:r>
              <w:rPr>
                <w:rFonts w:hint="default"/>
                <w:color w:val="auto"/>
                <w:lang w:val="zh-CN"/>
              </w:rPr>
              <w:t>82</w:t>
            </w:r>
          </w:p>
        </w:tc>
        <w:tc>
          <w:tcPr>
            <w:tcW w:w="456" w:type="pct"/>
            <w:noWrap w:val="0"/>
            <w:vAlign w:val="center"/>
          </w:tcPr>
          <w:p w14:paraId="5AC3FF16">
            <w:pPr>
              <w:pStyle w:val="31"/>
              <w:bidi w:val="0"/>
              <w:rPr>
                <w:rFonts w:hint="default"/>
                <w:color w:val="auto"/>
                <w:lang w:val="zh-CN"/>
              </w:rPr>
            </w:pPr>
            <w:r>
              <w:rPr>
                <w:rFonts w:hint="default"/>
                <w:color w:val="auto"/>
                <w:lang w:val="zh-CN"/>
              </w:rPr>
              <w:t>68.0</w:t>
            </w:r>
          </w:p>
        </w:tc>
        <w:tc>
          <w:tcPr>
            <w:tcW w:w="456" w:type="pct"/>
            <w:noWrap w:val="0"/>
            <w:vAlign w:val="center"/>
          </w:tcPr>
          <w:p w14:paraId="250F12BE">
            <w:pPr>
              <w:pStyle w:val="31"/>
              <w:bidi w:val="0"/>
              <w:rPr>
                <w:rFonts w:hint="default"/>
                <w:color w:val="auto"/>
                <w:lang w:val="zh-CN"/>
              </w:rPr>
            </w:pPr>
            <w:r>
              <w:rPr>
                <w:rFonts w:hint="default"/>
                <w:color w:val="auto"/>
                <w:lang w:val="zh-CN"/>
              </w:rPr>
              <w:t>62.0</w:t>
            </w:r>
          </w:p>
        </w:tc>
        <w:tc>
          <w:tcPr>
            <w:tcW w:w="456" w:type="pct"/>
            <w:noWrap w:val="0"/>
            <w:vAlign w:val="center"/>
          </w:tcPr>
          <w:p w14:paraId="5269AC7F">
            <w:pPr>
              <w:pStyle w:val="31"/>
              <w:bidi w:val="0"/>
              <w:rPr>
                <w:rFonts w:hint="default"/>
                <w:color w:val="auto"/>
                <w:lang w:val="zh-CN"/>
              </w:rPr>
            </w:pPr>
            <w:r>
              <w:rPr>
                <w:rFonts w:hint="default"/>
                <w:color w:val="auto"/>
                <w:lang w:val="zh-CN"/>
              </w:rPr>
              <w:t>54.0</w:t>
            </w:r>
          </w:p>
        </w:tc>
        <w:tc>
          <w:tcPr>
            <w:tcW w:w="456" w:type="pct"/>
            <w:noWrap w:val="0"/>
            <w:vAlign w:val="center"/>
          </w:tcPr>
          <w:p w14:paraId="71571D13">
            <w:pPr>
              <w:pStyle w:val="31"/>
              <w:bidi w:val="0"/>
              <w:rPr>
                <w:rFonts w:hint="default"/>
                <w:color w:val="auto"/>
                <w:lang w:val="zh-CN"/>
              </w:rPr>
            </w:pPr>
            <w:r>
              <w:rPr>
                <w:rFonts w:hint="default"/>
                <w:color w:val="auto"/>
                <w:lang w:val="zh-CN"/>
              </w:rPr>
              <w:t>48.0</w:t>
            </w:r>
          </w:p>
        </w:tc>
        <w:tc>
          <w:tcPr>
            <w:tcW w:w="457" w:type="pct"/>
            <w:noWrap w:val="0"/>
            <w:vAlign w:val="center"/>
          </w:tcPr>
          <w:p w14:paraId="352D89AE">
            <w:pPr>
              <w:pStyle w:val="31"/>
              <w:bidi w:val="0"/>
              <w:rPr>
                <w:rFonts w:hint="default"/>
                <w:color w:val="auto"/>
                <w:lang w:val="zh-CN"/>
              </w:rPr>
            </w:pPr>
            <w:r>
              <w:rPr>
                <w:rFonts w:hint="default"/>
                <w:color w:val="auto"/>
                <w:lang w:val="zh-CN"/>
              </w:rPr>
              <w:t>44.5</w:t>
            </w:r>
          </w:p>
        </w:tc>
        <w:tc>
          <w:tcPr>
            <w:tcW w:w="456" w:type="pct"/>
            <w:noWrap w:val="0"/>
            <w:vAlign w:val="center"/>
          </w:tcPr>
          <w:p w14:paraId="4BDFA0A0">
            <w:pPr>
              <w:pStyle w:val="31"/>
              <w:bidi w:val="0"/>
              <w:rPr>
                <w:rFonts w:hint="default"/>
                <w:color w:val="auto"/>
                <w:lang w:val="zh-CN"/>
              </w:rPr>
            </w:pPr>
            <w:r>
              <w:rPr>
                <w:rFonts w:hint="default"/>
                <w:color w:val="auto"/>
                <w:lang w:val="zh-CN"/>
              </w:rPr>
              <w:t>42.0</w:t>
            </w:r>
          </w:p>
        </w:tc>
      </w:tr>
      <w:tr w14:paraId="2A64C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878" w:type="pct"/>
            <w:noWrap w:val="0"/>
            <w:vAlign w:val="center"/>
          </w:tcPr>
          <w:p w14:paraId="1F92CEF1">
            <w:pPr>
              <w:pStyle w:val="31"/>
              <w:bidi w:val="0"/>
              <w:rPr>
                <w:rFonts w:hint="default"/>
                <w:color w:val="auto"/>
                <w:lang w:val="zh-CN"/>
              </w:rPr>
            </w:pPr>
            <w:r>
              <w:rPr>
                <w:rFonts w:hint="default"/>
                <w:color w:val="auto"/>
                <w:lang w:val="zh-CN"/>
              </w:rPr>
              <w:t>离心水泵</w:t>
            </w:r>
          </w:p>
        </w:tc>
        <w:tc>
          <w:tcPr>
            <w:tcW w:w="732" w:type="pct"/>
            <w:noWrap w:val="0"/>
            <w:vAlign w:val="center"/>
          </w:tcPr>
          <w:p w14:paraId="0B7DE853">
            <w:pPr>
              <w:pStyle w:val="31"/>
              <w:bidi w:val="0"/>
              <w:rPr>
                <w:rFonts w:hint="default"/>
                <w:color w:val="auto"/>
                <w:lang w:val="zh-CN"/>
              </w:rPr>
            </w:pPr>
            <w:r>
              <w:rPr>
                <w:rFonts w:hint="default"/>
                <w:color w:val="auto"/>
                <w:lang w:val="zh-CN"/>
              </w:rPr>
              <w:t>5</w:t>
            </w:r>
          </w:p>
        </w:tc>
        <w:tc>
          <w:tcPr>
            <w:tcW w:w="648" w:type="pct"/>
            <w:noWrap w:val="0"/>
            <w:vAlign w:val="center"/>
          </w:tcPr>
          <w:p w14:paraId="4D10C80C">
            <w:pPr>
              <w:pStyle w:val="31"/>
              <w:bidi w:val="0"/>
              <w:rPr>
                <w:rFonts w:hint="default"/>
                <w:color w:val="auto"/>
                <w:lang w:val="zh-CN"/>
              </w:rPr>
            </w:pPr>
            <w:r>
              <w:rPr>
                <w:rFonts w:hint="default"/>
                <w:color w:val="auto"/>
                <w:lang w:val="zh-CN"/>
              </w:rPr>
              <w:t>82</w:t>
            </w:r>
          </w:p>
        </w:tc>
        <w:tc>
          <w:tcPr>
            <w:tcW w:w="456" w:type="pct"/>
            <w:noWrap w:val="0"/>
            <w:vAlign w:val="center"/>
          </w:tcPr>
          <w:p w14:paraId="45E318F0">
            <w:pPr>
              <w:pStyle w:val="31"/>
              <w:bidi w:val="0"/>
              <w:rPr>
                <w:rFonts w:hint="default"/>
                <w:color w:val="auto"/>
                <w:lang w:val="zh-CN"/>
              </w:rPr>
            </w:pPr>
            <w:r>
              <w:rPr>
                <w:rFonts w:hint="default"/>
                <w:color w:val="auto"/>
                <w:lang w:val="zh-CN"/>
              </w:rPr>
              <w:t>68.0</w:t>
            </w:r>
          </w:p>
        </w:tc>
        <w:tc>
          <w:tcPr>
            <w:tcW w:w="456" w:type="pct"/>
            <w:noWrap w:val="0"/>
            <w:vAlign w:val="center"/>
          </w:tcPr>
          <w:p w14:paraId="5CAA9177">
            <w:pPr>
              <w:pStyle w:val="31"/>
              <w:bidi w:val="0"/>
              <w:rPr>
                <w:rFonts w:hint="default"/>
                <w:color w:val="auto"/>
                <w:lang w:val="zh-CN"/>
              </w:rPr>
            </w:pPr>
            <w:r>
              <w:rPr>
                <w:rFonts w:hint="default"/>
                <w:color w:val="auto"/>
                <w:lang w:val="zh-CN"/>
              </w:rPr>
              <w:t>62.0</w:t>
            </w:r>
          </w:p>
        </w:tc>
        <w:tc>
          <w:tcPr>
            <w:tcW w:w="456" w:type="pct"/>
            <w:noWrap w:val="0"/>
            <w:vAlign w:val="center"/>
          </w:tcPr>
          <w:p w14:paraId="3C31AC11">
            <w:pPr>
              <w:pStyle w:val="31"/>
              <w:bidi w:val="0"/>
              <w:rPr>
                <w:rFonts w:hint="default"/>
                <w:color w:val="auto"/>
                <w:lang w:val="zh-CN"/>
              </w:rPr>
            </w:pPr>
            <w:r>
              <w:rPr>
                <w:rFonts w:hint="default"/>
                <w:color w:val="auto"/>
                <w:lang w:val="zh-CN"/>
              </w:rPr>
              <w:t>54.0</w:t>
            </w:r>
          </w:p>
        </w:tc>
        <w:tc>
          <w:tcPr>
            <w:tcW w:w="456" w:type="pct"/>
            <w:noWrap w:val="0"/>
            <w:vAlign w:val="center"/>
          </w:tcPr>
          <w:p w14:paraId="59EC5549">
            <w:pPr>
              <w:pStyle w:val="31"/>
              <w:bidi w:val="0"/>
              <w:rPr>
                <w:rFonts w:hint="default"/>
                <w:color w:val="auto"/>
                <w:lang w:val="zh-CN"/>
              </w:rPr>
            </w:pPr>
            <w:r>
              <w:rPr>
                <w:rFonts w:hint="default"/>
                <w:color w:val="auto"/>
                <w:lang w:val="zh-CN"/>
              </w:rPr>
              <w:t>48.0</w:t>
            </w:r>
          </w:p>
        </w:tc>
        <w:tc>
          <w:tcPr>
            <w:tcW w:w="457" w:type="pct"/>
            <w:noWrap w:val="0"/>
            <w:vAlign w:val="center"/>
          </w:tcPr>
          <w:p w14:paraId="29286757">
            <w:pPr>
              <w:pStyle w:val="31"/>
              <w:bidi w:val="0"/>
              <w:rPr>
                <w:rFonts w:hint="default"/>
                <w:color w:val="auto"/>
                <w:lang w:val="zh-CN"/>
              </w:rPr>
            </w:pPr>
            <w:r>
              <w:rPr>
                <w:rFonts w:hint="default"/>
                <w:color w:val="auto"/>
                <w:lang w:val="zh-CN"/>
              </w:rPr>
              <w:t>44.5</w:t>
            </w:r>
          </w:p>
        </w:tc>
        <w:tc>
          <w:tcPr>
            <w:tcW w:w="456" w:type="pct"/>
            <w:noWrap w:val="0"/>
            <w:vAlign w:val="center"/>
          </w:tcPr>
          <w:p w14:paraId="2EFF5CD2">
            <w:pPr>
              <w:pStyle w:val="31"/>
              <w:bidi w:val="0"/>
              <w:rPr>
                <w:rFonts w:hint="default"/>
                <w:color w:val="auto"/>
                <w:lang w:val="zh-CN"/>
              </w:rPr>
            </w:pPr>
            <w:r>
              <w:rPr>
                <w:rFonts w:hint="default"/>
                <w:color w:val="auto"/>
                <w:lang w:val="zh-CN"/>
              </w:rPr>
              <w:t>42.0</w:t>
            </w:r>
          </w:p>
        </w:tc>
      </w:tr>
      <w:tr w14:paraId="24F75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66A858B8">
            <w:pPr>
              <w:pStyle w:val="31"/>
              <w:bidi w:val="0"/>
              <w:rPr>
                <w:rFonts w:hint="default"/>
                <w:color w:val="auto"/>
                <w:lang w:val="zh-CN"/>
              </w:rPr>
            </w:pPr>
            <w:r>
              <w:rPr>
                <w:rFonts w:hint="default"/>
                <w:color w:val="auto"/>
                <w:lang w:val="zh-CN"/>
              </w:rPr>
              <w:t>起重机</w:t>
            </w:r>
          </w:p>
        </w:tc>
        <w:tc>
          <w:tcPr>
            <w:tcW w:w="732" w:type="pct"/>
            <w:noWrap w:val="0"/>
            <w:vAlign w:val="center"/>
          </w:tcPr>
          <w:p w14:paraId="155C3BD5">
            <w:pPr>
              <w:pStyle w:val="31"/>
              <w:bidi w:val="0"/>
              <w:rPr>
                <w:rFonts w:hint="default"/>
                <w:color w:val="auto"/>
                <w:lang w:val="zh-CN"/>
              </w:rPr>
            </w:pPr>
            <w:r>
              <w:rPr>
                <w:rFonts w:hint="default"/>
                <w:color w:val="auto"/>
                <w:lang w:val="zh-CN"/>
              </w:rPr>
              <w:t>5</w:t>
            </w:r>
          </w:p>
        </w:tc>
        <w:tc>
          <w:tcPr>
            <w:tcW w:w="648" w:type="pct"/>
            <w:noWrap w:val="0"/>
            <w:vAlign w:val="center"/>
          </w:tcPr>
          <w:p w14:paraId="283BF3D7">
            <w:pPr>
              <w:pStyle w:val="31"/>
              <w:bidi w:val="0"/>
              <w:rPr>
                <w:rFonts w:hint="default"/>
                <w:color w:val="auto"/>
                <w:lang w:val="zh-CN"/>
              </w:rPr>
            </w:pPr>
            <w:r>
              <w:rPr>
                <w:rFonts w:hint="default"/>
                <w:color w:val="auto"/>
                <w:lang w:val="zh-CN"/>
              </w:rPr>
              <w:t>82</w:t>
            </w:r>
          </w:p>
        </w:tc>
        <w:tc>
          <w:tcPr>
            <w:tcW w:w="456" w:type="pct"/>
            <w:noWrap w:val="0"/>
            <w:vAlign w:val="center"/>
          </w:tcPr>
          <w:p w14:paraId="434A3914">
            <w:pPr>
              <w:pStyle w:val="31"/>
              <w:bidi w:val="0"/>
              <w:rPr>
                <w:rFonts w:hint="default"/>
                <w:color w:val="auto"/>
                <w:lang w:val="zh-CN"/>
              </w:rPr>
            </w:pPr>
            <w:r>
              <w:rPr>
                <w:rFonts w:hint="default"/>
                <w:color w:val="auto"/>
                <w:lang w:val="zh-CN"/>
              </w:rPr>
              <w:t>68.0</w:t>
            </w:r>
          </w:p>
        </w:tc>
        <w:tc>
          <w:tcPr>
            <w:tcW w:w="456" w:type="pct"/>
            <w:noWrap w:val="0"/>
            <w:vAlign w:val="center"/>
          </w:tcPr>
          <w:p w14:paraId="79EE50CA">
            <w:pPr>
              <w:pStyle w:val="31"/>
              <w:bidi w:val="0"/>
              <w:rPr>
                <w:rFonts w:hint="default"/>
                <w:color w:val="auto"/>
                <w:lang w:val="zh-CN"/>
              </w:rPr>
            </w:pPr>
            <w:r>
              <w:rPr>
                <w:rFonts w:hint="default"/>
                <w:color w:val="auto"/>
                <w:lang w:val="zh-CN"/>
              </w:rPr>
              <w:t>62.0</w:t>
            </w:r>
          </w:p>
        </w:tc>
        <w:tc>
          <w:tcPr>
            <w:tcW w:w="456" w:type="pct"/>
            <w:noWrap w:val="0"/>
            <w:vAlign w:val="center"/>
          </w:tcPr>
          <w:p w14:paraId="1DAE3E6F">
            <w:pPr>
              <w:pStyle w:val="31"/>
              <w:bidi w:val="0"/>
              <w:rPr>
                <w:rFonts w:hint="default"/>
                <w:color w:val="auto"/>
                <w:lang w:val="zh-CN"/>
              </w:rPr>
            </w:pPr>
            <w:r>
              <w:rPr>
                <w:rFonts w:hint="default"/>
                <w:color w:val="auto"/>
                <w:lang w:val="zh-CN"/>
              </w:rPr>
              <w:t>54.0</w:t>
            </w:r>
          </w:p>
        </w:tc>
        <w:tc>
          <w:tcPr>
            <w:tcW w:w="456" w:type="pct"/>
            <w:noWrap w:val="0"/>
            <w:vAlign w:val="center"/>
          </w:tcPr>
          <w:p w14:paraId="0CA41901">
            <w:pPr>
              <w:pStyle w:val="31"/>
              <w:bidi w:val="0"/>
              <w:rPr>
                <w:rFonts w:hint="default"/>
                <w:color w:val="auto"/>
                <w:lang w:val="zh-CN"/>
              </w:rPr>
            </w:pPr>
            <w:r>
              <w:rPr>
                <w:rFonts w:hint="default"/>
                <w:color w:val="auto"/>
                <w:lang w:val="zh-CN"/>
              </w:rPr>
              <w:t>48.0</w:t>
            </w:r>
          </w:p>
        </w:tc>
        <w:tc>
          <w:tcPr>
            <w:tcW w:w="457" w:type="pct"/>
            <w:noWrap w:val="0"/>
            <w:vAlign w:val="center"/>
          </w:tcPr>
          <w:p w14:paraId="72A0BE03">
            <w:pPr>
              <w:pStyle w:val="31"/>
              <w:bidi w:val="0"/>
              <w:rPr>
                <w:rFonts w:hint="default"/>
                <w:color w:val="auto"/>
                <w:lang w:val="zh-CN"/>
              </w:rPr>
            </w:pPr>
            <w:r>
              <w:rPr>
                <w:rFonts w:hint="default"/>
                <w:color w:val="auto"/>
                <w:lang w:val="zh-CN"/>
              </w:rPr>
              <w:t>44.5</w:t>
            </w:r>
          </w:p>
        </w:tc>
        <w:tc>
          <w:tcPr>
            <w:tcW w:w="456" w:type="pct"/>
            <w:noWrap w:val="0"/>
            <w:vAlign w:val="center"/>
          </w:tcPr>
          <w:p w14:paraId="58D00AAD">
            <w:pPr>
              <w:pStyle w:val="31"/>
              <w:bidi w:val="0"/>
              <w:rPr>
                <w:rFonts w:hint="default"/>
                <w:color w:val="auto"/>
                <w:lang w:val="zh-CN"/>
              </w:rPr>
            </w:pPr>
            <w:r>
              <w:rPr>
                <w:rFonts w:hint="default"/>
                <w:color w:val="auto"/>
                <w:lang w:val="zh-CN"/>
              </w:rPr>
              <w:t>42.0</w:t>
            </w:r>
          </w:p>
        </w:tc>
      </w:tr>
      <w:tr w14:paraId="01A10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6A6ED7CF">
            <w:pPr>
              <w:pStyle w:val="31"/>
              <w:bidi w:val="0"/>
              <w:rPr>
                <w:rFonts w:hint="default"/>
                <w:color w:val="auto"/>
                <w:lang w:val="zh-CN"/>
              </w:rPr>
            </w:pPr>
            <w:r>
              <w:rPr>
                <w:rFonts w:hint="default"/>
                <w:color w:val="auto"/>
                <w:lang w:val="zh-CN"/>
              </w:rPr>
              <w:t>焊接设备</w:t>
            </w:r>
          </w:p>
        </w:tc>
        <w:tc>
          <w:tcPr>
            <w:tcW w:w="732" w:type="pct"/>
            <w:noWrap w:val="0"/>
            <w:vAlign w:val="center"/>
          </w:tcPr>
          <w:p w14:paraId="28502246">
            <w:pPr>
              <w:pStyle w:val="31"/>
              <w:bidi w:val="0"/>
              <w:rPr>
                <w:rFonts w:hint="default"/>
                <w:color w:val="auto"/>
                <w:lang w:val="zh-CN"/>
              </w:rPr>
            </w:pPr>
            <w:r>
              <w:rPr>
                <w:rFonts w:hint="default"/>
                <w:color w:val="auto"/>
                <w:lang w:val="zh-CN"/>
              </w:rPr>
              <w:t>5</w:t>
            </w:r>
          </w:p>
        </w:tc>
        <w:tc>
          <w:tcPr>
            <w:tcW w:w="648" w:type="pct"/>
            <w:noWrap w:val="0"/>
            <w:vAlign w:val="center"/>
          </w:tcPr>
          <w:p w14:paraId="690052BA">
            <w:pPr>
              <w:pStyle w:val="31"/>
              <w:bidi w:val="0"/>
              <w:rPr>
                <w:rFonts w:hint="default"/>
                <w:color w:val="auto"/>
                <w:lang w:val="zh-CN"/>
              </w:rPr>
            </w:pPr>
            <w:r>
              <w:rPr>
                <w:rFonts w:hint="default"/>
                <w:color w:val="auto"/>
                <w:lang w:val="zh-CN"/>
              </w:rPr>
              <w:t>82</w:t>
            </w:r>
          </w:p>
        </w:tc>
        <w:tc>
          <w:tcPr>
            <w:tcW w:w="456" w:type="pct"/>
            <w:noWrap w:val="0"/>
            <w:vAlign w:val="center"/>
          </w:tcPr>
          <w:p w14:paraId="6256AB23">
            <w:pPr>
              <w:pStyle w:val="31"/>
              <w:bidi w:val="0"/>
              <w:rPr>
                <w:rFonts w:hint="default"/>
                <w:color w:val="auto"/>
                <w:lang w:val="zh-CN"/>
              </w:rPr>
            </w:pPr>
            <w:r>
              <w:rPr>
                <w:rFonts w:hint="default"/>
                <w:color w:val="auto"/>
                <w:lang w:val="zh-CN"/>
              </w:rPr>
              <w:t>68.0</w:t>
            </w:r>
          </w:p>
        </w:tc>
        <w:tc>
          <w:tcPr>
            <w:tcW w:w="456" w:type="pct"/>
            <w:noWrap w:val="0"/>
            <w:vAlign w:val="center"/>
          </w:tcPr>
          <w:p w14:paraId="162E49DD">
            <w:pPr>
              <w:pStyle w:val="31"/>
              <w:bidi w:val="0"/>
              <w:rPr>
                <w:rFonts w:hint="default"/>
                <w:color w:val="auto"/>
                <w:lang w:val="zh-CN"/>
              </w:rPr>
            </w:pPr>
            <w:r>
              <w:rPr>
                <w:rFonts w:hint="default"/>
                <w:color w:val="auto"/>
                <w:lang w:val="zh-CN"/>
              </w:rPr>
              <w:t>62.0</w:t>
            </w:r>
          </w:p>
        </w:tc>
        <w:tc>
          <w:tcPr>
            <w:tcW w:w="456" w:type="pct"/>
            <w:noWrap w:val="0"/>
            <w:vAlign w:val="center"/>
          </w:tcPr>
          <w:p w14:paraId="50D36506">
            <w:pPr>
              <w:pStyle w:val="31"/>
              <w:bidi w:val="0"/>
              <w:rPr>
                <w:rFonts w:hint="default"/>
                <w:color w:val="auto"/>
                <w:lang w:val="zh-CN"/>
              </w:rPr>
            </w:pPr>
            <w:r>
              <w:rPr>
                <w:rFonts w:hint="default"/>
                <w:color w:val="auto"/>
                <w:lang w:val="zh-CN"/>
              </w:rPr>
              <w:t>54.0</w:t>
            </w:r>
          </w:p>
        </w:tc>
        <w:tc>
          <w:tcPr>
            <w:tcW w:w="456" w:type="pct"/>
            <w:noWrap w:val="0"/>
            <w:vAlign w:val="center"/>
          </w:tcPr>
          <w:p w14:paraId="1F3833F8">
            <w:pPr>
              <w:pStyle w:val="31"/>
              <w:bidi w:val="0"/>
              <w:rPr>
                <w:rFonts w:hint="default"/>
                <w:color w:val="auto"/>
                <w:lang w:val="zh-CN"/>
              </w:rPr>
            </w:pPr>
            <w:r>
              <w:rPr>
                <w:rFonts w:hint="default"/>
                <w:color w:val="auto"/>
                <w:lang w:val="zh-CN"/>
              </w:rPr>
              <w:t>48.0</w:t>
            </w:r>
          </w:p>
        </w:tc>
        <w:tc>
          <w:tcPr>
            <w:tcW w:w="457" w:type="pct"/>
            <w:noWrap w:val="0"/>
            <w:vAlign w:val="center"/>
          </w:tcPr>
          <w:p w14:paraId="11B8C84E">
            <w:pPr>
              <w:pStyle w:val="31"/>
              <w:bidi w:val="0"/>
              <w:rPr>
                <w:rFonts w:hint="default"/>
                <w:color w:val="auto"/>
                <w:lang w:val="zh-CN"/>
              </w:rPr>
            </w:pPr>
            <w:r>
              <w:rPr>
                <w:rFonts w:hint="default"/>
                <w:color w:val="auto"/>
                <w:lang w:val="zh-CN"/>
              </w:rPr>
              <w:t>44.5</w:t>
            </w:r>
          </w:p>
        </w:tc>
        <w:tc>
          <w:tcPr>
            <w:tcW w:w="456" w:type="pct"/>
            <w:noWrap w:val="0"/>
            <w:vAlign w:val="center"/>
          </w:tcPr>
          <w:p w14:paraId="3982708C">
            <w:pPr>
              <w:pStyle w:val="31"/>
              <w:bidi w:val="0"/>
              <w:rPr>
                <w:rFonts w:hint="default"/>
                <w:color w:val="auto"/>
                <w:lang w:val="zh-CN"/>
              </w:rPr>
            </w:pPr>
            <w:r>
              <w:rPr>
                <w:rFonts w:hint="default"/>
                <w:color w:val="auto"/>
                <w:lang w:val="zh-CN"/>
              </w:rPr>
              <w:t>42.0</w:t>
            </w:r>
          </w:p>
        </w:tc>
      </w:tr>
      <w:tr w14:paraId="10098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878" w:type="pct"/>
            <w:noWrap w:val="0"/>
            <w:vAlign w:val="center"/>
          </w:tcPr>
          <w:p w14:paraId="025DDBB9">
            <w:pPr>
              <w:pStyle w:val="31"/>
              <w:bidi w:val="0"/>
              <w:rPr>
                <w:rFonts w:hint="default"/>
                <w:color w:val="auto"/>
                <w:lang w:val="zh-CN"/>
              </w:rPr>
            </w:pPr>
            <w:r>
              <w:rPr>
                <w:rFonts w:hint="default"/>
                <w:color w:val="auto"/>
                <w:lang w:val="zh-CN"/>
              </w:rPr>
              <w:t>压路机</w:t>
            </w:r>
          </w:p>
        </w:tc>
        <w:tc>
          <w:tcPr>
            <w:tcW w:w="732" w:type="pct"/>
            <w:noWrap w:val="0"/>
            <w:vAlign w:val="center"/>
          </w:tcPr>
          <w:p w14:paraId="40BE35D4">
            <w:pPr>
              <w:pStyle w:val="31"/>
              <w:bidi w:val="0"/>
              <w:rPr>
                <w:rFonts w:hint="default"/>
                <w:color w:val="auto"/>
                <w:lang w:val="zh-CN"/>
              </w:rPr>
            </w:pPr>
            <w:r>
              <w:rPr>
                <w:rFonts w:hint="default"/>
                <w:color w:val="auto"/>
                <w:lang w:val="zh-CN"/>
              </w:rPr>
              <w:t>5</w:t>
            </w:r>
          </w:p>
        </w:tc>
        <w:tc>
          <w:tcPr>
            <w:tcW w:w="648" w:type="pct"/>
            <w:noWrap w:val="0"/>
            <w:vAlign w:val="center"/>
          </w:tcPr>
          <w:p w14:paraId="7CF1A2FD">
            <w:pPr>
              <w:pStyle w:val="31"/>
              <w:bidi w:val="0"/>
              <w:rPr>
                <w:rFonts w:hint="default"/>
                <w:color w:val="auto"/>
                <w:lang w:val="zh-CN"/>
              </w:rPr>
            </w:pPr>
            <w:r>
              <w:rPr>
                <w:rFonts w:hint="default"/>
                <w:color w:val="auto"/>
                <w:lang w:val="zh-CN"/>
              </w:rPr>
              <w:t>95</w:t>
            </w:r>
          </w:p>
        </w:tc>
        <w:tc>
          <w:tcPr>
            <w:tcW w:w="456" w:type="pct"/>
            <w:noWrap w:val="0"/>
            <w:vAlign w:val="center"/>
          </w:tcPr>
          <w:p w14:paraId="3084DB45">
            <w:pPr>
              <w:pStyle w:val="31"/>
              <w:bidi w:val="0"/>
              <w:rPr>
                <w:rFonts w:hint="default"/>
                <w:color w:val="auto"/>
                <w:lang w:val="zh-CN"/>
              </w:rPr>
            </w:pPr>
            <w:r>
              <w:rPr>
                <w:rFonts w:hint="default"/>
                <w:color w:val="auto"/>
                <w:lang w:val="zh-CN"/>
              </w:rPr>
              <w:t>81.0</w:t>
            </w:r>
          </w:p>
        </w:tc>
        <w:tc>
          <w:tcPr>
            <w:tcW w:w="456" w:type="pct"/>
            <w:noWrap w:val="0"/>
            <w:vAlign w:val="center"/>
          </w:tcPr>
          <w:p w14:paraId="1CD01B73">
            <w:pPr>
              <w:pStyle w:val="31"/>
              <w:bidi w:val="0"/>
              <w:rPr>
                <w:rFonts w:hint="default"/>
                <w:color w:val="auto"/>
                <w:lang w:val="zh-CN"/>
              </w:rPr>
            </w:pPr>
            <w:r>
              <w:rPr>
                <w:rFonts w:hint="default"/>
                <w:color w:val="auto"/>
                <w:lang w:val="zh-CN"/>
              </w:rPr>
              <w:t>75.0</w:t>
            </w:r>
          </w:p>
        </w:tc>
        <w:tc>
          <w:tcPr>
            <w:tcW w:w="456" w:type="pct"/>
            <w:noWrap w:val="0"/>
            <w:vAlign w:val="center"/>
          </w:tcPr>
          <w:p w14:paraId="2ABEC1B7">
            <w:pPr>
              <w:pStyle w:val="31"/>
              <w:bidi w:val="0"/>
              <w:rPr>
                <w:rFonts w:hint="default"/>
                <w:color w:val="auto"/>
                <w:lang w:val="zh-CN"/>
              </w:rPr>
            </w:pPr>
            <w:r>
              <w:rPr>
                <w:rFonts w:hint="default"/>
                <w:color w:val="auto"/>
                <w:lang w:val="zh-CN"/>
              </w:rPr>
              <w:t>67.0</w:t>
            </w:r>
          </w:p>
        </w:tc>
        <w:tc>
          <w:tcPr>
            <w:tcW w:w="456" w:type="pct"/>
            <w:noWrap w:val="0"/>
            <w:vAlign w:val="center"/>
          </w:tcPr>
          <w:p w14:paraId="0C1B68B1">
            <w:pPr>
              <w:pStyle w:val="31"/>
              <w:bidi w:val="0"/>
              <w:rPr>
                <w:rFonts w:hint="default"/>
                <w:color w:val="auto"/>
                <w:lang w:val="zh-CN"/>
              </w:rPr>
            </w:pPr>
            <w:r>
              <w:rPr>
                <w:rFonts w:hint="default"/>
                <w:color w:val="auto"/>
                <w:lang w:val="zh-CN"/>
              </w:rPr>
              <w:t>61.0</w:t>
            </w:r>
          </w:p>
        </w:tc>
        <w:tc>
          <w:tcPr>
            <w:tcW w:w="457" w:type="pct"/>
            <w:noWrap w:val="0"/>
            <w:vAlign w:val="center"/>
          </w:tcPr>
          <w:p w14:paraId="4D1FECC6">
            <w:pPr>
              <w:pStyle w:val="31"/>
              <w:bidi w:val="0"/>
              <w:rPr>
                <w:rFonts w:hint="default"/>
                <w:color w:val="auto"/>
                <w:lang w:val="zh-CN"/>
              </w:rPr>
            </w:pPr>
            <w:r>
              <w:rPr>
                <w:rFonts w:hint="default"/>
                <w:color w:val="auto"/>
                <w:lang w:val="zh-CN"/>
              </w:rPr>
              <w:t>57.5</w:t>
            </w:r>
          </w:p>
        </w:tc>
        <w:tc>
          <w:tcPr>
            <w:tcW w:w="456" w:type="pct"/>
            <w:noWrap w:val="0"/>
            <w:vAlign w:val="center"/>
          </w:tcPr>
          <w:p w14:paraId="408F7F9F">
            <w:pPr>
              <w:pStyle w:val="31"/>
              <w:bidi w:val="0"/>
              <w:rPr>
                <w:rFonts w:hint="default"/>
                <w:color w:val="auto"/>
                <w:lang w:val="zh-CN"/>
              </w:rPr>
            </w:pPr>
            <w:r>
              <w:rPr>
                <w:rFonts w:hint="default"/>
                <w:color w:val="auto"/>
                <w:lang w:val="zh-CN"/>
              </w:rPr>
              <w:t>55.0</w:t>
            </w:r>
          </w:p>
        </w:tc>
      </w:tr>
    </w:tbl>
    <w:p w14:paraId="6427134B">
      <w:pPr>
        <w:pStyle w:val="5"/>
        <w:bidi w:val="0"/>
        <w:rPr>
          <w:rFonts w:hint="eastAsia"/>
          <w:color w:val="auto"/>
          <w:lang w:val="zh-CN" w:eastAsia="zh-CN"/>
        </w:rPr>
      </w:pPr>
      <w:r>
        <w:rPr>
          <w:rFonts w:hint="eastAsia"/>
          <w:color w:val="auto"/>
          <w:lang w:val="zh-CN" w:eastAsia="zh-CN"/>
        </w:rPr>
        <w:t>施工期固体废物环境污染源分析</w:t>
      </w:r>
    </w:p>
    <w:p w14:paraId="51AA9E11">
      <w:pPr>
        <w:bidi w:val="0"/>
        <w:rPr>
          <w:rFonts w:hint="eastAsia"/>
          <w:color w:val="auto"/>
          <w:lang w:val="zh-CN" w:eastAsia="zh-CN"/>
        </w:rPr>
      </w:pPr>
      <w:r>
        <w:rPr>
          <w:rFonts w:hint="eastAsia"/>
          <w:color w:val="auto"/>
          <w:lang w:val="zh-CN" w:eastAsia="zh-CN"/>
        </w:rPr>
        <w:t>本工程施工产生的固体废弃物包括施工建筑垃圾、</w:t>
      </w:r>
      <w:r>
        <w:rPr>
          <w:rFonts w:hint="eastAsia"/>
          <w:color w:val="auto"/>
          <w:lang w:val="en-US" w:eastAsia="zh-CN"/>
        </w:rPr>
        <w:t>底泥弃土</w:t>
      </w:r>
      <w:r>
        <w:rPr>
          <w:rFonts w:hint="eastAsia"/>
          <w:color w:val="auto"/>
          <w:lang w:val="zh-CN" w:eastAsia="zh-CN"/>
        </w:rPr>
        <w:t>、施工人员生活垃圾、沉淀池污泥和隔油池浮油。</w:t>
      </w:r>
    </w:p>
    <w:p w14:paraId="3CBC4710">
      <w:pPr>
        <w:bidi w:val="0"/>
        <w:rPr>
          <w:rFonts w:hint="default"/>
          <w:color w:val="auto"/>
          <w:lang w:val="en-US" w:eastAsia="zh-CN"/>
        </w:rPr>
      </w:pPr>
      <w:r>
        <w:rPr>
          <w:rFonts w:hint="eastAsia"/>
          <w:color w:val="auto"/>
          <w:lang w:val="zh-CN" w:eastAsia="zh-CN"/>
        </w:rPr>
        <w:t>（2）</w:t>
      </w:r>
      <w:r>
        <w:rPr>
          <w:rFonts w:hint="eastAsia"/>
          <w:color w:val="auto"/>
          <w:lang w:val="en-US" w:eastAsia="zh-CN"/>
        </w:rPr>
        <w:t>底泥弃土</w:t>
      </w:r>
    </w:p>
    <w:p w14:paraId="124A785E">
      <w:pPr>
        <w:bidi w:val="0"/>
        <w:rPr>
          <w:rFonts w:hint="eastAsia"/>
          <w:color w:val="auto"/>
          <w:lang w:val="zh-CN" w:eastAsia="zh-CN"/>
        </w:rPr>
      </w:pPr>
      <w:r>
        <w:rPr>
          <w:rFonts w:hint="eastAsia"/>
          <w:color w:val="auto"/>
          <w:lang w:val="zh-CN" w:eastAsia="zh-CN"/>
        </w:rPr>
        <w:t>本项目</w:t>
      </w:r>
      <w:r>
        <w:rPr>
          <w:rFonts w:hint="eastAsia"/>
          <w:color w:val="auto"/>
          <w:lang w:val="en-US" w:eastAsia="zh-CN"/>
        </w:rPr>
        <w:t>土方开挖量为786138</w:t>
      </w:r>
      <w:r>
        <w:rPr>
          <w:rFonts w:hint="eastAsia"/>
          <w:color w:val="auto"/>
          <w:lang w:val="zh-CN" w:eastAsia="zh-CN"/>
        </w:rPr>
        <w:t>m</w:t>
      </w:r>
      <w:r>
        <w:rPr>
          <w:rFonts w:hint="eastAsia"/>
          <w:color w:val="auto"/>
          <w:vertAlign w:val="superscript"/>
          <w:lang w:val="zh-CN" w:eastAsia="zh-CN"/>
        </w:rPr>
        <w:t>3</w:t>
      </w:r>
      <w:r>
        <w:rPr>
          <w:rFonts w:hint="eastAsia"/>
          <w:color w:val="auto"/>
          <w:lang w:val="en-US" w:eastAsia="zh-CN"/>
        </w:rPr>
        <w:t>。底泥经晾晒后运输至项目弃土区</w:t>
      </w:r>
      <w:r>
        <w:rPr>
          <w:rFonts w:hint="eastAsia"/>
          <w:color w:val="auto"/>
          <w:lang w:eastAsia="zh-CN"/>
        </w:rPr>
        <w:t>，淤泥在运输过程中按照指定路线运输，尽量避开居民集中区</w:t>
      </w:r>
      <w:r>
        <w:rPr>
          <w:rFonts w:hint="eastAsia"/>
          <w:color w:val="auto"/>
        </w:rPr>
        <w:t>。</w:t>
      </w:r>
    </w:p>
    <w:p w14:paraId="73CE9D19">
      <w:pPr>
        <w:bidi w:val="0"/>
        <w:rPr>
          <w:rFonts w:hint="eastAsia"/>
          <w:color w:val="auto"/>
          <w:lang w:val="zh-CN" w:eastAsia="zh-CN"/>
        </w:rPr>
      </w:pPr>
      <w:r>
        <w:rPr>
          <w:rFonts w:hint="eastAsia"/>
          <w:color w:val="auto"/>
          <w:lang w:val="zh-CN" w:eastAsia="zh-CN"/>
        </w:rPr>
        <w:t>（3）建筑垃圾</w:t>
      </w:r>
    </w:p>
    <w:p w14:paraId="6CC86545">
      <w:pPr>
        <w:bidi w:val="0"/>
        <w:rPr>
          <w:rFonts w:hint="eastAsia"/>
          <w:color w:val="auto"/>
          <w:lang w:val="zh-CN" w:eastAsia="zh-CN"/>
        </w:rPr>
      </w:pPr>
      <w:r>
        <w:rPr>
          <w:rFonts w:hint="eastAsia"/>
          <w:color w:val="auto"/>
          <w:lang w:val="zh-CN" w:eastAsia="zh-CN"/>
        </w:rPr>
        <w:t>施工期产生的建筑垃圾主要来源于</w:t>
      </w:r>
      <w:r>
        <w:rPr>
          <w:rFonts w:hint="eastAsia"/>
          <w:color w:val="auto"/>
          <w:lang w:val="en-US" w:eastAsia="zh-CN"/>
        </w:rPr>
        <w:t>弃土区及临时道路</w:t>
      </w:r>
      <w:r>
        <w:rPr>
          <w:rFonts w:hint="eastAsia"/>
          <w:color w:val="auto"/>
          <w:lang w:val="zh-CN" w:eastAsia="zh-CN"/>
        </w:rPr>
        <w:t>等基础工程施工时产生的砂土、石块等建筑垃圾。建筑垃圾产生量约为</w:t>
      </w:r>
      <w:r>
        <w:rPr>
          <w:rFonts w:hint="eastAsia"/>
          <w:color w:val="auto"/>
          <w:lang w:val="en-US" w:eastAsia="zh-CN"/>
        </w:rPr>
        <w:t>5</w:t>
      </w:r>
      <w:r>
        <w:rPr>
          <w:rFonts w:hint="eastAsia"/>
          <w:color w:val="auto"/>
          <w:lang w:val="zh-CN" w:eastAsia="zh-CN"/>
        </w:rPr>
        <w:t>0t，具有回收利用价值的尽可能回收利用，不能回收利用的建筑垃圾应运至政府指定的建筑垃圾处理场处理。</w:t>
      </w:r>
    </w:p>
    <w:p w14:paraId="3218CA03">
      <w:pPr>
        <w:bidi w:val="0"/>
        <w:rPr>
          <w:rFonts w:hint="eastAsia"/>
          <w:color w:val="auto"/>
          <w:lang w:val="zh-CN" w:eastAsia="zh-CN"/>
        </w:rPr>
      </w:pPr>
      <w:r>
        <w:rPr>
          <w:rFonts w:hint="eastAsia"/>
          <w:color w:val="auto"/>
          <w:lang w:val="zh-CN" w:eastAsia="zh-CN"/>
        </w:rPr>
        <w:t>（4）施工期生活垃圾</w:t>
      </w:r>
    </w:p>
    <w:p w14:paraId="51105079">
      <w:pPr>
        <w:bidi w:val="0"/>
        <w:rPr>
          <w:rFonts w:hint="eastAsia"/>
          <w:color w:val="auto"/>
          <w:lang w:val="zh-CN" w:eastAsia="zh-CN"/>
        </w:rPr>
      </w:pPr>
      <w:r>
        <w:rPr>
          <w:rFonts w:hint="eastAsia"/>
          <w:color w:val="auto"/>
          <w:lang w:val="zh-CN" w:eastAsia="zh-CN"/>
        </w:rPr>
        <w:t>工程施工期高峰日作业人员约</w:t>
      </w:r>
      <w:r>
        <w:rPr>
          <w:rFonts w:hint="eastAsia"/>
          <w:color w:val="auto"/>
          <w:lang w:val="en-US" w:eastAsia="zh-CN"/>
        </w:rPr>
        <w:t>1</w:t>
      </w:r>
      <w:r>
        <w:rPr>
          <w:rFonts w:hint="eastAsia"/>
          <w:color w:val="auto"/>
          <w:lang w:val="zh-CN" w:eastAsia="zh-CN"/>
        </w:rPr>
        <w:t>00人，施工人员生活垃圾按每人每天0.5kg计算，高峰期日产生生活垃圾量为0.</w:t>
      </w:r>
      <w:r>
        <w:rPr>
          <w:rFonts w:hint="eastAsia"/>
          <w:color w:val="auto"/>
          <w:lang w:val="en-US" w:eastAsia="zh-CN"/>
        </w:rPr>
        <w:t>0</w:t>
      </w:r>
      <w:r>
        <w:rPr>
          <w:rFonts w:hint="eastAsia"/>
          <w:color w:val="auto"/>
          <w:lang w:val="zh-CN" w:eastAsia="zh-CN"/>
        </w:rPr>
        <w:t>5t/d，工程施工期内生活垃圾产生总量为</w:t>
      </w:r>
      <w:r>
        <w:rPr>
          <w:rFonts w:hint="eastAsia"/>
          <w:color w:val="auto"/>
          <w:lang w:val="en-US" w:eastAsia="zh-CN"/>
        </w:rPr>
        <w:t>10.5</w:t>
      </w:r>
      <w:r>
        <w:rPr>
          <w:rFonts w:hint="eastAsia"/>
          <w:color w:val="auto"/>
          <w:lang w:val="zh-CN" w:eastAsia="zh-CN"/>
        </w:rPr>
        <w:t>t，生活垃圾统一收集后由环卫部门负责清运处理。</w:t>
      </w:r>
    </w:p>
    <w:p w14:paraId="64D10A43">
      <w:pPr>
        <w:bidi w:val="0"/>
        <w:rPr>
          <w:rFonts w:hint="eastAsia"/>
          <w:color w:val="auto"/>
          <w:lang w:val="zh-CN" w:eastAsia="zh-CN"/>
        </w:rPr>
      </w:pPr>
      <w:r>
        <w:rPr>
          <w:rFonts w:hint="eastAsia"/>
          <w:color w:val="auto"/>
          <w:lang w:val="zh-CN" w:eastAsia="zh-CN"/>
        </w:rPr>
        <w:t>（5）隔油池浮油和沉淀池污泥</w:t>
      </w:r>
    </w:p>
    <w:p w14:paraId="71679D95">
      <w:pPr>
        <w:bidi w:val="0"/>
        <w:rPr>
          <w:rFonts w:hint="eastAsia"/>
          <w:color w:val="auto"/>
          <w:lang w:val="zh-CN" w:eastAsia="zh-CN"/>
        </w:rPr>
      </w:pPr>
      <w:r>
        <w:rPr>
          <w:rFonts w:hint="eastAsia"/>
          <w:color w:val="auto"/>
          <w:lang w:val="zh-CN" w:eastAsia="zh-CN"/>
        </w:rPr>
        <w:t>施工机械含油废水经沉淀池处理会产生一定量的污泥，产生量相对较少，一并运至临时</w:t>
      </w:r>
      <w:r>
        <w:rPr>
          <w:rFonts w:hint="eastAsia"/>
          <w:color w:val="auto"/>
          <w:lang w:val="en-US" w:eastAsia="zh-CN"/>
        </w:rPr>
        <w:t>堆</w:t>
      </w:r>
      <w:r>
        <w:rPr>
          <w:rFonts w:hint="eastAsia"/>
          <w:color w:val="auto"/>
          <w:lang w:val="zh-CN" w:eastAsia="zh-CN"/>
        </w:rPr>
        <w:t>土场暂存。隔油池产生的浮油委托有资质的单位处理，不在</w:t>
      </w:r>
      <w:r>
        <w:rPr>
          <w:rFonts w:hint="eastAsia"/>
          <w:color w:val="auto"/>
          <w:lang w:val="en-US" w:eastAsia="zh-CN"/>
        </w:rPr>
        <w:t>场</w:t>
      </w:r>
      <w:r>
        <w:rPr>
          <w:rFonts w:hint="eastAsia"/>
          <w:color w:val="auto"/>
          <w:lang w:val="zh-CN" w:eastAsia="zh-CN"/>
        </w:rPr>
        <w:t>区内暂存。</w:t>
      </w:r>
    </w:p>
    <w:p w14:paraId="24690D37">
      <w:pPr>
        <w:pStyle w:val="5"/>
        <w:bidi w:val="0"/>
        <w:rPr>
          <w:rFonts w:hint="eastAsia"/>
          <w:color w:val="auto"/>
          <w:lang w:val="zh-CN" w:eastAsia="zh-CN"/>
        </w:rPr>
      </w:pPr>
      <w:r>
        <w:rPr>
          <w:rFonts w:hint="eastAsia"/>
          <w:color w:val="auto"/>
          <w:lang w:val="zh-CN" w:eastAsia="zh-CN"/>
        </w:rPr>
        <w:t>施工期生态环境污染源分析</w:t>
      </w:r>
    </w:p>
    <w:p w14:paraId="014A1646">
      <w:pPr>
        <w:bidi w:val="0"/>
        <w:rPr>
          <w:rFonts w:hint="eastAsia"/>
          <w:color w:val="auto"/>
          <w:lang w:val="zh-CN" w:eastAsia="zh-CN"/>
        </w:rPr>
      </w:pPr>
      <w:r>
        <w:rPr>
          <w:rFonts w:hint="eastAsia"/>
          <w:color w:val="auto"/>
          <w:lang w:val="zh-CN" w:eastAsia="zh-CN"/>
        </w:rPr>
        <w:t>工程施工对陆生生态环境影响表现在工程占地对土地资源的影响，施工活动对土壤和植被、野生动物的影响。据可研报告可知，工程占地主要为临时占地，无永久占地，临时征地主要为施工临时道路占地、</w:t>
      </w:r>
      <w:r>
        <w:rPr>
          <w:rFonts w:hint="eastAsia"/>
          <w:color w:val="auto"/>
          <w:lang w:val="en-US" w:eastAsia="zh-CN"/>
        </w:rPr>
        <w:t>抛泥区</w:t>
      </w:r>
      <w:r>
        <w:rPr>
          <w:rFonts w:hint="eastAsia"/>
          <w:color w:val="auto"/>
          <w:lang w:val="zh-CN" w:eastAsia="zh-CN"/>
        </w:rPr>
        <w:t>和</w:t>
      </w:r>
      <w:r>
        <w:rPr>
          <w:rFonts w:hint="eastAsia"/>
          <w:color w:val="auto"/>
          <w:lang w:val="en-US" w:eastAsia="zh-CN"/>
        </w:rPr>
        <w:t>弃土区</w:t>
      </w:r>
      <w:r>
        <w:rPr>
          <w:rFonts w:hint="eastAsia"/>
          <w:color w:val="auto"/>
          <w:lang w:val="zh-CN" w:eastAsia="zh-CN"/>
        </w:rPr>
        <w:t>占地等，</w:t>
      </w:r>
      <w:r>
        <w:rPr>
          <w:rFonts w:hint="eastAsia"/>
          <w:color w:val="auto"/>
          <w:lang w:val="en-US" w:eastAsia="zh-CN"/>
        </w:rPr>
        <w:t>临时</w:t>
      </w:r>
      <w:r>
        <w:rPr>
          <w:rFonts w:hint="eastAsia"/>
          <w:color w:val="auto"/>
          <w:lang w:val="zh-CN" w:eastAsia="zh-CN"/>
        </w:rPr>
        <w:t>征地共计</w:t>
      </w:r>
      <w:r>
        <w:rPr>
          <w:rFonts w:hint="eastAsia"/>
          <w:color w:val="auto"/>
          <w:lang w:val="en-US" w:eastAsia="zh-CN"/>
        </w:rPr>
        <w:t>1076.21亩</w:t>
      </w:r>
      <w:r>
        <w:rPr>
          <w:rFonts w:hint="eastAsia"/>
          <w:color w:val="auto"/>
          <w:lang w:val="zh-CN" w:eastAsia="zh-CN"/>
        </w:rPr>
        <w:t>。主要类型为</w:t>
      </w:r>
      <w:r>
        <w:rPr>
          <w:rFonts w:hint="eastAsia"/>
          <w:color w:val="auto"/>
          <w:lang w:val="en-US" w:eastAsia="zh-CN"/>
        </w:rPr>
        <w:t>水域及水利设施用地</w:t>
      </w:r>
      <w:r>
        <w:rPr>
          <w:rFonts w:hint="eastAsia"/>
          <w:color w:val="auto"/>
          <w:lang w:val="zh-CN" w:eastAsia="zh-CN"/>
        </w:rPr>
        <w:t>以及</w:t>
      </w:r>
      <w:r>
        <w:rPr>
          <w:rFonts w:hint="eastAsia"/>
          <w:color w:val="auto"/>
          <w:lang w:val="en-US" w:eastAsia="zh-CN"/>
        </w:rPr>
        <w:t>工矿用地</w:t>
      </w:r>
      <w:r>
        <w:rPr>
          <w:rFonts w:hint="eastAsia"/>
          <w:color w:val="auto"/>
          <w:lang w:val="zh-CN" w:eastAsia="zh-CN"/>
        </w:rPr>
        <w:t>。</w:t>
      </w:r>
    </w:p>
    <w:p w14:paraId="504A5169">
      <w:pPr>
        <w:bidi w:val="0"/>
        <w:rPr>
          <w:rFonts w:hint="eastAsia"/>
          <w:color w:val="auto"/>
          <w:lang w:val="zh-CN" w:eastAsia="zh-CN"/>
        </w:rPr>
      </w:pPr>
      <w:r>
        <w:rPr>
          <w:rFonts w:hint="eastAsia"/>
          <w:color w:val="auto"/>
          <w:lang w:val="zh-CN" w:eastAsia="zh-CN"/>
        </w:rPr>
        <w:t>施工活动对土壤环境最直接的影响就是各类施工机械的碾压和建筑物占压对土壤结构、肥力、物理性质的破坏。工程新建堤防等工程地表土壤在施工过程中被占压覆盖，土壤性质永久改变不可恢复。施工期间施工区表层土壤结构、肥力、物理性质将被临时性破坏，需要较长时间才可恢复，若施工结束后配合恢复措施，则这一过程将被缩短。</w:t>
      </w:r>
    </w:p>
    <w:p w14:paraId="70BF5B6D">
      <w:pPr>
        <w:bidi w:val="0"/>
        <w:rPr>
          <w:rFonts w:hint="eastAsia"/>
          <w:color w:val="auto"/>
          <w:lang w:val="zh-CN" w:eastAsia="zh-CN"/>
        </w:rPr>
      </w:pPr>
      <w:r>
        <w:rPr>
          <w:rFonts w:hint="eastAsia"/>
          <w:color w:val="auto"/>
          <w:lang w:val="zh-CN" w:eastAsia="zh-CN"/>
        </w:rPr>
        <w:t>对地表植被而言，与土壤相同，工程永久占地将对原地表植被造成一次性永久破坏；施工临建设施占压和施工活动扰动区域等在施工结束后，通过采取一定的整治恢复措施，地表植被可以逐步得到恢复。工程施工对野生动物的影响表现为：工程施工活动可能干扰工程区内野生动物的正常栖息觅食，施工噪声会对其产生惊扰。施工活动对施工区域陆生植物的影响较小，受影响植物基本为地区常见种类，工程建设不会对区域植物物种构成和区系组成造成显著不利影响。</w:t>
      </w:r>
    </w:p>
    <w:p w14:paraId="75542452">
      <w:pPr>
        <w:bidi w:val="0"/>
        <w:rPr>
          <w:rFonts w:hint="eastAsia"/>
          <w:color w:val="auto"/>
          <w:lang w:val="zh-CN" w:eastAsia="zh-CN"/>
        </w:rPr>
      </w:pPr>
      <w:r>
        <w:rPr>
          <w:rFonts w:hint="eastAsia"/>
          <w:color w:val="auto"/>
          <w:lang w:val="zh-CN" w:eastAsia="zh-CN"/>
        </w:rPr>
        <w:t>施工期生态环境影响类型和范围分析见下表所示。</w:t>
      </w:r>
    </w:p>
    <w:p w14:paraId="52498FF5">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3.4</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5</w:t>
      </w:r>
      <w:r>
        <w:rPr>
          <w:color w:val="auto"/>
        </w:rPr>
        <w:fldChar w:fldCharType="end"/>
      </w:r>
      <w:r>
        <w:rPr>
          <w:rFonts w:hint="eastAsia"/>
          <w:color w:val="auto"/>
          <w:lang w:val="zh-CN" w:eastAsia="zh-CN"/>
        </w:rPr>
        <w:t>工程建设活动影响类型和范围</w:t>
      </w:r>
    </w:p>
    <w:tbl>
      <w:tblPr>
        <w:tblStyle w:val="24"/>
        <w:tblW w:w="50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0"/>
        <w:gridCol w:w="2381"/>
        <w:gridCol w:w="1250"/>
        <w:gridCol w:w="3321"/>
      </w:tblGrid>
      <w:tr w14:paraId="631E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959" w:type="pct"/>
            <w:tcMar>
              <w:top w:w="0" w:type="dxa"/>
              <w:left w:w="28" w:type="dxa"/>
              <w:bottom w:w="0" w:type="dxa"/>
              <w:right w:w="28" w:type="dxa"/>
            </w:tcMar>
            <w:vAlign w:val="center"/>
          </w:tcPr>
          <w:p w14:paraId="103B72BA">
            <w:pPr>
              <w:pStyle w:val="31"/>
              <w:bidi w:val="0"/>
              <w:rPr>
                <w:color w:val="auto"/>
              </w:rPr>
            </w:pPr>
            <w:r>
              <w:rPr>
                <w:color w:val="auto"/>
              </w:rPr>
              <w:t>施工期间生态影响种类</w:t>
            </w:r>
          </w:p>
        </w:tc>
        <w:tc>
          <w:tcPr>
            <w:tcW w:w="1383" w:type="pct"/>
            <w:tcMar>
              <w:top w:w="0" w:type="dxa"/>
              <w:left w:w="28" w:type="dxa"/>
              <w:bottom w:w="0" w:type="dxa"/>
              <w:right w:w="28" w:type="dxa"/>
            </w:tcMar>
            <w:vAlign w:val="center"/>
          </w:tcPr>
          <w:p w14:paraId="43EC98B5">
            <w:pPr>
              <w:pStyle w:val="31"/>
              <w:bidi w:val="0"/>
              <w:rPr>
                <w:color w:val="auto"/>
              </w:rPr>
            </w:pPr>
            <w:r>
              <w:rPr>
                <w:color w:val="auto"/>
              </w:rPr>
              <w:t>生态影响途径</w:t>
            </w:r>
          </w:p>
        </w:tc>
        <w:tc>
          <w:tcPr>
            <w:tcW w:w="726" w:type="pct"/>
            <w:tcMar>
              <w:top w:w="0" w:type="dxa"/>
              <w:left w:w="28" w:type="dxa"/>
              <w:bottom w:w="0" w:type="dxa"/>
              <w:right w:w="28" w:type="dxa"/>
            </w:tcMar>
            <w:vAlign w:val="center"/>
          </w:tcPr>
          <w:p w14:paraId="63232466">
            <w:pPr>
              <w:pStyle w:val="31"/>
              <w:bidi w:val="0"/>
              <w:rPr>
                <w:color w:val="auto"/>
              </w:rPr>
            </w:pPr>
            <w:r>
              <w:rPr>
                <w:color w:val="auto"/>
              </w:rPr>
              <w:t>影响类型</w:t>
            </w:r>
          </w:p>
        </w:tc>
        <w:tc>
          <w:tcPr>
            <w:tcW w:w="1929" w:type="pct"/>
            <w:vAlign w:val="center"/>
          </w:tcPr>
          <w:p w14:paraId="4BEA26A6">
            <w:pPr>
              <w:pStyle w:val="31"/>
              <w:bidi w:val="0"/>
              <w:rPr>
                <w:color w:val="auto"/>
              </w:rPr>
            </w:pPr>
            <w:r>
              <w:rPr>
                <w:color w:val="auto"/>
              </w:rPr>
              <w:t>生态影响表现</w:t>
            </w:r>
          </w:p>
        </w:tc>
      </w:tr>
      <w:tr w14:paraId="0E15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959" w:type="pct"/>
            <w:tcMar>
              <w:top w:w="0" w:type="dxa"/>
              <w:left w:w="28" w:type="dxa"/>
              <w:bottom w:w="0" w:type="dxa"/>
              <w:right w:w="28" w:type="dxa"/>
            </w:tcMar>
            <w:vAlign w:val="center"/>
          </w:tcPr>
          <w:p w14:paraId="709B7278">
            <w:pPr>
              <w:pStyle w:val="31"/>
              <w:bidi w:val="0"/>
              <w:rPr>
                <w:color w:val="auto"/>
              </w:rPr>
            </w:pPr>
            <w:r>
              <w:rPr>
                <w:color w:val="auto"/>
              </w:rPr>
              <w:t>工程施工</w:t>
            </w:r>
          </w:p>
        </w:tc>
        <w:tc>
          <w:tcPr>
            <w:tcW w:w="1383" w:type="pct"/>
            <w:tcMar>
              <w:top w:w="0" w:type="dxa"/>
              <w:left w:w="28" w:type="dxa"/>
              <w:bottom w:w="0" w:type="dxa"/>
              <w:right w:w="28" w:type="dxa"/>
            </w:tcMar>
            <w:vAlign w:val="center"/>
          </w:tcPr>
          <w:p w14:paraId="24BC66E8">
            <w:pPr>
              <w:pStyle w:val="31"/>
              <w:bidi w:val="0"/>
              <w:rPr>
                <w:color w:val="auto"/>
              </w:rPr>
            </w:pPr>
            <w:r>
              <w:rPr>
                <w:color w:val="auto"/>
              </w:rPr>
              <w:t>挖掘、填埋扰动土壤造成水土流失</w:t>
            </w:r>
          </w:p>
        </w:tc>
        <w:tc>
          <w:tcPr>
            <w:tcW w:w="726" w:type="pct"/>
            <w:tcMar>
              <w:top w:w="0" w:type="dxa"/>
              <w:left w:w="28" w:type="dxa"/>
              <w:bottom w:w="0" w:type="dxa"/>
              <w:right w:w="28" w:type="dxa"/>
            </w:tcMar>
            <w:vAlign w:val="center"/>
          </w:tcPr>
          <w:p w14:paraId="1B5277FA">
            <w:pPr>
              <w:pStyle w:val="31"/>
              <w:bidi w:val="0"/>
              <w:rPr>
                <w:color w:val="auto"/>
              </w:rPr>
            </w:pPr>
            <w:r>
              <w:rPr>
                <w:color w:val="auto"/>
              </w:rPr>
              <w:t>施工结束，部分恢复</w:t>
            </w:r>
          </w:p>
        </w:tc>
        <w:tc>
          <w:tcPr>
            <w:tcW w:w="1929" w:type="pct"/>
            <w:vAlign w:val="center"/>
          </w:tcPr>
          <w:p w14:paraId="19D6D700">
            <w:pPr>
              <w:pStyle w:val="31"/>
              <w:bidi w:val="0"/>
              <w:rPr>
                <w:color w:val="auto"/>
              </w:rPr>
            </w:pPr>
            <w:r>
              <w:rPr>
                <w:color w:val="auto"/>
              </w:rPr>
              <w:t>破坏植被和土壤环境，原有植被消失，区域生物量和生物生产量减少，景观生态学和美学</w:t>
            </w:r>
          </w:p>
        </w:tc>
      </w:tr>
      <w:tr w14:paraId="500A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959" w:type="pct"/>
            <w:tcMar>
              <w:top w:w="0" w:type="dxa"/>
              <w:left w:w="28" w:type="dxa"/>
              <w:bottom w:w="0" w:type="dxa"/>
              <w:right w:w="28" w:type="dxa"/>
            </w:tcMar>
            <w:vAlign w:val="center"/>
          </w:tcPr>
          <w:p w14:paraId="57A575BE">
            <w:pPr>
              <w:pStyle w:val="31"/>
              <w:bidi w:val="0"/>
              <w:rPr>
                <w:color w:val="auto"/>
              </w:rPr>
            </w:pPr>
            <w:r>
              <w:rPr>
                <w:color w:val="auto"/>
              </w:rPr>
              <w:t>工程临时占地</w:t>
            </w:r>
          </w:p>
        </w:tc>
        <w:tc>
          <w:tcPr>
            <w:tcW w:w="1383" w:type="pct"/>
            <w:tcMar>
              <w:top w:w="0" w:type="dxa"/>
              <w:left w:w="28" w:type="dxa"/>
              <w:bottom w:w="0" w:type="dxa"/>
              <w:right w:w="28" w:type="dxa"/>
            </w:tcMar>
            <w:vAlign w:val="center"/>
          </w:tcPr>
          <w:p w14:paraId="17C3E3AB">
            <w:pPr>
              <w:pStyle w:val="31"/>
              <w:bidi w:val="0"/>
              <w:rPr>
                <w:color w:val="auto"/>
              </w:rPr>
            </w:pPr>
            <w:r>
              <w:rPr>
                <w:color w:val="auto"/>
              </w:rPr>
              <w:t>压占滩地</w:t>
            </w:r>
          </w:p>
        </w:tc>
        <w:tc>
          <w:tcPr>
            <w:tcW w:w="726" w:type="pct"/>
            <w:tcMar>
              <w:top w:w="0" w:type="dxa"/>
              <w:left w:w="28" w:type="dxa"/>
              <w:bottom w:w="0" w:type="dxa"/>
              <w:right w:w="28" w:type="dxa"/>
            </w:tcMar>
            <w:vAlign w:val="center"/>
          </w:tcPr>
          <w:p w14:paraId="5008F27E">
            <w:pPr>
              <w:pStyle w:val="31"/>
              <w:bidi w:val="0"/>
              <w:rPr>
                <w:color w:val="auto"/>
              </w:rPr>
            </w:pPr>
            <w:r>
              <w:rPr>
                <w:color w:val="auto"/>
              </w:rPr>
              <w:t>施工结束，可以恢复</w:t>
            </w:r>
          </w:p>
        </w:tc>
        <w:tc>
          <w:tcPr>
            <w:tcW w:w="1929" w:type="pct"/>
            <w:vAlign w:val="center"/>
          </w:tcPr>
          <w:p w14:paraId="6E804B22">
            <w:pPr>
              <w:pStyle w:val="31"/>
              <w:bidi w:val="0"/>
              <w:rPr>
                <w:color w:val="auto"/>
              </w:rPr>
            </w:pPr>
            <w:r>
              <w:rPr>
                <w:color w:val="auto"/>
              </w:rPr>
              <w:t>改变土地利用性质，造成土地荒废，破坏植被，原有植被消失死亡，区域生物量和生物生产量减少</w:t>
            </w:r>
          </w:p>
        </w:tc>
      </w:tr>
    </w:tbl>
    <w:p w14:paraId="6F6C3870">
      <w:pPr>
        <w:pStyle w:val="4"/>
        <w:bidi w:val="0"/>
        <w:rPr>
          <w:rFonts w:hint="eastAsia"/>
          <w:color w:val="auto"/>
          <w:lang w:val="zh-CN" w:eastAsia="zh-CN"/>
        </w:rPr>
      </w:pPr>
      <w:bookmarkStart w:id="110" w:name="_Toc19089"/>
      <w:r>
        <w:rPr>
          <w:rFonts w:hint="eastAsia"/>
          <w:color w:val="auto"/>
          <w:lang w:val="zh-CN" w:eastAsia="zh-CN"/>
        </w:rPr>
        <w:t>营运期环境污染源强分析</w:t>
      </w:r>
      <w:bookmarkEnd w:id="110"/>
    </w:p>
    <w:p w14:paraId="17D26839">
      <w:pPr>
        <w:rPr>
          <w:rFonts w:hint="eastAsia"/>
          <w:color w:val="auto"/>
          <w:lang w:val="zh-CN" w:eastAsia="zh-CN"/>
        </w:rPr>
      </w:pPr>
      <w:r>
        <w:rPr>
          <w:rFonts w:hint="eastAsia"/>
          <w:color w:val="auto"/>
          <w:lang w:val="zh-CN" w:eastAsia="zh-CN"/>
        </w:rPr>
        <w:t>工程运营后项目本身不产生污染物。</w:t>
      </w:r>
    </w:p>
    <w:p w14:paraId="2AD28C22">
      <w:pPr>
        <w:rPr>
          <w:rFonts w:hint="eastAsia"/>
          <w:color w:val="auto"/>
          <w:lang w:val="zh-CN" w:eastAsia="zh-CN"/>
        </w:rPr>
      </w:pPr>
      <w:r>
        <w:rPr>
          <w:rFonts w:hint="eastAsia"/>
          <w:color w:val="auto"/>
          <w:lang w:val="zh-CN" w:eastAsia="zh-CN"/>
        </w:rPr>
        <w:br w:type="page"/>
      </w:r>
    </w:p>
    <w:p w14:paraId="6BFC4653">
      <w:pPr>
        <w:pStyle w:val="2"/>
        <w:bidi w:val="0"/>
        <w:rPr>
          <w:rFonts w:hint="eastAsia"/>
          <w:color w:val="auto"/>
          <w:lang w:val="zh-CN" w:eastAsia="zh-CN"/>
        </w:rPr>
      </w:pPr>
      <w:bookmarkStart w:id="111" w:name="_Toc9757"/>
      <w:r>
        <w:rPr>
          <w:rFonts w:hint="eastAsia"/>
          <w:color w:val="auto"/>
          <w:lang w:val="zh-CN" w:eastAsia="zh-CN"/>
        </w:rPr>
        <w:t>环境现状调查与评价</w:t>
      </w:r>
      <w:bookmarkEnd w:id="111"/>
    </w:p>
    <w:p w14:paraId="676F5330">
      <w:pPr>
        <w:pStyle w:val="3"/>
        <w:bidi w:val="0"/>
        <w:ind w:left="480" w:leftChars="0" w:firstLineChars="0"/>
        <w:rPr>
          <w:rFonts w:hint="eastAsia"/>
          <w:color w:val="auto"/>
          <w:lang w:val="zh-CN" w:eastAsia="zh-CN"/>
        </w:rPr>
      </w:pPr>
      <w:bookmarkStart w:id="112" w:name="_Toc28597"/>
      <w:r>
        <w:rPr>
          <w:rFonts w:hint="eastAsia"/>
          <w:color w:val="auto"/>
          <w:lang w:val="zh-CN" w:eastAsia="zh-CN"/>
        </w:rPr>
        <w:t>自然环境概况</w:t>
      </w:r>
      <w:bookmarkEnd w:id="112"/>
    </w:p>
    <w:p w14:paraId="18ADFD18">
      <w:pPr>
        <w:pStyle w:val="4"/>
        <w:bidi w:val="0"/>
        <w:rPr>
          <w:rFonts w:hint="eastAsia"/>
          <w:color w:val="auto"/>
          <w:lang w:val="zh-CN" w:eastAsia="zh-CN"/>
        </w:rPr>
      </w:pPr>
      <w:bookmarkStart w:id="113" w:name="_Toc22186"/>
      <w:r>
        <w:rPr>
          <w:rFonts w:hint="eastAsia"/>
          <w:color w:val="auto"/>
          <w:lang w:val="zh-CN" w:eastAsia="zh-CN"/>
        </w:rPr>
        <w:t>地理位置</w:t>
      </w:r>
      <w:bookmarkEnd w:id="113"/>
    </w:p>
    <w:p w14:paraId="01EF277D">
      <w:pPr>
        <w:rPr>
          <w:rFonts w:hint="eastAsia"/>
          <w:color w:val="auto"/>
          <w:lang w:val="zh-CN" w:eastAsia="zh-CN"/>
        </w:rPr>
      </w:pPr>
      <w:r>
        <w:rPr>
          <w:rFonts w:hint="eastAsia"/>
          <w:color w:val="auto"/>
          <w:lang w:val="zh-CN" w:eastAsia="zh-CN"/>
        </w:rPr>
        <w:t>贵池区位于长江中下游南岸，北临浩荡长江，南接雄奇黄山，东与铜陵襟连，牵携举世闻名的国家5A级风景区佛教圣地九华山，是池州市政治、经济、文化中心。全区总面积2516平方公里，户籍人口67万人，辖9个镇、11个街道，是全国生态经济示范区、全国优秀旅游城市、全国双拥模范城、安徽省历史文化名城、安徽省山水园林城市、安徽省文明城市。2020年，贵池区全年实现地区生产总值354.06亿元、增长5.1%，财政收入37.3亿元、增长6.9%，固定资产投资增长10%，规模工业增加值增长11%，社会消费品零售总额增长2%，城乡居民人均可支配收入分别增长7%、8%。</w:t>
      </w:r>
    </w:p>
    <w:p w14:paraId="381A606D">
      <w:pPr>
        <w:pStyle w:val="4"/>
        <w:bidi w:val="0"/>
        <w:rPr>
          <w:rFonts w:hint="eastAsia"/>
          <w:color w:val="auto"/>
          <w:lang w:val="zh-CN" w:eastAsia="zh-CN"/>
        </w:rPr>
      </w:pPr>
      <w:bookmarkStart w:id="114" w:name="_Toc3392"/>
      <w:r>
        <w:rPr>
          <w:rFonts w:hint="eastAsia"/>
          <w:color w:val="auto"/>
          <w:lang w:val="zh-CN" w:eastAsia="zh-CN"/>
        </w:rPr>
        <w:t>地形、地貌</w:t>
      </w:r>
      <w:bookmarkEnd w:id="114"/>
    </w:p>
    <w:p w14:paraId="79278AA2">
      <w:pPr>
        <w:rPr>
          <w:rFonts w:hint="eastAsia"/>
          <w:color w:val="auto"/>
          <w:lang w:val="zh-CN" w:eastAsia="zh-CN"/>
        </w:rPr>
      </w:pPr>
      <w:r>
        <w:rPr>
          <w:rFonts w:hint="eastAsia"/>
          <w:color w:val="auto"/>
          <w:lang w:val="en-US" w:eastAsia="zh-CN"/>
        </w:rPr>
        <w:t>贵池</w:t>
      </w:r>
      <w:r>
        <w:rPr>
          <w:rFonts w:hint="eastAsia"/>
          <w:color w:val="auto"/>
          <w:lang w:val="zh-CN" w:eastAsia="zh-CN"/>
        </w:rPr>
        <w:t>区自南向北，由低山、丘陵带逐渐过渡到洲圩平原区。本区山脉处于皖南山区的北缘，属九华山脉。主脉自区境三十六岗分别向北跨青阳区和向西延伸跨石台、东至等区，全长133公里，最高峰老山海拔1156米。区内除长江沿岸被第四纪红壤土覆盖外，其它部分地层露出良好。主要河流有长江一级支流秋浦、九华、青通、黄湓四大水系。</w:t>
      </w:r>
    </w:p>
    <w:p w14:paraId="70DD28AE">
      <w:pPr>
        <w:pStyle w:val="4"/>
        <w:bidi w:val="0"/>
        <w:rPr>
          <w:rFonts w:hint="eastAsia"/>
          <w:color w:val="auto"/>
          <w:lang w:val="zh-CN" w:eastAsia="zh-CN"/>
        </w:rPr>
      </w:pPr>
      <w:bookmarkStart w:id="115" w:name="_Toc17164"/>
      <w:r>
        <w:rPr>
          <w:rFonts w:hint="eastAsia"/>
          <w:color w:val="auto"/>
          <w:lang w:val="zh-CN" w:eastAsia="zh-CN"/>
        </w:rPr>
        <w:t>气候、气象</w:t>
      </w:r>
      <w:bookmarkEnd w:id="115"/>
    </w:p>
    <w:p w14:paraId="0B6E99D3">
      <w:pPr>
        <w:spacing w:line="360" w:lineRule="auto"/>
        <w:ind w:firstLine="480" w:firstLineChars="200"/>
        <w:rPr>
          <w:rFonts w:hint="default" w:ascii="Times New Roman" w:hAnsi="Times New Roman" w:cs="Times New Roman"/>
          <w:color w:val="auto"/>
          <w:kern w:val="0"/>
          <w:sz w:val="24"/>
          <w:lang w:bidi="ar"/>
        </w:rPr>
      </w:pPr>
      <w:r>
        <w:rPr>
          <w:rFonts w:hint="eastAsia" w:cs="Times New Roman"/>
          <w:color w:val="auto"/>
          <w:kern w:val="0"/>
          <w:sz w:val="24"/>
          <w:lang w:eastAsia="zh-CN" w:bidi="ar"/>
        </w:rPr>
        <w:t>贵池地处暖温带与亚热带的过渡地带，属亚热季风性湿润气候区。气候温和，雨量适中，光照充足。全年冬寒、夏热、春暖、秋凉，四季分明，季风明显。光、热、水资源丰富，气候温和，光照充足，无霜期长，但降水量在年内和年际变率较大。年平均温度16.1℃，最热月7月，平均温度28.7℃；最冷月1月，平均温度3.1℃。适宜农作物生长的时期，大约始于3月30日至11月17日，此间，日平均温度等10℃或10℃以上。日照随季节变化明显，夏至昼长时间（可照时数）可达14小时，冬至昼长时间为10小时，年平均日照时间为1900小时左右，多年平均（1960-1978年）蒸发量1447毫米。平均年降雨量在1400-1700毫米，6月中旬至7月中旬是主要雨季，为“梅雨期”。平均无霜期242天。</w:t>
      </w:r>
    </w:p>
    <w:p w14:paraId="00E729CE">
      <w:pPr>
        <w:pStyle w:val="4"/>
        <w:bidi w:val="0"/>
        <w:rPr>
          <w:rFonts w:hint="eastAsia"/>
          <w:color w:val="auto"/>
          <w:lang w:val="zh-CN" w:eastAsia="zh-CN"/>
        </w:rPr>
      </w:pPr>
      <w:bookmarkStart w:id="116" w:name="_Toc303"/>
      <w:r>
        <w:rPr>
          <w:rFonts w:hint="eastAsia"/>
          <w:color w:val="auto"/>
          <w:lang w:val="zh-CN" w:eastAsia="zh-CN"/>
        </w:rPr>
        <w:t>水文、水系</w:t>
      </w:r>
      <w:bookmarkEnd w:id="116"/>
    </w:p>
    <w:p w14:paraId="1AB2CFA5">
      <w:pPr>
        <w:rPr>
          <w:rFonts w:hint="eastAsia"/>
          <w:color w:val="auto"/>
        </w:rPr>
      </w:pPr>
      <w:r>
        <w:rPr>
          <w:rFonts w:hint="eastAsia"/>
          <w:color w:val="auto"/>
        </w:rPr>
        <w:t>秋浦河，原名秋浦江，又名云溪河，长江安徽省池州市段支流。上源有两支：一源出仙寓山，汇牯牛降北坡考坑、竹溪、利源、彭溪、木卑坑、湘源、大小剡溪、庄门坑等诸水入公信河，北东流向，经珂田、占大、大演，于香口村附近注入秋浦河；二源出祁门大洪岭，经石台县兰关，纳琏溪、管溪入鸿陵河，于香口附近与公信河相汇始称秋浦河，而后经七里、矶滩、高坦、灌口、殷汇，从池口入长江。</w:t>
      </w:r>
    </w:p>
    <w:p w14:paraId="56EB8042">
      <w:pPr>
        <w:pStyle w:val="31"/>
        <w:bidi w:val="0"/>
        <w:jc w:val="both"/>
        <w:rPr>
          <w:rFonts w:ascii="微软雅黑"/>
          <w:color w:val="auto"/>
          <w:sz w:val="20"/>
        </w:rPr>
      </w:pPr>
      <w:r>
        <w:rPr>
          <w:color w:val="auto"/>
          <w:sz w:val="20"/>
        </w:rPr>
        <mc:AlternateContent>
          <mc:Choice Requires="wps">
            <w:drawing>
              <wp:anchor distT="0" distB="0" distL="114300" distR="114300" simplePos="0" relativeHeight="251662336" behindDoc="0" locked="0" layoutInCell="1" allowOverlap="1">
                <wp:simplePos x="0" y="0"/>
                <wp:positionH relativeFrom="column">
                  <wp:posOffset>1625600</wp:posOffset>
                </wp:positionH>
                <wp:positionV relativeFrom="paragraph">
                  <wp:posOffset>951865</wp:posOffset>
                </wp:positionV>
                <wp:extent cx="841375" cy="273685"/>
                <wp:effectExtent l="4445" t="4445" r="621030" b="369570"/>
                <wp:wrapNone/>
                <wp:docPr id="48" name="矩形标注 48"/>
                <wp:cNvGraphicFramePr/>
                <a:graphic xmlns:a="http://schemas.openxmlformats.org/drawingml/2006/main">
                  <a:graphicData uri="http://schemas.microsoft.com/office/word/2010/wordprocessingShape">
                    <wps:wsp>
                      <wps:cNvSpPr/>
                      <wps:spPr>
                        <a:xfrm>
                          <a:off x="4373245" y="7281545"/>
                          <a:ext cx="841375" cy="273685"/>
                        </a:xfrm>
                        <a:prstGeom prst="wedgeRectCallout">
                          <a:avLst>
                            <a:gd name="adj1" fmla="val 118905"/>
                            <a:gd name="adj2" fmla="val 171809"/>
                          </a:avLst>
                        </a:prstGeom>
                        <a:solidFill>
                          <a:schemeClr val="bg1"/>
                        </a:solidFill>
                        <a:ln w="952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F5C0BF">
                            <w:pPr>
                              <w:spacing w:line="240" w:lineRule="auto"/>
                              <w:ind w:left="0" w:leftChars="0" w:firstLine="0" w:firstLineChars="0"/>
                              <w:jc w:val="center"/>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28pt;margin-top:74.95pt;height:21.55pt;width:66.25pt;z-index:251662336;v-text-anchor:middle;mso-width-relative:page;mso-height-relative:page;" fillcolor="#FFFFFF [3212]" filled="t" stroked="t" coordsize="21600,21600" o:gfxdata="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NhaeRvbAAAACwEAAA8AAAAAAAAAAQAgAAAAIgAAAGRycy9kb3ducmV2LnhtbFBLAQIU&#10;ABQAAAAIAIdO4kDKtuwI1AIAAKgFAAAOAAAAAAAAAAEAIAAAACoBAABkcnMvZTJvRG9jLnhtbFBL&#10;BQYAAAAABgAGAFkBAABwBgAAAAA=&#10;" adj="36483,47911">
                <v:fill on="t" focussize="0,0"/>
                <v:stroke color="#0D0D0D [3069]" miterlimit="8" joinstyle="miter"/>
                <v:imagedata o:title=""/>
                <o:lock v:ext="edit" aspectratio="f"/>
                <v:textbox>
                  <w:txbxContent>
                    <w:p w14:paraId="23F5C0BF">
                      <w:pPr>
                        <w:spacing w:line="240" w:lineRule="auto"/>
                        <w:ind w:left="0" w:leftChars="0" w:firstLine="0" w:firstLineChars="0"/>
                        <w:jc w:val="center"/>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本项目</w:t>
                      </w:r>
                    </w:p>
                  </w:txbxContent>
                </v:textbox>
              </v:shape>
            </w:pict>
          </mc:Fallback>
        </mc:AlternateContent>
      </w:r>
      <w:r>
        <w:rPr>
          <w:rFonts w:ascii="宋体" w:hAnsi="宋体" w:eastAsia="宋体" w:cs="宋体"/>
          <w:color w:val="auto"/>
          <w:sz w:val="24"/>
          <w:szCs w:val="24"/>
        </w:rPr>
        <w:drawing>
          <wp:inline distT="0" distB="0" distL="114300" distR="114300">
            <wp:extent cx="5265420" cy="3307715"/>
            <wp:effectExtent l="0" t="0" r="11430" b="6985"/>
            <wp:docPr id="6"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descr="IMG_256"/>
                    <pic:cNvPicPr>
                      <a:picLocks noChangeAspect="1"/>
                    </pic:cNvPicPr>
                  </pic:nvPicPr>
                  <pic:blipFill>
                    <a:blip r:embed="rId32"/>
                    <a:stretch>
                      <a:fillRect/>
                    </a:stretch>
                  </pic:blipFill>
                  <pic:spPr>
                    <a:xfrm>
                      <a:off x="0" y="0"/>
                      <a:ext cx="5265420" cy="3307715"/>
                    </a:xfrm>
                    <a:prstGeom prst="rect">
                      <a:avLst/>
                    </a:prstGeom>
                    <a:noFill/>
                    <a:ln w="9525">
                      <a:noFill/>
                    </a:ln>
                  </pic:spPr>
                </pic:pic>
              </a:graphicData>
            </a:graphic>
          </wp:inline>
        </w:drawing>
      </w:r>
    </w:p>
    <w:p w14:paraId="14B495D4">
      <w:pPr>
        <w:pStyle w:val="11"/>
        <w:bidi w:val="0"/>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4.1</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color w:val="auto"/>
          <w:spacing w:val="-1"/>
        </w:rPr>
        <w:t>贵池区</w:t>
      </w:r>
      <w:r>
        <w:rPr>
          <w:rFonts w:hint="eastAsia"/>
          <w:color w:val="auto"/>
          <w:spacing w:val="-1"/>
          <w:lang w:val="en-US" w:eastAsia="zh-CN"/>
        </w:rPr>
        <w:t>秋浦河水系图</w:t>
      </w:r>
    </w:p>
    <w:p w14:paraId="005C3701">
      <w:pPr>
        <w:rPr>
          <w:rFonts w:hint="eastAsia"/>
          <w:color w:val="auto"/>
        </w:rPr>
      </w:pPr>
      <w:r>
        <w:rPr>
          <w:rFonts w:hint="eastAsia"/>
          <w:color w:val="auto"/>
        </w:rPr>
        <w:t>河长150公里，河宽100～250米，流域面积2235平方公里。秋浦河上游水土流失严重，使河床蕴藏有丰富的黄砂，从1984年起，每年外销百万吨以上。</w:t>
      </w:r>
    </w:p>
    <w:p w14:paraId="78C0D486">
      <w:pPr>
        <w:rPr>
          <w:rFonts w:hint="eastAsia"/>
          <w:color w:val="auto"/>
        </w:rPr>
      </w:pPr>
      <w:r>
        <w:rPr>
          <w:rFonts w:hint="eastAsia"/>
          <w:color w:val="auto"/>
        </w:rPr>
        <w:t>秋浦河的特点：山区面积大，占78.5%，上游水土流失严重，下游河道弯曲，洪水量大，且来势凶涌。建国40年来，殷汇镇9次被淹，秋江圩两次破圩。正常年份，江水倒灌至殷家汇。</w:t>
      </w:r>
    </w:p>
    <w:p w14:paraId="4F79390D">
      <w:pPr>
        <w:rPr>
          <w:rFonts w:hint="eastAsia"/>
          <w:color w:val="auto"/>
        </w:rPr>
      </w:pPr>
      <w:r>
        <w:rPr>
          <w:rFonts w:hint="eastAsia"/>
          <w:color w:val="auto"/>
        </w:rPr>
        <w:t>正常年份年径流量24.34亿立方米，最丰高达36.43亿立方米（1954年），高坦镇历史最大流量为2710立方米每秒（1957年7月4日），历史最高水位为26.87米（1970年7月13日），历史最低水位为19.58米（1966年9月28日）。最枯水年份的水量为17.13亿立方米（1978年）。</w:t>
      </w:r>
    </w:p>
    <w:p w14:paraId="28C03D0C">
      <w:pPr>
        <w:rPr>
          <w:rFonts w:hint="eastAsia"/>
          <w:color w:val="auto"/>
        </w:rPr>
      </w:pPr>
      <w:r>
        <w:rPr>
          <w:rFonts w:hint="eastAsia"/>
          <w:color w:val="auto"/>
        </w:rPr>
        <w:t>秋浦河主要支流有公信河、牌楼河、龙舒河、双溪河4条，其中公信河和龙舒河最大。</w:t>
      </w:r>
    </w:p>
    <w:p w14:paraId="5F893A1E">
      <w:pPr>
        <w:pStyle w:val="4"/>
        <w:bidi w:val="0"/>
        <w:rPr>
          <w:rFonts w:hint="eastAsia"/>
          <w:color w:val="auto"/>
          <w:lang w:val="zh-CN" w:eastAsia="zh-CN"/>
        </w:rPr>
      </w:pPr>
      <w:bookmarkStart w:id="117" w:name="_Toc9120"/>
      <w:r>
        <w:rPr>
          <w:rFonts w:hint="eastAsia"/>
          <w:color w:val="auto"/>
          <w:lang w:val="en-US" w:eastAsia="zh-CN"/>
        </w:rPr>
        <w:t>土壤</w:t>
      </w:r>
      <w:bookmarkEnd w:id="117"/>
    </w:p>
    <w:p w14:paraId="78E0F8B3">
      <w:pPr>
        <w:bidi w:val="0"/>
        <w:rPr>
          <w:rFonts w:hint="eastAsia"/>
          <w:color w:val="auto"/>
          <w:lang w:val="en-US" w:eastAsia="zh-CN"/>
        </w:rPr>
      </w:pPr>
      <w:r>
        <w:rPr>
          <w:rFonts w:hint="eastAsia"/>
          <w:color w:val="auto"/>
          <w:lang w:val="en-US" w:eastAsia="zh-CN"/>
        </w:rPr>
        <w:t>贵池区因地形地貌和山地垂直带影响，全区共有七个土类，十四个亚类，四十三个土属，八十三个土种。其中林地上的土壤有三个土类红壤土、黄壤土、石灰土，四个亚类。主要是发育在板岩、千枚岩、页岩残积或坡积母质上的黄红壤、黄壤，质地多为中壤、重壤，有机质含量高，土壤呈酸性，PH值4.5-6.0，土层厚度不等，深度在15-70cm，一般平均40cm，少量的石灰土主要分布在石灰岩山地，土层浅薄，岩裸较多，呈中性或碱性。</w:t>
      </w:r>
    </w:p>
    <w:p w14:paraId="1AC5D3A9">
      <w:pPr>
        <w:pStyle w:val="4"/>
        <w:bidi w:val="0"/>
        <w:rPr>
          <w:rFonts w:hint="default"/>
          <w:color w:val="auto"/>
          <w:lang w:val="en-US" w:eastAsia="zh-CN"/>
        </w:rPr>
      </w:pPr>
      <w:bookmarkStart w:id="118" w:name="_Toc29557"/>
      <w:r>
        <w:rPr>
          <w:rFonts w:hint="eastAsia"/>
          <w:color w:val="auto"/>
          <w:lang w:val="en-US" w:eastAsia="zh-CN"/>
        </w:rPr>
        <w:t>植被</w:t>
      </w:r>
      <w:bookmarkEnd w:id="118"/>
    </w:p>
    <w:p w14:paraId="4079348A">
      <w:pPr>
        <w:bidi w:val="0"/>
        <w:rPr>
          <w:rFonts w:hint="eastAsia"/>
          <w:color w:val="auto"/>
          <w:lang w:val="zh-CN" w:eastAsia="zh-CN"/>
        </w:rPr>
      </w:pPr>
      <w:r>
        <w:rPr>
          <w:rFonts w:hint="eastAsia"/>
          <w:color w:val="auto"/>
          <w:lang w:val="zh-CN" w:eastAsia="zh-CN"/>
        </w:rPr>
        <w:t>贵池区地处中亚热带北缘，属皖南山区。由于人类活动及历次林业的变革，中部丘陵区、沿江圩区森林植被以人工林和人工促进天然更新林为主；南部山区尚残存不少天然林，并且，八十年代初及七五期间人工杉木林也多集中分布在这个地区。棠溪乡石门村老山仍保留原始森林景观，其余地方原有植被面貌已遭破坏，大片的常绿阔叶林几乎罕见，残存的多为次生常绿阔叶林，常见的有青冈栎、苦槠、甜槠等，常绿阔叶与落叶阔叶混交林和针阔混交林较多。南部山区分布有大量国家级和省级保护的珍稀濒危植物27种，其中有银杏、华榛、连香树、香果树、天目木姜子、银鹊树、南紫薇、青钱柳、金钱松等。</w:t>
      </w:r>
    </w:p>
    <w:p w14:paraId="4F8BF2B7">
      <w:pPr>
        <w:pStyle w:val="4"/>
        <w:bidi w:val="0"/>
        <w:rPr>
          <w:rFonts w:hint="default"/>
          <w:color w:val="auto"/>
          <w:lang w:val="en-US" w:eastAsia="zh-CN"/>
        </w:rPr>
      </w:pPr>
      <w:bookmarkStart w:id="119" w:name="_Toc13675"/>
      <w:r>
        <w:rPr>
          <w:rFonts w:hint="eastAsia"/>
          <w:color w:val="auto"/>
          <w:lang w:val="en-US" w:eastAsia="zh-CN"/>
        </w:rPr>
        <w:t>森林资源</w:t>
      </w:r>
      <w:bookmarkEnd w:id="119"/>
    </w:p>
    <w:p w14:paraId="2AB80EC6">
      <w:pPr>
        <w:bidi w:val="0"/>
        <w:rPr>
          <w:rFonts w:hint="eastAsia"/>
          <w:color w:val="auto"/>
          <w:lang w:val="zh-CN" w:eastAsia="zh-CN"/>
        </w:rPr>
      </w:pPr>
      <w:r>
        <w:rPr>
          <w:rFonts w:hint="eastAsia"/>
          <w:color w:val="auto"/>
          <w:lang w:val="zh-CN" w:eastAsia="zh-CN"/>
        </w:rPr>
        <w:t>全区林地面积为138785公顷，占全区总面积的55.2%，其中有林地面积为120690.3公顷，有林地面积中乔木林地112033.2公顷，经济林823.5公顷，竹林7825.3公顷。全区森林覆盖率为49%。森林绿化率54.4%。活立木蓄积总量602万立方米。</w:t>
      </w:r>
    </w:p>
    <w:p w14:paraId="7309FF41">
      <w:pPr>
        <w:pStyle w:val="4"/>
        <w:bidi w:val="0"/>
        <w:rPr>
          <w:rFonts w:hint="default"/>
          <w:color w:val="auto"/>
          <w:lang w:val="en-US" w:eastAsia="zh-CN"/>
        </w:rPr>
      </w:pPr>
      <w:bookmarkStart w:id="120" w:name="_Toc5721"/>
      <w:r>
        <w:rPr>
          <w:rFonts w:hint="eastAsia"/>
          <w:color w:val="auto"/>
          <w:lang w:val="en-US" w:eastAsia="zh-CN"/>
        </w:rPr>
        <w:t>湿地</w:t>
      </w:r>
      <w:bookmarkEnd w:id="120"/>
    </w:p>
    <w:p w14:paraId="5B0B69C3">
      <w:pPr>
        <w:bidi w:val="0"/>
        <w:rPr>
          <w:rFonts w:hint="eastAsia"/>
          <w:color w:val="auto"/>
          <w:lang w:val="zh-CN" w:eastAsia="zh-CN"/>
        </w:rPr>
      </w:pPr>
      <w:r>
        <w:rPr>
          <w:rFonts w:hint="eastAsia"/>
          <w:color w:val="auto"/>
          <w:lang w:val="zh-CN" w:eastAsia="zh-CN"/>
        </w:rPr>
        <w:t>全区林地面积为138785公顷，占全区总面积的55.2%，其中有林地面积为120690.3公顷，有林地面积中乔木林地112033.2公顷，经济林823.5公顷，竹林7825.3公顷。全区森林覆盖率为49%。森林绿化率54.4%。活立木蓄积总量602万立方米。</w:t>
      </w:r>
    </w:p>
    <w:p w14:paraId="0E719406">
      <w:pPr>
        <w:pStyle w:val="4"/>
        <w:bidi w:val="0"/>
        <w:rPr>
          <w:rFonts w:hint="eastAsia"/>
          <w:color w:val="auto"/>
          <w:lang w:val="zh-CN" w:eastAsia="zh-CN"/>
        </w:rPr>
      </w:pPr>
      <w:bookmarkStart w:id="121" w:name="_Toc3469"/>
      <w:r>
        <w:rPr>
          <w:rFonts w:hint="eastAsia"/>
          <w:color w:val="auto"/>
          <w:lang w:val="zh-CN" w:eastAsia="zh-CN"/>
        </w:rPr>
        <w:t>矿产资源</w:t>
      </w:r>
      <w:bookmarkEnd w:id="121"/>
    </w:p>
    <w:p w14:paraId="307DA169">
      <w:pPr>
        <w:rPr>
          <w:rFonts w:hint="eastAsia"/>
          <w:color w:val="auto"/>
          <w:lang w:val="zh-CN" w:eastAsia="zh-CN"/>
        </w:rPr>
      </w:pPr>
      <w:r>
        <w:rPr>
          <w:rFonts w:hint="eastAsia"/>
          <w:color w:val="auto"/>
          <w:lang w:val="zh-CN" w:eastAsia="zh-CN"/>
        </w:rPr>
        <w:t>贵池区矿产资源丰富，品种繁多，分布面广，采冶历史悠久。据《新唐书·地理志》载；“池州秋浦有铜有银”。探明的金属矿有硫、磷、煤、萤石、硅石、花岗石、白云石、石英、大理石、栖霞灰岩、水泥石灰石及水泥粘土等12种。煤矿也有广泛分布，已探明有工业价值的矿产地23处。全区矿藏储量，据初步估算为：铜6.6万吨、（金属量）铁473万吨、锰227万吨、铅锌22.8万吨、钨195万吨、铝1500吨、锑50万吨、金铁矿石12万吨、石英石10万立方米、大理石12亿立方米、硫铁1031万吨、煤3920万吨、金储量915千克。贵池区秋浦、九华诸河黄砂资源丰富，尤其是九华河砂具有砂质纯洁、坚硬颗粒均匀，抗压力大，耐酸性强，棱角锋利，含石英多等优点，系优质建筑材料，属国家二等砂，畅销上海和沿江一带。</w:t>
      </w:r>
    </w:p>
    <w:p w14:paraId="38496D50">
      <w:pPr>
        <w:pStyle w:val="3"/>
        <w:bidi w:val="0"/>
        <w:ind w:left="480" w:leftChars="0" w:firstLineChars="0"/>
        <w:rPr>
          <w:rFonts w:hint="eastAsia"/>
          <w:color w:val="auto"/>
          <w:lang w:val="zh-CN" w:eastAsia="zh-CN"/>
        </w:rPr>
      </w:pPr>
      <w:bookmarkStart w:id="122" w:name="_Toc28328"/>
      <w:r>
        <w:rPr>
          <w:rFonts w:hint="eastAsia"/>
          <w:color w:val="auto"/>
          <w:lang w:val="zh-CN" w:eastAsia="zh-CN"/>
        </w:rPr>
        <w:t>环境质量现状监测与评价</w:t>
      </w:r>
      <w:bookmarkEnd w:id="122"/>
    </w:p>
    <w:p w14:paraId="3ED97DAC">
      <w:pPr>
        <w:pStyle w:val="4"/>
        <w:bidi w:val="0"/>
        <w:rPr>
          <w:rFonts w:hint="eastAsia"/>
          <w:color w:val="auto"/>
          <w:lang w:val="zh-CN" w:eastAsia="zh-CN"/>
        </w:rPr>
      </w:pPr>
      <w:bookmarkStart w:id="123" w:name="_Toc31009"/>
      <w:r>
        <w:rPr>
          <w:rFonts w:hint="eastAsia"/>
          <w:color w:val="auto"/>
          <w:lang w:val="zh-CN" w:eastAsia="zh-CN"/>
        </w:rPr>
        <w:t>大气环境质量现状调查与评价</w:t>
      </w:r>
      <w:bookmarkEnd w:id="123"/>
    </w:p>
    <w:p w14:paraId="45CA5B83">
      <w:pPr>
        <w:bidi w:val="0"/>
        <w:rPr>
          <w:rFonts w:hint="eastAsia"/>
          <w:color w:val="auto"/>
          <w:lang w:val="en-US" w:eastAsia="zh-CN"/>
        </w:rPr>
      </w:pPr>
      <w:r>
        <w:rPr>
          <w:rFonts w:hint="eastAsia"/>
          <w:color w:val="auto"/>
          <w:lang w:val="en-US" w:eastAsia="zh-CN"/>
        </w:rPr>
        <w:t>本项目大气评价等级为三级，根据《环境影响评价技术导则-大气环境》（HJ2.2-2018）中“6.1.3三级评价项目只调查项目所在区域环境质量达标情况”，故本次仅开展项目所在区域环境质量达标情况判定，本项目抛泥区及临时道路临近秋浦仙境风景名胜区，属于一类区，执行《环境空气质量标准》（GB3095-2012）及其修改单中的一级标准。弃土区位于</w:t>
      </w:r>
      <w:r>
        <w:rPr>
          <w:rFonts w:hint="eastAsia"/>
          <w:color w:val="auto"/>
        </w:rPr>
        <w:t>贵池区涓桥镇罗村</w:t>
      </w:r>
      <w:r>
        <w:rPr>
          <w:rFonts w:hint="eastAsia"/>
          <w:color w:val="auto"/>
          <w:lang w:val="en-US" w:eastAsia="zh-CN"/>
        </w:rPr>
        <w:t>及</w:t>
      </w:r>
      <w:r>
        <w:rPr>
          <w:rFonts w:hint="eastAsia"/>
          <w:color w:val="auto"/>
        </w:rPr>
        <w:t>杨冲</w:t>
      </w:r>
      <w:r>
        <w:rPr>
          <w:rFonts w:hint="eastAsia"/>
          <w:color w:val="auto"/>
          <w:lang w:val="en-US" w:eastAsia="zh-CN"/>
        </w:rPr>
        <w:t>属于二类区，执行《环境空气质量标准》（GB3095-2012）及其修改单中的二级标准。</w:t>
      </w:r>
    </w:p>
    <w:p w14:paraId="143638BE">
      <w:pPr>
        <w:pStyle w:val="5"/>
        <w:bidi w:val="0"/>
        <w:rPr>
          <w:rFonts w:hint="eastAsia"/>
          <w:b/>
          <w:bCs/>
          <w:color w:val="auto"/>
          <w:lang w:val="zh-CN" w:eastAsia="zh-CN"/>
        </w:rPr>
      </w:pPr>
      <w:r>
        <w:rPr>
          <w:rFonts w:hint="eastAsia"/>
          <w:b/>
          <w:bCs/>
          <w:color w:val="auto"/>
          <w:lang w:val="zh-CN" w:eastAsia="zh-CN"/>
        </w:rPr>
        <w:t>区域大气环境质量现状达标判定</w:t>
      </w:r>
    </w:p>
    <w:p w14:paraId="33572EF1">
      <w:pPr>
        <w:bidi w:val="0"/>
        <w:rPr>
          <w:color w:val="auto"/>
        </w:rPr>
      </w:pPr>
      <w:r>
        <w:rPr>
          <w:color w:val="auto"/>
        </w:rPr>
        <w:t>根据《环境影响评价技术导则大气环境》（HJ2.2-2018），项目所在区域达标判定优先采用国家或地方生态环境主管部门公开发布的评价基准年环境质量公告或环境质量报告中的数据或结论。</w:t>
      </w:r>
    </w:p>
    <w:p w14:paraId="284220FF">
      <w:pPr>
        <w:bidi w:val="0"/>
        <w:rPr>
          <w:color w:val="auto"/>
        </w:rPr>
      </w:pPr>
      <w:r>
        <w:rPr>
          <w:rFonts w:hint="eastAsia"/>
          <w:color w:val="auto"/>
          <w:lang w:val="en-US" w:eastAsia="zh-CN"/>
        </w:rPr>
        <w:t>本次一类区评价采用《2023中国生态环境状况公报》中背景点相关数据，</w:t>
      </w:r>
      <w:r>
        <w:rPr>
          <w:color w:val="auto"/>
        </w:rPr>
        <w:t>环境空气质量达标情况评价指标为SO</w:t>
      </w:r>
      <w:r>
        <w:rPr>
          <w:color w:val="auto"/>
          <w:vertAlign w:val="subscript"/>
        </w:rPr>
        <w:t>2</w:t>
      </w:r>
      <w:r>
        <w:rPr>
          <w:color w:val="auto"/>
        </w:rPr>
        <w:t>、NO</w:t>
      </w:r>
      <w:r>
        <w:rPr>
          <w:color w:val="auto"/>
          <w:vertAlign w:val="subscript"/>
        </w:rPr>
        <w:t>2</w:t>
      </w:r>
      <w:r>
        <w:rPr>
          <w:color w:val="auto"/>
        </w:rPr>
        <w:t>、PM</w:t>
      </w:r>
      <w:r>
        <w:rPr>
          <w:color w:val="auto"/>
          <w:vertAlign w:val="subscript"/>
        </w:rPr>
        <w:t>10</w:t>
      </w:r>
      <w:r>
        <w:rPr>
          <w:color w:val="auto"/>
        </w:rPr>
        <w:t>、PM</w:t>
      </w:r>
      <w:r>
        <w:rPr>
          <w:color w:val="auto"/>
          <w:vertAlign w:val="subscript"/>
        </w:rPr>
        <w:t>2.5</w:t>
      </w:r>
      <w:r>
        <w:rPr>
          <w:color w:val="auto"/>
        </w:rPr>
        <w:t>、CO和O</w:t>
      </w:r>
      <w:r>
        <w:rPr>
          <w:color w:val="auto"/>
          <w:vertAlign w:val="subscript"/>
        </w:rPr>
        <w:t>3</w:t>
      </w:r>
      <w:r>
        <w:rPr>
          <w:color w:val="auto"/>
        </w:rPr>
        <w:t>，六项污染物全部达标即为</w:t>
      </w:r>
      <w:r>
        <w:rPr>
          <w:rFonts w:hint="eastAsia"/>
          <w:color w:val="auto"/>
          <w:lang w:val="en-US" w:eastAsia="zh-CN"/>
        </w:rPr>
        <w:t>背景点</w:t>
      </w:r>
      <w:r>
        <w:rPr>
          <w:color w:val="auto"/>
        </w:rPr>
        <w:t>环境空气质量达标。</w:t>
      </w:r>
    </w:p>
    <w:p w14:paraId="08010B8B">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ascii="Times New Roman" w:hAnsi="Times New Roman"/>
          <w:b/>
          <w:color w:val="auto"/>
          <w:sz w:val="21"/>
          <w:szCs w:val="24"/>
          <w:lang w:bidi="ar"/>
        </w:rPr>
        <w:t>项目所在区域空气质量评价结果一览表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2252"/>
        <w:gridCol w:w="1540"/>
        <w:gridCol w:w="1286"/>
        <w:gridCol w:w="1328"/>
        <w:gridCol w:w="918"/>
      </w:tblGrid>
      <w:tr w14:paraId="388D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7040E86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污染物</w:t>
            </w:r>
          </w:p>
        </w:tc>
        <w:tc>
          <w:tcPr>
            <w:tcW w:w="1904" w:type="dxa"/>
            <w:noWrap w:val="0"/>
            <w:vAlign w:val="center"/>
          </w:tcPr>
          <w:p w14:paraId="5BE339A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年评价指标</w:t>
            </w:r>
          </w:p>
        </w:tc>
        <w:tc>
          <w:tcPr>
            <w:tcW w:w="1302" w:type="dxa"/>
            <w:noWrap w:val="0"/>
            <w:vAlign w:val="center"/>
          </w:tcPr>
          <w:p w14:paraId="01CE045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现状浓度（ug/m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w:t>
            </w:r>
          </w:p>
        </w:tc>
        <w:tc>
          <w:tcPr>
            <w:tcW w:w="1087" w:type="dxa"/>
            <w:noWrap w:val="0"/>
            <w:vAlign w:val="center"/>
          </w:tcPr>
          <w:p w14:paraId="650379F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标准值（ug/m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w:t>
            </w:r>
          </w:p>
        </w:tc>
        <w:tc>
          <w:tcPr>
            <w:tcW w:w="1123" w:type="dxa"/>
            <w:noWrap w:val="0"/>
            <w:vAlign w:val="center"/>
          </w:tcPr>
          <w:p w14:paraId="118E400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占标率%</w:t>
            </w:r>
          </w:p>
        </w:tc>
        <w:tc>
          <w:tcPr>
            <w:tcW w:w="775" w:type="dxa"/>
            <w:noWrap w:val="0"/>
            <w:vAlign w:val="center"/>
          </w:tcPr>
          <w:p w14:paraId="2F9EA43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达标情况</w:t>
            </w:r>
          </w:p>
        </w:tc>
      </w:tr>
      <w:tr w14:paraId="50BE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78036F9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SO</w:t>
            </w:r>
            <w:r>
              <w:rPr>
                <w:rFonts w:hint="default" w:ascii="Times New Roman" w:hAnsi="Times New Roman" w:eastAsia="宋体" w:cs="Times New Roman"/>
                <w:b w:val="0"/>
                <w:bCs/>
                <w:color w:val="auto"/>
                <w:sz w:val="21"/>
                <w:szCs w:val="21"/>
                <w:vertAlign w:val="subscript"/>
              </w:rPr>
              <w:t>2</w:t>
            </w:r>
          </w:p>
        </w:tc>
        <w:tc>
          <w:tcPr>
            <w:tcW w:w="1904" w:type="dxa"/>
            <w:noWrap w:val="0"/>
            <w:vAlign w:val="center"/>
          </w:tcPr>
          <w:p w14:paraId="42C482F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02" w:type="dxa"/>
            <w:noWrap w:val="0"/>
            <w:vAlign w:val="center"/>
          </w:tcPr>
          <w:p w14:paraId="7973C7F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0.9</w:t>
            </w:r>
          </w:p>
        </w:tc>
        <w:tc>
          <w:tcPr>
            <w:tcW w:w="1087" w:type="dxa"/>
            <w:noWrap w:val="0"/>
            <w:vAlign w:val="center"/>
          </w:tcPr>
          <w:p w14:paraId="191CE6D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20</w:t>
            </w:r>
          </w:p>
        </w:tc>
        <w:tc>
          <w:tcPr>
            <w:tcW w:w="1123" w:type="dxa"/>
            <w:noWrap w:val="0"/>
            <w:vAlign w:val="center"/>
          </w:tcPr>
          <w:p w14:paraId="07F18ABF">
            <w:pPr>
              <w:pStyle w:val="31"/>
              <w:bidi w:val="0"/>
              <w:rPr>
                <w:rFonts w:hint="default"/>
                <w:color w:val="auto"/>
                <w:lang w:val="en-US" w:eastAsia="zh-CN"/>
              </w:rPr>
            </w:pPr>
            <w:r>
              <w:rPr>
                <w:rFonts w:hint="default"/>
                <w:color w:val="auto"/>
                <w:lang w:val="en-US" w:eastAsia="zh-CN"/>
              </w:rPr>
              <w:t>4.50%</w:t>
            </w:r>
          </w:p>
        </w:tc>
        <w:tc>
          <w:tcPr>
            <w:tcW w:w="775" w:type="dxa"/>
            <w:noWrap w:val="0"/>
            <w:vAlign w:val="center"/>
          </w:tcPr>
          <w:p w14:paraId="08AA10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7D58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296EC6F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NO</w:t>
            </w:r>
            <w:r>
              <w:rPr>
                <w:rFonts w:hint="default" w:ascii="Times New Roman" w:hAnsi="Times New Roman" w:eastAsia="宋体" w:cs="Times New Roman"/>
                <w:b w:val="0"/>
                <w:bCs/>
                <w:color w:val="auto"/>
                <w:sz w:val="21"/>
                <w:szCs w:val="21"/>
                <w:vertAlign w:val="subscript"/>
              </w:rPr>
              <w:t>2</w:t>
            </w:r>
          </w:p>
        </w:tc>
        <w:tc>
          <w:tcPr>
            <w:tcW w:w="1904" w:type="dxa"/>
            <w:noWrap w:val="0"/>
            <w:vAlign w:val="center"/>
          </w:tcPr>
          <w:p w14:paraId="6D63AFDE">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02" w:type="dxa"/>
            <w:noWrap w:val="0"/>
            <w:vAlign w:val="center"/>
          </w:tcPr>
          <w:p w14:paraId="009DCCD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3.4</w:t>
            </w:r>
          </w:p>
        </w:tc>
        <w:tc>
          <w:tcPr>
            <w:tcW w:w="1087" w:type="dxa"/>
            <w:noWrap w:val="0"/>
            <w:vAlign w:val="center"/>
          </w:tcPr>
          <w:p w14:paraId="32850CB5">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40</w:t>
            </w:r>
          </w:p>
        </w:tc>
        <w:tc>
          <w:tcPr>
            <w:tcW w:w="1123" w:type="dxa"/>
            <w:noWrap w:val="0"/>
            <w:vAlign w:val="center"/>
          </w:tcPr>
          <w:p w14:paraId="3E8D7629">
            <w:pPr>
              <w:pStyle w:val="31"/>
              <w:bidi w:val="0"/>
              <w:rPr>
                <w:rFonts w:hint="default"/>
                <w:color w:val="auto"/>
                <w:lang w:val="en-US" w:eastAsia="zh-CN"/>
              </w:rPr>
            </w:pPr>
            <w:r>
              <w:rPr>
                <w:rFonts w:hint="default"/>
                <w:color w:val="auto"/>
                <w:lang w:val="en-US" w:eastAsia="zh-CN"/>
              </w:rPr>
              <w:t>8.50%</w:t>
            </w:r>
          </w:p>
        </w:tc>
        <w:tc>
          <w:tcPr>
            <w:tcW w:w="775" w:type="dxa"/>
            <w:noWrap w:val="0"/>
            <w:vAlign w:val="center"/>
          </w:tcPr>
          <w:p w14:paraId="12C086F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43652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6C81111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CO</w:t>
            </w:r>
          </w:p>
        </w:tc>
        <w:tc>
          <w:tcPr>
            <w:tcW w:w="1904" w:type="dxa"/>
            <w:noWrap w:val="0"/>
            <w:vAlign w:val="center"/>
          </w:tcPr>
          <w:p w14:paraId="67DB7D90">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24h平均质量浓度</w:t>
            </w:r>
          </w:p>
        </w:tc>
        <w:tc>
          <w:tcPr>
            <w:tcW w:w="1302" w:type="dxa"/>
            <w:noWrap w:val="0"/>
            <w:vAlign w:val="center"/>
          </w:tcPr>
          <w:p w14:paraId="3DE92D48">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400</w:t>
            </w:r>
          </w:p>
        </w:tc>
        <w:tc>
          <w:tcPr>
            <w:tcW w:w="1087" w:type="dxa"/>
            <w:noWrap w:val="0"/>
            <w:vAlign w:val="center"/>
          </w:tcPr>
          <w:p w14:paraId="047324F4">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4000</w:t>
            </w:r>
          </w:p>
        </w:tc>
        <w:tc>
          <w:tcPr>
            <w:tcW w:w="1123" w:type="dxa"/>
            <w:noWrap w:val="0"/>
            <w:vAlign w:val="center"/>
          </w:tcPr>
          <w:p w14:paraId="0AC4CDDE">
            <w:pPr>
              <w:pStyle w:val="31"/>
              <w:bidi w:val="0"/>
              <w:rPr>
                <w:rFonts w:hint="default"/>
                <w:color w:val="auto"/>
                <w:lang w:val="en-US" w:eastAsia="zh-CN"/>
              </w:rPr>
            </w:pPr>
            <w:r>
              <w:rPr>
                <w:rFonts w:hint="default"/>
                <w:color w:val="auto"/>
                <w:lang w:val="en-US" w:eastAsia="zh-CN"/>
              </w:rPr>
              <w:t>10.00%</w:t>
            </w:r>
          </w:p>
        </w:tc>
        <w:tc>
          <w:tcPr>
            <w:tcW w:w="775" w:type="dxa"/>
            <w:noWrap w:val="0"/>
            <w:vAlign w:val="center"/>
          </w:tcPr>
          <w:p w14:paraId="4BE8191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63F6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4082957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O</w:t>
            </w:r>
            <w:r>
              <w:rPr>
                <w:rFonts w:hint="default" w:ascii="Times New Roman" w:hAnsi="Times New Roman" w:eastAsia="宋体" w:cs="Times New Roman"/>
                <w:b w:val="0"/>
                <w:bCs/>
                <w:color w:val="auto"/>
                <w:sz w:val="21"/>
                <w:szCs w:val="21"/>
                <w:vertAlign w:val="subscript"/>
              </w:rPr>
              <w:t>3</w:t>
            </w:r>
          </w:p>
        </w:tc>
        <w:tc>
          <w:tcPr>
            <w:tcW w:w="1904" w:type="dxa"/>
            <w:noWrap w:val="0"/>
            <w:vAlign w:val="center"/>
          </w:tcPr>
          <w:p w14:paraId="17B08001">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日最大8h平均</w:t>
            </w:r>
          </w:p>
        </w:tc>
        <w:tc>
          <w:tcPr>
            <w:tcW w:w="1302" w:type="dxa"/>
            <w:noWrap w:val="0"/>
            <w:vAlign w:val="center"/>
          </w:tcPr>
          <w:p w14:paraId="1808D786">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124.6</w:t>
            </w:r>
          </w:p>
        </w:tc>
        <w:tc>
          <w:tcPr>
            <w:tcW w:w="1087" w:type="dxa"/>
            <w:noWrap w:val="0"/>
            <w:vAlign w:val="center"/>
          </w:tcPr>
          <w:p w14:paraId="5A401DFF">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100</w:t>
            </w:r>
          </w:p>
        </w:tc>
        <w:tc>
          <w:tcPr>
            <w:tcW w:w="1123" w:type="dxa"/>
            <w:noWrap w:val="0"/>
            <w:vAlign w:val="center"/>
          </w:tcPr>
          <w:p w14:paraId="53CD5486">
            <w:pPr>
              <w:pStyle w:val="31"/>
              <w:bidi w:val="0"/>
              <w:rPr>
                <w:rFonts w:hint="default"/>
                <w:color w:val="auto"/>
                <w:lang w:val="en-US" w:eastAsia="zh-CN"/>
              </w:rPr>
            </w:pPr>
            <w:r>
              <w:rPr>
                <w:rFonts w:hint="default"/>
                <w:color w:val="auto"/>
                <w:lang w:val="en-US" w:eastAsia="zh-CN"/>
              </w:rPr>
              <w:t>124.60%</w:t>
            </w:r>
          </w:p>
        </w:tc>
        <w:tc>
          <w:tcPr>
            <w:tcW w:w="775" w:type="dxa"/>
            <w:noWrap w:val="0"/>
            <w:vAlign w:val="center"/>
          </w:tcPr>
          <w:p w14:paraId="3586628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eastAsia" w:cs="Times New Roman"/>
                <w:b w:val="0"/>
                <w:bCs/>
                <w:color w:val="auto"/>
                <w:sz w:val="21"/>
                <w:szCs w:val="21"/>
                <w:lang w:val="en-US" w:eastAsia="zh-CN"/>
              </w:rPr>
              <w:t>不</w:t>
            </w:r>
            <w:r>
              <w:rPr>
                <w:rFonts w:hint="default" w:ascii="Times New Roman" w:hAnsi="Times New Roman" w:eastAsia="宋体" w:cs="Times New Roman"/>
                <w:b w:val="0"/>
                <w:bCs/>
                <w:color w:val="auto"/>
                <w:sz w:val="21"/>
                <w:szCs w:val="21"/>
              </w:rPr>
              <w:t>达标</w:t>
            </w:r>
          </w:p>
        </w:tc>
      </w:tr>
      <w:tr w14:paraId="44A0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5359E6F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PM</w:t>
            </w:r>
            <w:r>
              <w:rPr>
                <w:rFonts w:hint="default" w:ascii="Times New Roman" w:hAnsi="Times New Roman" w:eastAsia="宋体" w:cs="Times New Roman"/>
                <w:b w:val="0"/>
                <w:bCs/>
                <w:color w:val="auto"/>
                <w:sz w:val="21"/>
                <w:szCs w:val="21"/>
                <w:vertAlign w:val="subscript"/>
              </w:rPr>
              <w:t>10</w:t>
            </w:r>
          </w:p>
        </w:tc>
        <w:tc>
          <w:tcPr>
            <w:tcW w:w="1904" w:type="dxa"/>
            <w:noWrap w:val="0"/>
            <w:vAlign w:val="center"/>
          </w:tcPr>
          <w:p w14:paraId="7EDF4048">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02" w:type="dxa"/>
            <w:noWrap w:val="0"/>
            <w:vAlign w:val="center"/>
          </w:tcPr>
          <w:p w14:paraId="21BCF430">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18</w:t>
            </w:r>
          </w:p>
        </w:tc>
        <w:tc>
          <w:tcPr>
            <w:tcW w:w="1087" w:type="dxa"/>
            <w:noWrap w:val="0"/>
            <w:vAlign w:val="center"/>
          </w:tcPr>
          <w:p w14:paraId="136D3E1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40</w:t>
            </w:r>
          </w:p>
        </w:tc>
        <w:tc>
          <w:tcPr>
            <w:tcW w:w="1123" w:type="dxa"/>
            <w:noWrap w:val="0"/>
            <w:vAlign w:val="center"/>
          </w:tcPr>
          <w:p w14:paraId="426E4449">
            <w:pPr>
              <w:pStyle w:val="31"/>
              <w:bidi w:val="0"/>
              <w:rPr>
                <w:rFonts w:hint="default"/>
                <w:color w:val="auto"/>
                <w:lang w:val="en-US" w:eastAsia="zh-CN"/>
              </w:rPr>
            </w:pPr>
            <w:r>
              <w:rPr>
                <w:rFonts w:hint="default"/>
                <w:color w:val="auto"/>
                <w:lang w:val="en-US" w:eastAsia="zh-CN"/>
              </w:rPr>
              <w:t>45.00%</w:t>
            </w:r>
          </w:p>
        </w:tc>
        <w:tc>
          <w:tcPr>
            <w:tcW w:w="775" w:type="dxa"/>
            <w:noWrap w:val="0"/>
            <w:vAlign w:val="center"/>
          </w:tcPr>
          <w:p w14:paraId="61E0E5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1A59F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3" w:type="dxa"/>
            <w:noWrap w:val="0"/>
            <w:vAlign w:val="center"/>
          </w:tcPr>
          <w:p w14:paraId="3EC7D8D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PM</w:t>
            </w:r>
            <w:r>
              <w:rPr>
                <w:rFonts w:hint="default" w:ascii="Times New Roman" w:hAnsi="Times New Roman" w:eastAsia="宋体" w:cs="Times New Roman"/>
                <w:b w:val="0"/>
                <w:bCs/>
                <w:color w:val="auto"/>
                <w:sz w:val="21"/>
                <w:szCs w:val="21"/>
                <w:vertAlign w:val="subscript"/>
              </w:rPr>
              <w:t>2.5</w:t>
            </w:r>
          </w:p>
        </w:tc>
        <w:tc>
          <w:tcPr>
            <w:tcW w:w="1904" w:type="dxa"/>
            <w:noWrap w:val="0"/>
            <w:vAlign w:val="center"/>
          </w:tcPr>
          <w:p w14:paraId="3AB7B48E">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02" w:type="dxa"/>
            <w:noWrap w:val="0"/>
            <w:vAlign w:val="center"/>
          </w:tcPr>
          <w:p w14:paraId="416D899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9.5</w:t>
            </w:r>
          </w:p>
        </w:tc>
        <w:tc>
          <w:tcPr>
            <w:tcW w:w="1087" w:type="dxa"/>
            <w:noWrap w:val="0"/>
            <w:vAlign w:val="center"/>
          </w:tcPr>
          <w:p w14:paraId="15AC2688">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15</w:t>
            </w:r>
          </w:p>
        </w:tc>
        <w:tc>
          <w:tcPr>
            <w:tcW w:w="1123" w:type="dxa"/>
            <w:noWrap w:val="0"/>
            <w:vAlign w:val="center"/>
          </w:tcPr>
          <w:p w14:paraId="11066333">
            <w:pPr>
              <w:pStyle w:val="31"/>
              <w:bidi w:val="0"/>
              <w:rPr>
                <w:rFonts w:hint="default"/>
                <w:color w:val="auto"/>
                <w:lang w:val="en-US" w:eastAsia="zh-CN"/>
              </w:rPr>
            </w:pPr>
            <w:r>
              <w:rPr>
                <w:rFonts w:hint="default"/>
                <w:color w:val="auto"/>
                <w:lang w:val="en-US" w:eastAsia="zh-CN"/>
              </w:rPr>
              <w:t>63.33%</w:t>
            </w:r>
          </w:p>
        </w:tc>
        <w:tc>
          <w:tcPr>
            <w:tcW w:w="775" w:type="dxa"/>
            <w:noWrap w:val="0"/>
            <w:vAlign w:val="center"/>
          </w:tcPr>
          <w:p w14:paraId="29497F9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达标</w:t>
            </w:r>
          </w:p>
        </w:tc>
      </w:tr>
    </w:tbl>
    <w:p w14:paraId="707B6BCE">
      <w:pPr>
        <w:bidi w:val="0"/>
        <w:rPr>
          <w:color w:val="auto"/>
        </w:rPr>
      </w:pPr>
      <w:r>
        <w:rPr>
          <w:rFonts w:hint="eastAsia"/>
          <w:color w:val="auto"/>
          <w:lang w:val="en-US" w:eastAsia="zh-CN"/>
        </w:rPr>
        <w:t>由上表可知，项目所在区域2023年</w:t>
      </w:r>
      <w:r>
        <w:rPr>
          <w:color w:val="auto"/>
        </w:rPr>
        <w:t>SO</w:t>
      </w:r>
      <w:r>
        <w:rPr>
          <w:color w:val="auto"/>
          <w:vertAlign w:val="subscript"/>
        </w:rPr>
        <w:t>2</w:t>
      </w:r>
      <w:r>
        <w:rPr>
          <w:color w:val="auto"/>
        </w:rPr>
        <w:t>、NO</w:t>
      </w:r>
      <w:r>
        <w:rPr>
          <w:color w:val="auto"/>
          <w:vertAlign w:val="subscript"/>
        </w:rPr>
        <w:t>2</w:t>
      </w:r>
      <w:r>
        <w:rPr>
          <w:color w:val="auto"/>
        </w:rPr>
        <w:t>、PM</w:t>
      </w:r>
      <w:r>
        <w:rPr>
          <w:color w:val="auto"/>
          <w:vertAlign w:val="subscript"/>
        </w:rPr>
        <w:t>10</w:t>
      </w:r>
      <w:r>
        <w:rPr>
          <w:rFonts w:hint="eastAsia"/>
          <w:color w:val="auto"/>
          <w:lang w:val="en-US" w:eastAsia="zh-CN"/>
        </w:rPr>
        <w:t>和</w:t>
      </w:r>
      <w:r>
        <w:rPr>
          <w:color w:val="auto"/>
        </w:rPr>
        <w:t>PM</w:t>
      </w:r>
      <w:r>
        <w:rPr>
          <w:color w:val="auto"/>
          <w:vertAlign w:val="subscript"/>
        </w:rPr>
        <w:t>2.5</w:t>
      </w:r>
      <w:r>
        <w:rPr>
          <w:rFonts w:hint="eastAsia"/>
          <w:color w:val="auto"/>
          <w:lang w:val="en-US" w:eastAsia="zh-CN"/>
        </w:rPr>
        <w:t>年平均质量浓度、一氧化碳（CO）日均值第95百分位浓度达到《环境空气质量标准》（GB3095-2015）及其修改单中的一级标准，臭氧（O</w:t>
      </w:r>
      <w:r>
        <w:rPr>
          <w:rFonts w:hint="eastAsia"/>
          <w:color w:val="auto"/>
          <w:vertAlign w:val="subscript"/>
          <w:lang w:val="en-US" w:eastAsia="zh-CN"/>
        </w:rPr>
        <w:t>3</w:t>
      </w:r>
      <w:r>
        <w:rPr>
          <w:rFonts w:hint="eastAsia"/>
          <w:color w:val="auto"/>
          <w:lang w:val="en-US" w:eastAsia="zh-CN"/>
        </w:rPr>
        <w:t>）日最大八小时滑动平均第90百分位数浓度未达到《环境空气质量标准》（GB3095-2015）及其修改单中的一级标准，故项目所在一类区域为不达标区。</w:t>
      </w:r>
    </w:p>
    <w:p w14:paraId="1C70BE0E">
      <w:pPr>
        <w:bidi w:val="0"/>
        <w:rPr>
          <w:color w:val="auto"/>
        </w:rPr>
      </w:pPr>
      <w:r>
        <w:rPr>
          <w:color w:val="auto"/>
        </w:rPr>
        <w:t>本次</w:t>
      </w:r>
      <w:r>
        <w:rPr>
          <w:rFonts w:hint="eastAsia"/>
          <w:color w:val="auto"/>
          <w:lang w:val="en-US" w:eastAsia="zh-CN"/>
        </w:rPr>
        <w:t>二类区</w:t>
      </w:r>
      <w:r>
        <w:rPr>
          <w:color w:val="auto"/>
        </w:rPr>
        <w:t>评价采用《20</w:t>
      </w:r>
      <w:r>
        <w:rPr>
          <w:rFonts w:hint="eastAsia"/>
          <w:color w:val="auto"/>
          <w:lang w:val="en-US" w:eastAsia="zh-CN"/>
        </w:rPr>
        <w:t>23</w:t>
      </w:r>
      <w:r>
        <w:rPr>
          <w:color w:val="auto"/>
        </w:rPr>
        <w:t>年</w:t>
      </w:r>
      <w:r>
        <w:rPr>
          <w:rFonts w:hint="eastAsia"/>
          <w:color w:val="auto"/>
          <w:lang w:val="en-US" w:eastAsia="zh-CN"/>
        </w:rPr>
        <w:t>池州市</w:t>
      </w:r>
      <w:r>
        <w:rPr>
          <w:color w:val="auto"/>
        </w:rPr>
        <w:t>环境</w:t>
      </w:r>
      <w:r>
        <w:rPr>
          <w:rFonts w:hint="eastAsia"/>
          <w:color w:val="auto"/>
        </w:rPr>
        <w:t>质量</w:t>
      </w:r>
      <w:r>
        <w:rPr>
          <w:color w:val="auto"/>
        </w:rPr>
        <w:t>状况公报》中相关数据，环境空气质量达标情况评价指标为SO</w:t>
      </w:r>
      <w:r>
        <w:rPr>
          <w:color w:val="auto"/>
          <w:vertAlign w:val="subscript"/>
        </w:rPr>
        <w:t>2</w:t>
      </w:r>
      <w:r>
        <w:rPr>
          <w:color w:val="auto"/>
        </w:rPr>
        <w:t>、NO</w:t>
      </w:r>
      <w:r>
        <w:rPr>
          <w:color w:val="auto"/>
          <w:vertAlign w:val="subscript"/>
        </w:rPr>
        <w:t>2</w:t>
      </w:r>
      <w:r>
        <w:rPr>
          <w:color w:val="auto"/>
        </w:rPr>
        <w:t>、PM</w:t>
      </w:r>
      <w:r>
        <w:rPr>
          <w:color w:val="auto"/>
          <w:vertAlign w:val="subscript"/>
        </w:rPr>
        <w:t>10</w:t>
      </w:r>
      <w:r>
        <w:rPr>
          <w:color w:val="auto"/>
        </w:rPr>
        <w:t>、PM</w:t>
      </w:r>
      <w:r>
        <w:rPr>
          <w:color w:val="auto"/>
          <w:vertAlign w:val="subscript"/>
        </w:rPr>
        <w:t>2.5</w:t>
      </w:r>
      <w:r>
        <w:rPr>
          <w:color w:val="auto"/>
        </w:rPr>
        <w:t>、CO和O</w:t>
      </w:r>
      <w:r>
        <w:rPr>
          <w:color w:val="auto"/>
          <w:vertAlign w:val="subscript"/>
        </w:rPr>
        <w:t>3</w:t>
      </w:r>
      <w:r>
        <w:rPr>
          <w:color w:val="auto"/>
        </w:rPr>
        <w:t>，六项污染物全部达标即为城市环境空气质量达标。</w:t>
      </w:r>
    </w:p>
    <w:p w14:paraId="742A80E7">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ascii="Times New Roman" w:hAnsi="Times New Roman"/>
          <w:b/>
          <w:color w:val="auto"/>
          <w:sz w:val="21"/>
          <w:szCs w:val="24"/>
          <w:lang w:bidi="ar"/>
        </w:rPr>
        <w:t>项目所在区域空气质量评价结果一览表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2258"/>
        <w:gridCol w:w="1541"/>
        <w:gridCol w:w="1486"/>
        <w:gridCol w:w="1128"/>
        <w:gridCol w:w="912"/>
      </w:tblGrid>
      <w:tr w14:paraId="5595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6BB2832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污染物</w:t>
            </w:r>
          </w:p>
        </w:tc>
        <w:tc>
          <w:tcPr>
            <w:tcW w:w="1970" w:type="dxa"/>
            <w:noWrap w:val="0"/>
            <w:vAlign w:val="center"/>
          </w:tcPr>
          <w:p w14:paraId="6F82417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年评价指标</w:t>
            </w:r>
          </w:p>
        </w:tc>
        <w:tc>
          <w:tcPr>
            <w:tcW w:w="1344" w:type="dxa"/>
            <w:noWrap w:val="0"/>
            <w:vAlign w:val="center"/>
          </w:tcPr>
          <w:p w14:paraId="58CEE0E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现状浓度（ug/m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w:t>
            </w:r>
          </w:p>
        </w:tc>
        <w:tc>
          <w:tcPr>
            <w:tcW w:w="1296" w:type="dxa"/>
            <w:noWrap w:val="0"/>
            <w:vAlign w:val="center"/>
          </w:tcPr>
          <w:p w14:paraId="6A095CA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标准值（ug/m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w:t>
            </w:r>
          </w:p>
        </w:tc>
        <w:tc>
          <w:tcPr>
            <w:tcW w:w="984" w:type="dxa"/>
            <w:noWrap w:val="0"/>
            <w:vAlign w:val="center"/>
          </w:tcPr>
          <w:p w14:paraId="277025A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占标率%</w:t>
            </w:r>
          </w:p>
        </w:tc>
        <w:tc>
          <w:tcPr>
            <w:tcW w:w="796" w:type="dxa"/>
            <w:noWrap w:val="0"/>
            <w:vAlign w:val="center"/>
          </w:tcPr>
          <w:p w14:paraId="356FAB3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达标情况</w:t>
            </w:r>
          </w:p>
        </w:tc>
      </w:tr>
      <w:tr w14:paraId="441D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0B0EDF6B">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SO</w:t>
            </w:r>
            <w:r>
              <w:rPr>
                <w:rFonts w:hint="default" w:ascii="Times New Roman" w:hAnsi="Times New Roman" w:eastAsia="宋体" w:cs="Times New Roman"/>
                <w:b w:val="0"/>
                <w:bCs/>
                <w:color w:val="auto"/>
                <w:sz w:val="21"/>
                <w:szCs w:val="21"/>
                <w:vertAlign w:val="subscript"/>
              </w:rPr>
              <w:t>2</w:t>
            </w:r>
          </w:p>
        </w:tc>
        <w:tc>
          <w:tcPr>
            <w:tcW w:w="1970" w:type="dxa"/>
            <w:noWrap w:val="0"/>
            <w:vAlign w:val="center"/>
          </w:tcPr>
          <w:p w14:paraId="23F52B9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44" w:type="dxa"/>
            <w:noWrap w:val="0"/>
            <w:vAlign w:val="center"/>
          </w:tcPr>
          <w:p w14:paraId="268923DF">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6</w:t>
            </w:r>
          </w:p>
        </w:tc>
        <w:tc>
          <w:tcPr>
            <w:tcW w:w="1296" w:type="dxa"/>
            <w:noWrap w:val="0"/>
            <w:vAlign w:val="center"/>
          </w:tcPr>
          <w:p w14:paraId="02A2D1B5">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60</w:t>
            </w:r>
          </w:p>
        </w:tc>
        <w:tc>
          <w:tcPr>
            <w:tcW w:w="984" w:type="dxa"/>
            <w:noWrap w:val="0"/>
            <w:vAlign w:val="center"/>
          </w:tcPr>
          <w:p w14:paraId="45C4A5F0">
            <w:pPr>
              <w:pStyle w:val="31"/>
              <w:bidi w:val="0"/>
              <w:rPr>
                <w:rFonts w:hint="default"/>
                <w:b w:val="0"/>
                <w:bCs/>
                <w:color w:val="auto"/>
                <w:lang w:val="en-US" w:eastAsia="zh-CN"/>
              </w:rPr>
            </w:pPr>
            <w:r>
              <w:rPr>
                <w:rFonts w:hint="default"/>
                <w:b w:val="0"/>
                <w:bCs/>
                <w:color w:val="auto"/>
                <w:lang w:val="en-US" w:eastAsia="zh-CN"/>
              </w:rPr>
              <w:t>10.00%</w:t>
            </w:r>
          </w:p>
        </w:tc>
        <w:tc>
          <w:tcPr>
            <w:tcW w:w="796" w:type="dxa"/>
            <w:noWrap w:val="0"/>
            <w:vAlign w:val="center"/>
          </w:tcPr>
          <w:p w14:paraId="2F2FCE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3880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666A319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NO</w:t>
            </w:r>
            <w:r>
              <w:rPr>
                <w:rFonts w:hint="default" w:ascii="Times New Roman" w:hAnsi="Times New Roman" w:eastAsia="宋体" w:cs="Times New Roman"/>
                <w:b w:val="0"/>
                <w:bCs/>
                <w:color w:val="auto"/>
                <w:sz w:val="21"/>
                <w:szCs w:val="21"/>
                <w:vertAlign w:val="subscript"/>
              </w:rPr>
              <w:t>2</w:t>
            </w:r>
          </w:p>
        </w:tc>
        <w:tc>
          <w:tcPr>
            <w:tcW w:w="1970" w:type="dxa"/>
            <w:noWrap w:val="0"/>
            <w:vAlign w:val="center"/>
          </w:tcPr>
          <w:p w14:paraId="3DA8E2FE">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44" w:type="dxa"/>
            <w:noWrap w:val="0"/>
            <w:vAlign w:val="center"/>
          </w:tcPr>
          <w:p w14:paraId="7F80A1F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20</w:t>
            </w:r>
          </w:p>
        </w:tc>
        <w:tc>
          <w:tcPr>
            <w:tcW w:w="1296" w:type="dxa"/>
            <w:noWrap w:val="0"/>
            <w:vAlign w:val="center"/>
          </w:tcPr>
          <w:p w14:paraId="598A44C5">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40</w:t>
            </w:r>
          </w:p>
        </w:tc>
        <w:tc>
          <w:tcPr>
            <w:tcW w:w="984" w:type="dxa"/>
            <w:noWrap w:val="0"/>
            <w:vAlign w:val="center"/>
          </w:tcPr>
          <w:p w14:paraId="443A5346">
            <w:pPr>
              <w:pStyle w:val="31"/>
              <w:bidi w:val="0"/>
              <w:rPr>
                <w:rFonts w:hint="default"/>
                <w:b w:val="0"/>
                <w:bCs/>
                <w:color w:val="auto"/>
                <w:lang w:val="en-US" w:eastAsia="zh-CN"/>
              </w:rPr>
            </w:pPr>
            <w:r>
              <w:rPr>
                <w:rFonts w:hint="default"/>
                <w:b w:val="0"/>
                <w:bCs/>
                <w:color w:val="auto"/>
                <w:lang w:val="en-US" w:eastAsia="zh-CN"/>
              </w:rPr>
              <w:t>50.00%</w:t>
            </w:r>
          </w:p>
        </w:tc>
        <w:tc>
          <w:tcPr>
            <w:tcW w:w="796" w:type="dxa"/>
            <w:noWrap w:val="0"/>
            <w:vAlign w:val="center"/>
          </w:tcPr>
          <w:p w14:paraId="31E5B8C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227C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44FD2DF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CO</w:t>
            </w:r>
          </w:p>
        </w:tc>
        <w:tc>
          <w:tcPr>
            <w:tcW w:w="1970" w:type="dxa"/>
            <w:noWrap w:val="0"/>
            <w:vAlign w:val="center"/>
          </w:tcPr>
          <w:p w14:paraId="5DE62D2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24h平均质量浓度</w:t>
            </w:r>
          </w:p>
        </w:tc>
        <w:tc>
          <w:tcPr>
            <w:tcW w:w="1344" w:type="dxa"/>
            <w:noWrap w:val="0"/>
            <w:vAlign w:val="center"/>
          </w:tcPr>
          <w:p w14:paraId="23DB1CE0">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1000</w:t>
            </w:r>
          </w:p>
        </w:tc>
        <w:tc>
          <w:tcPr>
            <w:tcW w:w="1296" w:type="dxa"/>
            <w:noWrap w:val="0"/>
            <w:vAlign w:val="center"/>
          </w:tcPr>
          <w:p w14:paraId="44BF3D6F">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4000</w:t>
            </w:r>
          </w:p>
        </w:tc>
        <w:tc>
          <w:tcPr>
            <w:tcW w:w="984" w:type="dxa"/>
            <w:noWrap w:val="0"/>
            <w:vAlign w:val="center"/>
          </w:tcPr>
          <w:p w14:paraId="1391E20A">
            <w:pPr>
              <w:pStyle w:val="31"/>
              <w:bidi w:val="0"/>
              <w:rPr>
                <w:rFonts w:hint="default"/>
                <w:b w:val="0"/>
                <w:bCs/>
                <w:color w:val="auto"/>
                <w:lang w:val="en-US" w:eastAsia="zh-CN"/>
              </w:rPr>
            </w:pPr>
            <w:r>
              <w:rPr>
                <w:rFonts w:hint="default"/>
                <w:b w:val="0"/>
                <w:bCs/>
                <w:color w:val="auto"/>
                <w:lang w:val="en-US" w:eastAsia="zh-CN"/>
              </w:rPr>
              <w:t>25.00%</w:t>
            </w:r>
          </w:p>
        </w:tc>
        <w:tc>
          <w:tcPr>
            <w:tcW w:w="796" w:type="dxa"/>
            <w:noWrap w:val="0"/>
            <w:vAlign w:val="center"/>
          </w:tcPr>
          <w:p w14:paraId="6C2E086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3942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41D0C33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O</w:t>
            </w:r>
            <w:r>
              <w:rPr>
                <w:rFonts w:hint="default" w:ascii="Times New Roman" w:hAnsi="Times New Roman" w:eastAsia="宋体" w:cs="Times New Roman"/>
                <w:b w:val="0"/>
                <w:bCs/>
                <w:color w:val="auto"/>
                <w:sz w:val="21"/>
                <w:szCs w:val="21"/>
                <w:vertAlign w:val="subscript"/>
              </w:rPr>
              <w:t>3</w:t>
            </w:r>
          </w:p>
        </w:tc>
        <w:tc>
          <w:tcPr>
            <w:tcW w:w="1970" w:type="dxa"/>
            <w:noWrap w:val="0"/>
            <w:vAlign w:val="center"/>
          </w:tcPr>
          <w:p w14:paraId="5FDFD2F0">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日最大8h平均</w:t>
            </w:r>
          </w:p>
        </w:tc>
        <w:tc>
          <w:tcPr>
            <w:tcW w:w="1344" w:type="dxa"/>
            <w:noWrap w:val="0"/>
            <w:vAlign w:val="center"/>
          </w:tcPr>
          <w:p w14:paraId="383F12C1">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156</w:t>
            </w:r>
          </w:p>
        </w:tc>
        <w:tc>
          <w:tcPr>
            <w:tcW w:w="1296" w:type="dxa"/>
            <w:noWrap w:val="0"/>
            <w:vAlign w:val="center"/>
          </w:tcPr>
          <w:p w14:paraId="13F56CC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160</w:t>
            </w:r>
          </w:p>
        </w:tc>
        <w:tc>
          <w:tcPr>
            <w:tcW w:w="984" w:type="dxa"/>
            <w:noWrap w:val="0"/>
            <w:vAlign w:val="center"/>
          </w:tcPr>
          <w:p w14:paraId="5F23552A">
            <w:pPr>
              <w:pStyle w:val="31"/>
              <w:bidi w:val="0"/>
              <w:rPr>
                <w:rFonts w:hint="default"/>
                <w:b w:val="0"/>
                <w:bCs/>
                <w:color w:val="auto"/>
                <w:lang w:val="en-US" w:eastAsia="zh-CN"/>
              </w:rPr>
            </w:pPr>
            <w:r>
              <w:rPr>
                <w:rFonts w:hint="default"/>
                <w:b w:val="0"/>
                <w:bCs/>
                <w:color w:val="auto"/>
                <w:lang w:val="en-US" w:eastAsia="zh-CN"/>
              </w:rPr>
              <w:t>97.50%</w:t>
            </w:r>
          </w:p>
        </w:tc>
        <w:tc>
          <w:tcPr>
            <w:tcW w:w="796" w:type="dxa"/>
            <w:noWrap w:val="0"/>
            <w:vAlign w:val="center"/>
          </w:tcPr>
          <w:p w14:paraId="17170A7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7EED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4A3E7D6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PM</w:t>
            </w:r>
            <w:r>
              <w:rPr>
                <w:rFonts w:hint="default" w:ascii="Times New Roman" w:hAnsi="Times New Roman" w:eastAsia="宋体" w:cs="Times New Roman"/>
                <w:b w:val="0"/>
                <w:bCs/>
                <w:color w:val="auto"/>
                <w:sz w:val="21"/>
                <w:szCs w:val="21"/>
                <w:vertAlign w:val="subscript"/>
              </w:rPr>
              <w:t>10</w:t>
            </w:r>
          </w:p>
        </w:tc>
        <w:tc>
          <w:tcPr>
            <w:tcW w:w="1970" w:type="dxa"/>
            <w:noWrap w:val="0"/>
            <w:vAlign w:val="center"/>
          </w:tcPr>
          <w:p w14:paraId="3E73B31B">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44" w:type="dxa"/>
            <w:noWrap w:val="0"/>
            <w:vAlign w:val="center"/>
          </w:tcPr>
          <w:p w14:paraId="049490EB">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51</w:t>
            </w:r>
          </w:p>
        </w:tc>
        <w:tc>
          <w:tcPr>
            <w:tcW w:w="1296" w:type="dxa"/>
            <w:noWrap w:val="0"/>
            <w:vAlign w:val="center"/>
          </w:tcPr>
          <w:p w14:paraId="13BA456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70</w:t>
            </w:r>
          </w:p>
        </w:tc>
        <w:tc>
          <w:tcPr>
            <w:tcW w:w="984" w:type="dxa"/>
            <w:noWrap w:val="0"/>
            <w:vAlign w:val="center"/>
          </w:tcPr>
          <w:p w14:paraId="765F42BC">
            <w:pPr>
              <w:pStyle w:val="31"/>
              <w:bidi w:val="0"/>
              <w:rPr>
                <w:rFonts w:hint="default"/>
                <w:b w:val="0"/>
                <w:bCs/>
                <w:color w:val="auto"/>
                <w:lang w:val="en-US" w:eastAsia="zh-CN"/>
              </w:rPr>
            </w:pPr>
            <w:r>
              <w:rPr>
                <w:rFonts w:hint="default"/>
                <w:b w:val="0"/>
                <w:bCs/>
                <w:color w:val="auto"/>
                <w:lang w:val="en-US" w:eastAsia="zh-CN"/>
              </w:rPr>
              <w:t>72.86%</w:t>
            </w:r>
          </w:p>
        </w:tc>
        <w:tc>
          <w:tcPr>
            <w:tcW w:w="796" w:type="dxa"/>
            <w:noWrap w:val="0"/>
            <w:vAlign w:val="center"/>
          </w:tcPr>
          <w:p w14:paraId="10AA5D2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达标</w:t>
            </w:r>
          </w:p>
        </w:tc>
      </w:tr>
      <w:tr w14:paraId="2754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4" w:type="dxa"/>
            <w:noWrap w:val="0"/>
            <w:vAlign w:val="center"/>
          </w:tcPr>
          <w:p w14:paraId="46D27EA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PM</w:t>
            </w:r>
            <w:r>
              <w:rPr>
                <w:rFonts w:hint="default" w:ascii="Times New Roman" w:hAnsi="Times New Roman" w:eastAsia="宋体" w:cs="Times New Roman"/>
                <w:b w:val="0"/>
                <w:bCs/>
                <w:color w:val="auto"/>
                <w:sz w:val="21"/>
                <w:szCs w:val="21"/>
                <w:vertAlign w:val="subscript"/>
              </w:rPr>
              <w:t>2.5</w:t>
            </w:r>
          </w:p>
        </w:tc>
        <w:tc>
          <w:tcPr>
            <w:tcW w:w="1970" w:type="dxa"/>
            <w:noWrap w:val="0"/>
            <w:vAlign w:val="center"/>
          </w:tcPr>
          <w:p w14:paraId="4D545A3D">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年平均质量浓度</w:t>
            </w:r>
          </w:p>
        </w:tc>
        <w:tc>
          <w:tcPr>
            <w:tcW w:w="1344" w:type="dxa"/>
            <w:noWrap w:val="0"/>
            <w:vAlign w:val="center"/>
          </w:tcPr>
          <w:p w14:paraId="4032BC2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32</w:t>
            </w:r>
          </w:p>
        </w:tc>
        <w:tc>
          <w:tcPr>
            <w:tcW w:w="1296" w:type="dxa"/>
            <w:noWrap w:val="0"/>
            <w:vAlign w:val="center"/>
          </w:tcPr>
          <w:p w14:paraId="0E74BAA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rPr>
              <w:t>35</w:t>
            </w:r>
          </w:p>
        </w:tc>
        <w:tc>
          <w:tcPr>
            <w:tcW w:w="984" w:type="dxa"/>
            <w:noWrap w:val="0"/>
            <w:vAlign w:val="center"/>
          </w:tcPr>
          <w:p w14:paraId="22764887">
            <w:pPr>
              <w:pStyle w:val="31"/>
              <w:bidi w:val="0"/>
              <w:rPr>
                <w:rFonts w:hint="default"/>
                <w:b w:val="0"/>
                <w:bCs/>
                <w:color w:val="auto"/>
                <w:lang w:val="en-US" w:eastAsia="zh-CN"/>
              </w:rPr>
            </w:pPr>
            <w:r>
              <w:rPr>
                <w:rFonts w:hint="default"/>
                <w:b w:val="0"/>
                <w:bCs/>
                <w:color w:val="auto"/>
                <w:lang w:val="en-US" w:eastAsia="zh-CN"/>
              </w:rPr>
              <w:t>91.43%</w:t>
            </w:r>
          </w:p>
        </w:tc>
        <w:tc>
          <w:tcPr>
            <w:tcW w:w="796" w:type="dxa"/>
            <w:noWrap w:val="0"/>
            <w:vAlign w:val="center"/>
          </w:tcPr>
          <w:p w14:paraId="4B53F2B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达标</w:t>
            </w:r>
          </w:p>
        </w:tc>
      </w:tr>
    </w:tbl>
    <w:p w14:paraId="4E308C7A">
      <w:pPr>
        <w:bidi w:val="0"/>
        <w:rPr>
          <w:rFonts w:hint="eastAsia"/>
          <w:color w:val="auto"/>
          <w:lang w:val="en-US" w:eastAsia="zh-CN"/>
        </w:rPr>
      </w:pPr>
      <w:r>
        <w:rPr>
          <w:rFonts w:hint="eastAsia"/>
          <w:color w:val="auto"/>
          <w:lang w:val="en-US" w:eastAsia="zh-CN"/>
        </w:rPr>
        <w:t>由上表可知，项目所在区域2023年</w:t>
      </w:r>
      <w:r>
        <w:rPr>
          <w:color w:val="auto"/>
        </w:rPr>
        <w:t>SO</w:t>
      </w:r>
      <w:r>
        <w:rPr>
          <w:color w:val="auto"/>
          <w:vertAlign w:val="subscript"/>
        </w:rPr>
        <w:t>2</w:t>
      </w:r>
      <w:r>
        <w:rPr>
          <w:color w:val="auto"/>
        </w:rPr>
        <w:t>、NO</w:t>
      </w:r>
      <w:r>
        <w:rPr>
          <w:color w:val="auto"/>
          <w:vertAlign w:val="subscript"/>
        </w:rPr>
        <w:t>2</w:t>
      </w:r>
      <w:r>
        <w:rPr>
          <w:color w:val="auto"/>
        </w:rPr>
        <w:t>、PM</w:t>
      </w:r>
      <w:r>
        <w:rPr>
          <w:color w:val="auto"/>
          <w:vertAlign w:val="subscript"/>
        </w:rPr>
        <w:t>10</w:t>
      </w:r>
      <w:r>
        <w:rPr>
          <w:rFonts w:hint="eastAsia"/>
          <w:color w:val="auto"/>
          <w:lang w:val="en-US" w:eastAsia="zh-CN"/>
        </w:rPr>
        <w:t>和</w:t>
      </w:r>
      <w:r>
        <w:rPr>
          <w:color w:val="auto"/>
        </w:rPr>
        <w:t>PM</w:t>
      </w:r>
      <w:r>
        <w:rPr>
          <w:color w:val="auto"/>
          <w:vertAlign w:val="subscript"/>
        </w:rPr>
        <w:t>2.5</w:t>
      </w:r>
      <w:r>
        <w:rPr>
          <w:rFonts w:hint="eastAsia"/>
          <w:color w:val="auto"/>
          <w:lang w:val="en-US" w:eastAsia="zh-CN"/>
        </w:rPr>
        <w:t>年平均质量浓度、臭氧（O</w:t>
      </w:r>
      <w:r>
        <w:rPr>
          <w:rFonts w:hint="eastAsia"/>
          <w:color w:val="auto"/>
          <w:vertAlign w:val="subscript"/>
          <w:lang w:val="en-US" w:eastAsia="zh-CN"/>
        </w:rPr>
        <w:t>3</w:t>
      </w:r>
      <w:r>
        <w:rPr>
          <w:rFonts w:hint="eastAsia"/>
          <w:color w:val="auto"/>
          <w:lang w:val="en-US" w:eastAsia="zh-CN"/>
        </w:rPr>
        <w:t>）日最大八小时滑动平均第90百分位数浓度及一氧化碳（CO）日均值第95百分位浓度全部达到《环境空气质量标准》（GB3095-2015）及其修改单中的二级标准，故项目所在二类区域为达标区。</w:t>
      </w:r>
    </w:p>
    <w:p w14:paraId="3EAA07D7">
      <w:pPr>
        <w:pStyle w:val="4"/>
        <w:bidi w:val="0"/>
        <w:rPr>
          <w:rFonts w:hint="eastAsia"/>
          <w:color w:val="auto"/>
          <w:lang w:val="zh-CN" w:eastAsia="zh-CN"/>
        </w:rPr>
      </w:pPr>
      <w:bookmarkStart w:id="124" w:name="_Toc2698"/>
      <w:r>
        <w:rPr>
          <w:rFonts w:hint="eastAsia"/>
          <w:color w:val="auto"/>
          <w:lang w:val="zh-CN" w:eastAsia="zh-CN"/>
        </w:rPr>
        <w:t>地表水环境质量现状调查与评价</w:t>
      </w:r>
      <w:bookmarkEnd w:id="124"/>
    </w:p>
    <w:p w14:paraId="557A2652">
      <w:pPr>
        <w:bidi w:val="0"/>
        <w:rPr>
          <w:rFonts w:hint="eastAsia"/>
          <w:color w:val="auto"/>
          <w:lang w:val="en-US" w:eastAsia="zh-CN"/>
        </w:rPr>
      </w:pPr>
      <w:r>
        <w:rPr>
          <w:rFonts w:hint="eastAsia"/>
          <w:color w:val="auto"/>
          <w:lang w:val="en-US" w:eastAsia="zh-CN"/>
        </w:rPr>
        <w:t>根据《环境影响评价技术导则地表水环境》（HJ2.3-2018）的相关要求，水环境质量现状调查应优先采用国务院生态环境保护主管部门统一发布的水环境状况信息。</w:t>
      </w:r>
    </w:p>
    <w:p w14:paraId="6F825D41">
      <w:pPr>
        <w:pStyle w:val="5"/>
        <w:bidi w:val="0"/>
        <w:rPr>
          <w:rFonts w:hint="eastAsia"/>
          <w:color w:val="auto"/>
        </w:rPr>
      </w:pPr>
      <w:r>
        <w:rPr>
          <w:rFonts w:hint="eastAsia"/>
          <w:color w:val="auto"/>
          <w:lang w:val="en-US" w:eastAsia="zh-CN"/>
        </w:rPr>
        <w:t>地表水环境质量现状</w:t>
      </w:r>
    </w:p>
    <w:p w14:paraId="17E72457">
      <w:pPr>
        <w:bidi w:val="0"/>
        <w:rPr>
          <w:rFonts w:hint="eastAsia"/>
          <w:color w:val="auto"/>
          <w:lang w:val="en-US" w:eastAsia="zh-CN"/>
        </w:rPr>
      </w:pPr>
      <w:r>
        <w:rPr>
          <w:rFonts w:hint="eastAsia"/>
          <w:color w:val="auto"/>
          <w:lang w:val="en-US" w:eastAsia="zh-CN"/>
        </w:rPr>
        <w:t>为了解区域地表水环境质量现状，根据池州市生态环境局统计的2018-2022年池州市地表水环境质量状况，秋浦河上国控断面的水质变化趋势如下表所示：</w:t>
      </w:r>
    </w:p>
    <w:p w14:paraId="5AF9D843">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color w:val="auto"/>
        </w:rPr>
        <w:t>秋浦河断面近5年水质变化趋势一览表</w:t>
      </w:r>
    </w:p>
    <w:p w14:paraId="3DB8CE77">
      <w:pPr>
        <w:spacing w:line="20" w:lineRule="exact"/>
        <w:rPr>
          <w:color w:val="auto"/>
        </w:rPr>
      </w:pPr>
    </w:p>
    <w:tbl>
      <w:tblPr>
        <w:tblStyle w:val="33"/>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6"/>
        <w:gridCol w:w="2000"/>
        <w:gridCol w:w="2670"/>
        <w:gridCol w:w="2518"/>
      </w:tblGrid>
      <w:tr w14:paraId="5EF44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16" w:type="dxa"/>
            <w:vAlign w:val="center"/>
          </w:tcPr>
          <w:p w14:paraId="2078A47D">
            <w:pPr>
              <w:pStyle w:val="31"/>
              <w:widowControl w:val="0"/>
              <w:bidi w:val="0"/>
              <w:jc w:val="center"/>
              <w:rPr>
                <w:color w:val="auto"/>
                <w:lang w:eastAsia="en-US"/>
              </w:rPr>
            </w:pPr>
            <w:r>
              <w:rPr>
                <w:color w:val="auto"/>
                <w:lang w:eastAsia="en-US"/>
              </w:rPr>
              <w:t>年份</w:t>
            </w:r>
          </w:p>
        </w:tc>
        <w:tc>
          <w:tcPr>
            <w:tcW w:w="2000" w:type="dxa"/>
            <w:vAlign w:val="center"/>
          </w:tcPr>
          <w:p w14:paraId="01CDEF7B">
            <w:pPr>
              <w:pStyle w:val="31"/>
              <w:widowControl w:val="0"/>
              <w:bidi w:val="0"/>
              <w:jc w:val="center"/>
              <w:rPr>
                <w:color w:val="auto"/>
                <w:lang w:eastAsia="en-US"/>
              </w:rPr>
            </w:pPr>
            <w:r>
              <w:rPr>
                <w:color w:val="auto"/>
                <w:lang w:eastAsia="en-US"/>
              </w:rPr>
              <w:t>河流</w:t>
            </w:r>
          </w:p>
        </w:tc>
        <w:tc>
          <w:tcPr>
            <w:tcW w:w="2670" w:type="dxa"/>
            <w:vAlign w:val="center"/>
          </w:tcPr>
          <w:p w14:paraId="262054CA">
            <w:pPr>
              <w:pStyle w:val="31"/>
              <w:widowControl w:val="0"/>
              <w:bidi w:val="0"/>
              <w:jc w:val="center"/>
              <w:rPr>
                <w:color w:val="auto"/>
                <w:lang w:eastAsia="en-US"/>
              </w:rPr>
            </w:pPr>
            <w:r>
              <w:rPr>
                <w:color w:val="auto"/>
                <w:lang w:eastAsia="en-US"/>
              </w:rPr>
              <w:t>双丰断面</w:t>
            </w:r>
          </w:p>
        </w:tc>
        <w:tc>
          <w:tcPr>
            <w:tcW w:w="2518" w:type="dxa"/>
            <w:vAlign w:val="center"/>
          </w:tcPr>
          <w:p w14:paraId="2A313342">
            <w:pPr>
              <w:pStyle w:val="31"/>
              <w:widowControl w:val="0"/>
              <w:bidi w:val="0"/>
              <w:jc w:val="center"/>
              <w:rPr>
                <w:color w:val="auto"/>
                <w:lang w:eastAsia="en-US"/>
              </w:rPr>
            </w:pPr>
            <w:r>
              <w:rPr>
                <w:color w:val="auto"/>
                <w:lang w:eastAsia="en-US"/>
              </w:rPr>
              <w:t>秋浦河入江口断面</w:t>
            </w:r>
          </w:p>
        </w:tc>
      </w:tr>
      <w:tr w14:paraId="394CC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16" w:type="dxa"/>
            <w:vAlign w:val="center"/>
          </w:tcPr>
          <w:p w14:paraId="3E0CB671">
            <w:pPr>
              <w:pStyle w:val="31"/>
              <w:widowControl w:val="0"/>
              <w:bidi w:val="0"/>
              <w:jc w:val="center"/>
              <w:rPr>
                <w:color w:val="auto"/>
                <w:lang w:eastAsia="en-US"/>
              </w:rPr>
            </w:pPr>
            <w:r>
              <w:rPr>
                <w:color w:val="auto"/>
                <w:lang w:eastAsia="en-US"/>
              </w:rPr>
              <w:t>2018</w:t>
            </w:r>
          </w:p>
        </w:tc>
        <w:tc>
          <w:tcPr>
            <w:tcW w:w="2000" w:type="dxa"/>
            <w:vAlign w:val="center"/>
          </w:tcPr>
          <w:p w14:paraId="70E757A4">
            <w:pPr>
              <w:pStyle w:val="31"/>
              <w:widowControl w:val="0"/>
              <w:bidi w:val="0"/>
              <w:jc w:val="center"/>
              <w:rPr>
                <w:color w:val="auto"/>
                <w:lang w:eastAsia="en-US"/>
              </w:rPr>
            </w:pPr>
            <w:r>
              <w:rPr>
                <w:color w:val="auto"/>
                <w:lang w:eastAsia="en-US"/>
              </w:rPr>
              <w:t>秋浦河</w:t>
            </w:r>
          </w:p>
        </w:tc>
        <w:tc>
          <w:tcPr>
            <w:tcW w:w="2670" w:type="dxa"/>
            <w:vAlign w:val="center"/>
          </w:tcPr>
          <w:p w14:paraId="47BA8C9B">
            <w:pPr>
              <w:pStyle w:val="31"/>
              <w:widowControl w:val="0"/>
              <w:bidi w:val="0"/>
              <w:jc w:val="center"/>
              <w:rPr>
                <w:color w:val="auto"/>
                <w:lang w:eastAsia="en-US"/>
              </w:rPr>
            </w:pPr>
            <w:r>
              <w:rPr>
                <w:color w:val="auto"/>
                <w:lang w:eastAsia="en-US"/>
              </w:rPr>
              <w:t>Ⅰ~Ⅱ</w:t>
            </w:r>
          </w:p>
        </w:tc>
        <w:tc>
          <w:tcPr>
            <w:tcW w:w="2518" w:type="dxa"/>
            <w:vAlign w:val="center"/>
          </w:tcPr>
          <w:p w14:paraId="3C8C0259">
            <w:pPr>
              <w:pStyle w:val="31"/>
              <w:widowControl w:val="0"/>
              <w:bidi w:val="0"/>
              <w:jc w:val="center"/>
              <w:rPr>
                <w:color w:val="auto"/>
                <w:lang w:eastAsia="en-US"/>
              </w:rPr>
            </w:pPr>
            <w:r>
              <w:rPr>
                <w:color w:val="auto"/>
                <w:lang w:eastAsia="en-US"/>
              </w:rPr>
              <w:t>Ⅱ~Ⅲ</w:t>
            </w:r>
          </w:p>
        </w:tc>
      </w:tr>
      <w:tr w14:paraId="1E2E9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16" w:type="dxa"/>
            <w:vAlign w:val="center"/>
          </w:tcPr>
          <w:p w14:paraId="4C4F3424">
            <w:pPr>
              <w:pStyle w:val="31"/>
              <w:widowControl w:val="0"/>
              <w:bidi w:val="0"/>
              <w:jc w:val="center"/>
              <w:rPr>
                <w:color w:val="auto"/>
                <w:lang w:eastAsia="en-US"/>
              </w:rPr>
            </w:pPr>
            <w:r>
              <w:rPr>
                <w:color w:val="auto"/>
                <w:lang w:eastAsia="en-US"/>
              </w:rPr>
              <w:t>2019</w:t>
            </w:r>
          </w:p>
        </w:tc>
        <w:tc>
          <w:tcPr>
            <w:tcW w:w="2000" w:type="dxa"/>
            <w:vAlign w:val="center"/>
          </w:tcPr>
          <w:p w14:paraId="3D750535">
            <w:pPr>
              <w:pStyle w:val="31"/>
              <w:widowControl w:val="0"/>
              <w:bidi w:val="0"/>
              <w:jc w:val="center"/>
              <w:rPr>
                <w:color w:val="auto"/>
                <w:lang w:eastAsia="en-US"/>
              </w:rPr>
            </w:pPr>
            <w:r>
              <w:rPr>
                <w:color w:val="auto"/>
                <w:lang w:eastAsia="en-US"/>
              </w:rPr>
              <w:t>秋浦河</w:t>
            </w:r>
          </w:p>
        </w:tc>
        <w:tc>
          <w:tcPr>
            <w:tcW w:w="2670" w:type="dxa"/>
            <w:vAlign w:val="center"/>
          </w:tcPr>
          <w:p w14:paraId="573523D7">
            <w:pPr>
              <w:pStyle w:val="31"/>
              <w:widowControl w:val="0"/>
              <w:bidi w:val="0"/>
              <w:jc w:val="center"/>
              <w:rPr>
                <w:color w:val="auto"/>
                <w:lang w:eastAsia="en-US"/>
              </w:rPr>
            </w:pPr>
            <w:r>
              <w:rPr>
                <w:color w:val="auto"/>
                <w:lang w:eastAsia="en-US"/>
              </w:rPr>
              <w:t>Ⅰ~Ⅱ</w:t>
            </w:r>
          </w:p>
        </w:tc>
        <w:tc>
          <w:tcPr>
            <w:tcW w:w="2518" w:type="dxa"/>
            <w:vAlign w:val="center"/>
          </w:tcPr>
          <w:p w14:paraId="57695DD7">
            <w:pPr>
              <w:pStyle w:val="31"/>
              <w:widowControl w:val="0"/>
              <w:bidi w:val="0"/>
              <w:jc w:val="center"/>
              <w:rPr>
                <w:color w:val="auto"/>
                <w:lang w:eastAsia="en-US"/>
              </w:rPr>
            </w:pPr>
            <w:r>
              <w:rPr>
                <w:color w:val="auto"/>
                <w:lang w:eastAsia="en-US"/>
              </w:rPr>
              <w:t>Ⅱ~Ⅲ</w:t>
            </w:r>
          </w:p>
        </w:tc>
      </w:tr>
      <w:tr w14:paraId="79DD1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16" w:type="dxa"/>
            <w:vAlign w:val="center"/>
          </w:tcPr>
          <w:p w14:paraId="6C278304">
            <w:pPr>
              <w:pStyle w:val="31"/>
              <w:widowControl w:val="0"/>
              <w:bidi w:val="0"/>
              <w:jc w:val="center"/>
              <w:rPr>
                <w:color w:val="auto"/>
                <w:lang w:eastAsia="en-US"/>
              </w:rPr>
            </w:pPr>
            <w:r>
              <w:rPr>
                <w:color w:val="auto"/>
                <w:lang w:eastAsia="en-US"/>
              </w:rPr>
              <w:t>2020</w:t>
            </w:r>
          </w:p>
        </w:tc>
        <w:tc>
          <w:tcPr>
            <w:tcW w:w="2000" w:type="dxa"/>
            <w:vAlign w:val="center"/>
          </w:tcPr>
          <w:p w14:paraId="216F833A">
            <w:pPr>
              <w:pStyle w:val="31"/>
              <w:widowControl w:val="0"/>
              <w:bidi w:val="0"/>
              <w:jc w:val="center"/>
              <w:rPr>
                <w:color w:val="auto"/>
                <w:lang w:eastAsia="en-US"/>
              </w:rPr>
            </w:pPr>
            <w:r>
              <w:rPr>
                <w:color w:val="auto"/>
                <w:lang w:eastAsia="en-US"/>
              </w:rPr>
              <w:t>秋浦河</w:t>
            </w:r>
          </w:p>
        </w:tc>
        <w:tc>
          <w:tcPr>
            <w:tcW w:w="2670" w:type="dxa"/>
            <w:vAlign w:val="center"/>
          </w:tcPr>
          <w:p w14:paraId="15B3C12B">
            <w:pPr>
              <w:pStyle w:val="31"/>
              <w:widowControl w:val="0"/>
              <w:bidi w:val="0"/>
              <w:jc w:val="center"/>
              <w:rPr>
                <w:color w:val="auto"/>
                <w:lang w:eastAsia="en-US"/>
              </w:rPr>
            </w:pPr>
            <w:r>
              <w:rPr>
                <w:color w:val="auto"/>
                <w:lang w:eastAsia="en-US"/>
              </w:rPr>
              <w:t>Ⅰ~Ⅱ</w:t>
            </w:r>
          </w:p>
        </w:tc>
        <w:tc>
          <w:tcPr>
            <w:tcW w:w="2518" w:type="dxa"/>
            <w:vAlign w:val="center"/>
          </w:tcPr>
          <w:p w14:paraId="02F7F16A">
            <w:pPr>
              <w:pStyle w:val="31"/>
              <w:widowControl w:val="0"/>
              <w:bidi w:val="0"/>
              <w:jc w:val="center"/>
              <w:rPr>
                <w:color w:val="auto"/>
                <w:lang w:eastAsia="en-US"/>
              </w:rPr>
            </w:pPr>
            <w:r>
              <w:rPr>
                <w:color w:val="auto"/>
                <w:lang w:eastAsia="en-US"/>
              </w:rPr>
              <w:t>Ⅱ~Ⅲ</w:t>
            </w:r>
          </w:p>
        </w:tc>
      </w:tr>
      <w:tr w14:paraId="6D964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16" w:type="dxa"/>
            <w:vAlign w:val="center"/>
          </w:tcPr>
          <w:p w14:paraId="73B53840">
            <w:pPr>
              <w:pStyle w:val="31"/>
              <w:widowControl w:val="0"/>
              <w:bidi w:val="0"/>
              <w:jc w:val="center"/>
              <w:rPr>
                <w:color w:val="auto"/>
                <w:lang w:eastAsia="en-US"/>
              </w:rPr>
            </w:pPr>
            <w:r>
              <w:rPr>
                <w:color w:val="auto"/>
                <w:lang w:eastAsia="en-US"/>
              </w:rPr>
              <w:t>2021</w:t>
            </w:r>
          </w:p>
        </w:tc>
        <w:tc>
          <w:tcPr>
            <w:tcW w:w="2000" w:type="dxa"/>
            <w:vAlign w:val="center"/>
          </w:tcPr>
          <w:p w14:paraId="6D8E94A3">
            <w:pPr>
              <w:pStyle w:val="31"/>
              <w:widowControl w:val="0"/>
              <w:bidi w:val="0"/>
              <w:jc w:val="center"/>
              <w:rPr>
                <w:color w:val="auto"/>
                <w:lang w:eastAsia="en-US"/>
              </w:rPr>
            </w:pPr>
            <w:r>
              <w:rPr>
                <w:color w:val="auto"/>
                <w:lang w:eastAsia="en-US"/>
              </w:rPr>
              <w:t>秋浦河</w:t>
            </w:r>
          </w:p>
        </w:tc>
        <w:tc>
          <w:tcPr>
            <w:tcW w:w="2670" w:type="dxa"/>
            <w:vAlign w:val="center"/>
          </w:tcPr>
          <w:p w14:paraId="2569B4F5">
            <w:pPr>
              <w:pStyle w:val="31"/>
              <w:widowControl w:val="0"/>
              <w:bidi w:val="0"/>
              <w:jc w:val="center"/>
              <w:rPr>
                <w:color w:val="auto"/>
                <w:lang w:eastAsia="en-US"/>
              </w:rPr>
            </w:pPr>
            <w:r>
              <w:rPr>
                <w:color w:val="auto"/>
                <w:lang w:eastAsia="en-US"/>
              </w:rPr>
              <w:t>Ⅰ~Ⅱ</w:t>
            </w:r>
          </w:p>
        </w:tc>
        <w:tc>
          <w:tcPr>
            <w:tcW w:w="2518" w:type="dxa"/>
            <w:vAlign w:val="center"/>
          </w:tcPr>
          <w:p w14:paraId="1EBA268D">
            <w:pPr>
              <w:pStyle w:val="31"/>
              <w:widowControl w:val="0"/>
              <w:bidi w:val="0"/>
              <w:jc w:val="center"/>
              <w:rPr>
                <w:color w:val="auto"/>
                <w:lang w:eastAsia="en-US"/>
              </w:rPr>
            </w:pPr>
            <w:r>
              <w:rPr>
                <w:color w:val="auto"/>
                <w:lang w:eastAsia="en-US"/>
              </w:rPr>
              <w:t>Ⅱ</w:t>
            </w:r>
          </w:p>
        </w:tc>
      </w:tr>
      <w:tr w14:paraId="3B390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16" w:type="dxa"/>
            <w:vAlign w:val="center"/>
          </w:tcPr>
          <w:p w14:paraId="61E9B9E5">
            <w:pPr>
              <w:pStyle w:val="31"/>
              <w:widowControl w:val="0"/>
              <w:bidi w:val="0"/>
              <w:jc w:val="center"/>
              <w:rPr>
                <w:color w:val="auto"/>
                <w:lang w:eastAsia="en-US"/>
              </w:rPr>
            </w:pPr>
            <w:r>
              <w:rPr>
                <w:color w:val="auto"/>
                <w:lang w:eastAsia="en-US"/>
              </w:rPr>
              <w:t>2022</w:t>
            </w:r>
          </w:p>
        </w:tc>
        <w:tc>
          <w:tcPr>
            <w:tcW w:w="2000" w:type="dxa"/>
            <w:vAlign w:val="center"/>
          </w:tcPr>
          <w:p w14:paraId="086E98CF">
            <w:pPr>
              <w:pStyle w:val="31"/>
              <w:widowControl w:val="0"/>
              <w:bidi w:val="0"/>
              <w:jc w:val="center"/>
              <w:rPr>
                <w:color w:val="auto"/>
                <w:lang w:eastAsia="en-US"/>
              </w:rPr>
            </w:pPr>
            <w:r>
              <w:rPr>
                <w:color w:val="auto"/>
                <w:lang w:eastAsia="en-US"/>
              </w:rPr>
              <w:t>秋浦河</w:t>
            </w:r>
          </w:p>
        </w:tc>
        <w:tc>
          <w:tcPr>
            <w:tcW w:w="2670" w:type="dxa"/>
            <w:vAlign w:val="center"/>
          </w:tcPr>
          <w:p w14:paraId="72555BC1">
            <w:pPr>
              <w:pStyle w:val="31"/>
              <w:widowControl w:val="0"/>
              <w:bidi w:val="0"/>
              <w:jc w:val="center"/>
              <w:rPr>
                <w:color w:val="auto"/>
                <w:lang w:eastAsia="en-US"/>
              </w:rPr>
            </w:pPr>
            <w:r>
              <w:rPr>
                <w:color w:val="auto"/>
                <w:lang w:eastAsia="en-US"/>
              </w:rPr>
              <w:t>Ⅰ~Ⅱ</w:t>
            </w:r>
          </w:p>
        </w:tc>
        <w:tc>
          <w:tcPr>
            <w:tcW w:w="2518" w:type="dxa"/>
            <w:vAlign w:val="center"/>
          </w:tcPr>
          <w:p w14:paraId="2C6B512B">
            <w:pPr>
              <w:pStyle w:val="31"/>
              <w:widowControl w:val="0"/>
              <w:bidi w:val="0"/>
              <w:jc w:val="center"/>
              <w:rPr>
                <w:color w:val="auto"/>
                <w:lang w:eastAsia="en-US"/>
              </w:rPr>
            </w:pPr>
            <w:r>
              <w:rPr>
                <w:color w:val="auto"/>
                <w:lang w:eastAsia="en-US"/>
              </w:rPr>
              <w:t>Ⅱ</w:t>
            </w:r>
          </w:p>
        </w:tc>
      </w:tr>
    </w:tbl>
    <w:p w14:paraId="29605F1C">
      <w:pPr>
        <w:bidi w:val="0"/>
        <w:rPr>
          <w:rFonts w:hint="eastAsia"/>
          <w:color w:val="auto"/>
        </w:rPr>
      </w:pPr>
      <w:r>
        <w:rPr>
          <w:color w:val="auto"/>
        </w:rPr>
        <w:t>池州市秋浦河断面地表水环境质量，其地表水环境质量均为优，且近5年来水质状况逐步变好，满足相应的地表水功能区控制要求，区域水环境质量良好。</w:t>
      </w:r>
    </w:p>
    <w:p w14:paraId="157CA2E5">
      <w:pPr>
        <w:pStyle w:val="5"/>
        <w:bidi w:val="0"/>
        <w:rPr>
          <w:rFonts w:hint="eastAsia"/>
          <w:color w:val="auto"/>
        </w:rPr>
      </w:pPr>
      <w:r>
        <w:rPr>
          <w:rFonts w:hint="eastAsia"/>
          <w:color w:val="auto"/>
          <w:lang w:val="en-US" w:eastAsia="zh-CN"/>
        </w:rPr>
        <w:t>补充监测结果</w:t>
      </w:r>
    </w:p>
    <w:p w14:paraId="6BB86C41">
      <w:pPr>
        <w:bidi w:val="0"/>
        <w:rPr>
          <w:rFonts w:hint="eastAsia" w:hAnsi="宋体" w:eastAsia="宋体"/>
          <w:color w:val="auto"/>
          <w:sz w:val="24"/>
          <w:lang w:val="en-US" w:eastAsia="zh-CN"/>
        </w:rPr>
      </w:pPr>
      <w:r>
        <w:rPr>
          <w:rFonts w:hint="eastAsia"/>
          <w:color w:val="auto"/>
          <w:sz w:val="24"/>
        </w:rPr>
        <w:t>（1）</w:t>
      </w:r>
      <w:r>
        <w:rPr>
          <w:rFonts w:hAnsi="宋体"/>
          <w:color w:val="auto"/>
          <w:sz w:val="24"/>
        </w:rPr>
        <w:t>监测</w:t>
      </w:r>
      <w:r>
        <w:rPr>
          <w:rFonts w:hint="eastAsia" w:hAnsi="宋体"/>
          <w:color w:val="auto"/>
          <w:sz w:val="24"/>
          <w:lang w:val="en-US" w:eastAsia="zh-CN"/>
        </w:rPr>
        <w:t>断面布设</w:t>
      </w:r>
    </w:p>
    <w:p w14:paraId="5D049403">
      <w:pPr>
        <w:bidi w:val="0"/>
        <w:rPr>
          <w:rFonts w:hint="eastAsia"/>
          <w:color w:val="auto"/>
          <w:lang w:val="en-US" w:eastAsia="zh-CN"/>
        </w:rPr>
      </w:pPr>
      <w:r>
        <w:rPr>
          <w:rFonts w:hint="eastAsia" w:ascii="Times New Roman" w:hAnsi="宋体" w:eastAsia="宋体" w:cs="Times New Roman"/>
          <w:b w:val="0"/>
          <w:bCs w:val="0"/>
          <w:color w:val="auto"/>
          <w:kern w:val="2"/>
          <w:sz w:val="24"/>
          <w:szCs w:val="24"/>
          <w:lang w:val="en-US" w:eastAsia="zh-CN" w:bidi="ar-SA"/>
        </w:rPr>
        <w:t>为了解</w:t>
      </w:r>
      <w:r>
        <w:rPr>
          <w:rFonts w:hint="eastAsia" w:hAnsi="宋体" w:cs="Times New Roman"/>
          <w:b w:val="0"/>
          <w:bCs w:val="0"/>
          <w:color w:val="auto"/>
          <w:kern w:val="2"/>
          <w:sz w:val="24"/>
          <w:szCs w:val="24"/>
          <w:lang w:val="en-US" w:eastAsia="zh-CN" w:bidi="ar-SA"/>
        </w:rPr>
        <w:t>秋浦河</w:t>
      </w:r>
      <w:r>
        <w:rPr>
          <w:rFonts w:hint="eastAsia" w:ascii="Times New Roman" w:hAnsi="宋体" w:eastAsia="宋体" w:cs="Times New Roman"/>
          <w:b w:val="0"/>
          <w:bCs w:val="0"/>
          <w:color w:val="auto"/>
          <w:kern w:val="2"/>
          <w:sz w:val="24"/>
          <w:szCs w:val="24"/>
          <w:lang w:val="en-US" w:eastAsia="zh-CN" w:bidi="ar-SA"/>
        </w:rPr>
        <w:t>的地表水环境现状，本次评价</w:t>
      </w:r>
      <w:r>
        <w:rPr>
          <w:rFonts w:hint="eastAsia" w:hAnsi="宋体" w:cs="Times New Roman"/>
          <w:b w:val="0"/>
          <w:bCs w:val="0"/>
          <w:color w:val="auto"/>
          <w:kern w:val="2"/>
          <w:sz w:val="24"/>
          <w:szCs w:val="24"/>
          <w:lang w:val="en-US" w:eastAsia="zh-CN" w:bidi="ar-SA"/>
        </w:rPr>
        <w:t>共设置3个地表水质量现状监测点位</w:t>
      </w:r>
      <w:r>
        <w:rPr>
          <w:rFonts w:hint="eastAsia" w:ascii="Times New Roman" w:hAnsi="宋体" w:eastAsia="宋体" w:cs="Times New Roman"/>
          <w:b w:val="0"/>
          <w:bCs w:val="0"/>
          <w:color w:val="auto"/>
          <w:kern w:val="2"/>
          <w:sz w:val="24"/>
          <w:szCs w:val="24"/>
          <w:lang w:val="en-US" w:eastAsia="zh-CN" w:bidi="ar-SA"/>
        </w:rPr>
        <w:t>。具体见</w:t>
      </w:r>
      <w:r>
        <w:rPr>
          <w:rFonts w:hint="eastAsia" w:hAnsi="宋体" w:cs="Times New Roman"/>
          <w:b w:val="0"/>
          <w:bCs w:val="0"/>
          <w:color w:val="auto"/>
          <w:kern w:val="2"/>
          <w:sz w:val="24"/>
          <w:szCs w:val="24"/>
          <w:lang w:val="en-US" w:eastAsia="zh-CN" w:bidi="ar-SA"/>
        </w:rPr>
        <w:t>下表和下图</w:t>
      </w:r>
      <w:r>
        <w:rPr>
          <w:rFonts w:hint="eastAsia" w:ascii="Times New Roman" w:hAnsi="宋体" w:eastAsia="宋体" w:cs="Times New Roman"/>
          <w:b w:val="0"/>
          <w:bCs w:val="0"/>
          <w:color w:val="auto"/>
          <w:kern w:val="2"/>
          <w:sz w:val="24"/>
          <w:szCs w:val="24"/>
          <w:lang w:val="en-US" w:eastAsia="zh-CN" w:bidi="ar-SA"/>
        </w:rPr>
        <w:t>。</w:t>
      </w:r>
    </w:p>
    <w:p w14:paraId="7F64FB04">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4</w:t>
      </w:r>
      <w:r>
        <w:rPr>
          <w:color w:val="auto"/>
        </w:rPr>
        <w:fldChar w:fldCharType="end"/>
      </w:r>
      <w:r>
        <w:rPr>
          <w:color w:val="auto"/>
        </w:rPr>
        <w:t>地表水监测断面</w:t>
      </w:r>
    </w:p>
    <w:p w14:paraId="7DE70D25">
      <w:pPr>
        <w:spacing w:line="21" w:lineRule="exact"/>
        <w:rPr>
          <w:color w:val="auto"/>
        </w:rPr>
      </w:pPr>
    </w:p>
    <w:tbl>
      <w:tblPr>
        <w:tblStyle w:val="33"/>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6"/>
        <w:gridCol w:w="1602"/>
        <w:gridCol w:w="2693"/>
        <w:gridCol w:w="3563"/>
      </w:tblGrid>
      <w:tr w14:paraId="499A4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646" w:type="dxa"/>
            <w:vAlign w:val="center"/>
          </w:tcPr>
          <w:p w14:paraId="7838F5F4">
            <w:pPr>
              <w:pStyle w:val="31"/>
              <w:widowControl w:val="0"/>
              <w:bidi w:val="0"/>
              <w:jc w:val="center"/>
              <w:rPr>
                <w:color w:val="auto"/>
                <w:lang w:eastAsia="en-US"/>
              </w:rPr>
            </w:pPr>
            <w:r>
              <w:rPr>
                <w:color w:val="auto"/>
                <w:lang w:eastAsia="en-US"/>
              </w:rPr>
              <w:t>编号</w:t>
            </w:r>
          </w:p>
        </w:tc>
        <w:tc>
          <w:tcPr>
            <w:tcW w:w="1602" w:type="dxa"/>
            <w:vAlign w:val="center"/>
          </w:tcPr>
          <w:p w14:paraId="55ADB15C">
            <w:pPr>
              <w:pStyle w:val="31"/>
              <w:widowControl w:val="0"/>
              <w:bidi w:val="0"/>
              <w:jc w:val="center"/>
              <w:rPr>
                <w:color w:val="auto"/>
                <w:lang w:eastAsia="en-US"/>
              </w:rPr>
            </w:pPr>
            <w:r>
              <w:rPr>
                <w:color w:val="auto"/>
                <w:lang w:eastAsia="en-US"/>
              </w:rPr>
              <w:t>河流</w:t>
            </w:r>
          </w:p>
        </w:tc>
        <w:tc>
          <w:tcPr>
            <w:tcW w:w="2693" w:type="dxa"/>
            <w:vAlign w:val="center"/>
          </w:tcPr>
          <w:p w14:paraId="25CE92C0">
            <w:pPr>
              <w:pStyle w:val="31"/>
              <w:widowControl w:val="0"/>
              <w:bidi w:val="0"/>
              <w:jc w:val="center"/>
              <w:rPr>
                <w:color w:val="auto"/>
                <w:lang w:eastAsia="en-US"/>
              </w:rPr>
            </w:pPr>
            <w:r>
              <w:rPr>
                <w:color w:val="auto"/>
                <w:lang w:eastAsia="en-US"/>
              </w:rPr>
              <w:t>断面位置</w:t>
            </w:r>
          </w:p>
        </w:tc>
        <w:tc>
          <w:tcPr>
            <w:tcW w:w="3563" w:type="dxa"/>
            <w:vAlign w:val="center"/>
          </w:tcPr>
          <w:p w14:paraId="03F429F2">
            <w:pPr>
              <w:pStyle w:val="31"/>
              <w:widowControl w:val="0"/>
              <w:bidi w:val="0"/>
              <w:jc w:val="center"/>
              <w:rPr>
                <w:color w:val="auto"/>
                <w:lang w:eastAsia="en-US"/>
              </w:rPr>
            </w:pPr>
            <w:r>
              <w:rPr>
                <w:color w:val="auto"/>
                <w:lang w:eastAsia="en-US"/>
              </w:rPr>
              <w:t>坐标</w:t>
            </w:r>
          </w:p>
        </w:tc>
      </w:tr>
      <w:tr w14:paraId="315A3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646" w:type="dxa"/>
            <w:vAlign w:val="center"/>
          </w:tcPr>
          <w:p w14:paraId="640A547B">
            <w:pPr>
              <w:pStyle w:val="31"/>
              <w:widowControl w:val="0"/>
              <w:bidi w:val="0"/>
              <w:jc w:val="center"/>
              <w:rPr>
                <w:color w:val="auto"/>
                <w:lang w:eastAsia="en-US"/>
              </w:rPr>
            </w:pPr>
            <w:r>
              <w:rPr>
                <w:color w:val="auto"/>
                <w:lang w:eastAsia="en-US"/>
              </w:rPr>
              <w:t>W1</w:t>
            </w:r>
          </w:p>
        </w:tc>
        <w:tc>
          <w:tcPr>
            <w:tcW w:w="1602" w:type="dxa"/>
            <w:vAlign w:val="center"/>
          </w:tcPr>
          <w:p w14:paraId="740D6BC5">
            <w:pPr>
              <w:pStyle w:val="31"/>
              <w:widowControl w:val="0"/>
              <w:bidi w:val="0"/>
              <w:jc w:val="center"/>
              <w:rPr>
                <w:color w:val="auto"/>
                <w:lang w:eastAsia="en-US"/>
              </w:rPr>
            </w:pPr>
            <w:r>
              <w:rPr>
                <w:color w:val="auto"/>
                <w:lang w:eastAsia="en-US"/>
              </w:rPr>
              <w:t>秋浦河</w:t>
            </w:r>
          </w:p>
        </w:tc>
        <w:tc>
          <w:tcPr>
            <w:tcW w:w="2693" w:type="dxa"/>
            <w:vAlign w:val="center"/>
          </w:tcPr>
          <w:p w14:paraId="02AA0C25">
            <w:pPr>
              <w:pStyle w:val="31"/>
              <w:widowControl w:val="0"/>
              <w:bidi w:val="0"/>
              <w:jc w:val="center"/>
              <w:rPr>
                <w:color w:val="auto"/>
                <w:lang w:eastAsia="en-US"/>
              </w:rPr>
            </w:pPr>
            <w:r>
              <w:rPr>
                <w:rFonts w:hint="eastAsia"/>
                <w:color w:val="auto"/>
                <w:lang w:val="en-US" w:eastAsia="zh-CN"/>
              </w:rPr>
              <w:t>殷汇公用</w:t>
            </w:r>
            <w:r>
              <w:rPr>
                <w:color w:val="auto"/>
                <w:lang w:eastAsia="en-US"/>
              </w:rPr>
              <w:t>码头上游500m</w:t>
            </w:r>
          </w:p>
        </w:tc>
        <w:tc>
          <w:tcPr>
            <w:tcW w:w="3563" w:type="dxa"/>
            <w:vAlign w:val="center"/>
          </w:tcPr>
          <w:p w14:paraId="236A0A36">
            <w:pPr>
              <w:pStyle w:val="31"/>
              <w:widowControl w:val="0"/>
              <w:bidi w:val="0"/>
              <w:jc w:val="center"/>
              <w:rPr>
                <w:color w:val="auto"/>
                <w:lang w:eastAsia="en-US"/>
              </w:rPr>
            </w:pPr>
            <w:r>
              <w:rPr>
                <w:color w:val="auto"/>
                <w:lang w:eastAsia="en-US"/>
              </w:rPr>
              <w:t>117°20'48.6680"，30°29'06.7754"</w:t>
            </w:r>
          </w:p>
        </w:tc>
      </w:tr>
      <w:tr w14:paraId="7BE3F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646" w:type="dxa"/>
            <w:vAlign w:val="center"/>
          </w:tcPr>
          <w:p w14:paraId="71B657B8">
            <w:pPr>
              <w:pStyle w:val="31"/>
              <w:widowControl w:val="0"/>
              <w:bidi w:val="0"/>
              <w:jc w:val="center"/>
              <w:rPr>
                <w:color w:val="auto"/>
                <w:lang w:eastAsia="en-US"/>
              </w:rPr>
            </w:pPr>
            <w:r>
              <w:rPr>
                <w:color w:val="auto"/>
                <w:lang w:eastAsia="en-US"/>
              </w:rPr>
              <w:t>W2</w:t>
            </w:r>
          </w:p>
        </w:tc>
        <w:tc>
          <w:tcPr>
            <w:tcW w:w="1602" w:type="dxa"/>
            <w:vAlign w:val="center"/>
          </w:tcPr>
          <w:p w14:paraId="1FB03F8C">
            <w:pPr>
              <w:pStyle w:val="31"/>
              <w:widowControl w:val="0"/>
              <w:bidi w:val="0"/>
              <w:jc w:val="center"/>
              <w:rPr>
                <w:color w:val="auto"/>
                <w:lang w:eastAsia="en-US"/>
              </w:rPr>
            </w:pPr>
            <w:r>
              <w:rPr>
                <w:color w:val="auto"/>
                <w:lang w:eastAsia="en-US"/>
              </w:rPr>
              <w:t>秋浦河</w:t>
            </w:r>
          </w:p>
        </w:tc>
        <w:tc>
          <w:tcPr>
            <w:tcW w:w="2693" w:type="dxa"/>
            <w:vAlign w:val="center"/>
          </w:tcPr>
          <w:p w14:paraId="69943B2E">
            <w:pPr>
              <w:pStyle w:val="31"/>
              <w:widowControl w:val="0"/>
              <w:bidi w:val="0"/>
              <w:jc w:val="center"/>
              <w:rPr>
                <w:color w:val="auto"/>
                <w:lang w:eastAsia="en-US"/>
              </w:rPr>
            </w:pPr>
            <w:r>
              <w:rPr>
                <w:rFonts w:hint="eastAsia"/>
                <w:color w:val="auto"/>
                <w:lang w:val="en-US" w:eastAsia="zh-CN"/>
              </w:rPr>
              <w:t>殷汇公用</w:t>
            </w:r>
            <w:r>
              <w:rPr>
                <w:color w:val="auto"/>
                <w:lang w:eastAsia="en-US"/>
              </w:rPr>
              <w:t>码头下游500m</w:t>
            </w:r>
          </w:p>
        </w:tc>
        <w:tc>
          <w:tcPr>
            <w:tcW w:w="3563" w:type="dxa"/>
            <w:vAlign w:val="center"/>
          </w:tcPr>
          <w:p w14:paraId="38A64A61">
            <w:pPr>
              <w:pStyle w:val="31"/>
              <w:widowControl w:val="0"/>
              <w:bidi w:val="0"/>
              <w:jc w:val="center"/>
              <w:rPr>
                <w:color w:val="auto"/>
                <w:lang w:eastAsia="en-US"/>
              </w:rPr>
            </w:pPr>
            <w:r>
              <w:rPr>
                <w:color w:val="auto"/>
                <w:lang w:eastAsia="en-US"/>
              </w:rPr>
              <w:t>117°20'35.0998"，30°29'57.9739"</w:t>
            </w:r>
          </w:p>
        </w:tc>
      </w:tr>
      <w:tr w14:paraId="333C0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646" w:type="dxa"/>
            <w:vAlign w:val="center"/>
          </w:tcPr>
          <w:p w14:paraId="7E78669F">
            <w:pPr>
              <w:pStyle w:val="31"/>
              <w:widowControl w:val="0"/>
              <w:bidi w:val="0"/>
              <w:jc w:val="center"/>
              <w:rPr>
                <w:color w:val="auto"/>
                <w:lang w:eastAsia="en-US"/>
              </w:rPr>
            </w:pPr>
            <w:r>
              <w:rPr>
                <w:color w:val="auto"/>
                <w:lang w:eastAsia="en-US"/>
              </w:rPr>
              <w:t>W3</w:t>
            </w:r>
          </w:p>
        </w:tc>
        <w:tc>
          <w:tcPr>
            <w:tcW w:w="1602" w:type="dxa"/>
            <w:vAlign w:val="center"/>
          </w:tcPr>
          <w:p w14:paraId="27AAE903">
            <w:pPr>
              <w:pStyle w:val="31"/>
              <w:widowControl w:val="0"/>
              <w:bidi w:val="0"/>
              <w:jc w:val="center"/>
              <w:rPr>
                <w:color w:val="auto"/>
                <w:lang w:eastAsia="en-US"/>
              </w:rPr>
            </w:pPr>
            <w:r>
              <w:rPr>
                <w:color w:val="auto"/>
                <w:lang w:eastAsia="en-US"/>
              </w:rPr>
              <w:t>秋浦河</w:t>
            </w:r>
          </w:p>
        </w:tc>
        <w:tc>
          <w:tcPr>
            <w:tcW w:w="2693" w:type="dxa"/>
            <w:vAlign w:val="center"/>
          </w:tcPr>
          <w:p w14:paraId="55CF21D7">
            <w:pPr>
              <w:pStyle w:val="31"/>
              <w:widowControl w:val="0"/>
              <w:bidi w:val="0"/>
              <w:jc w:val="center"/>
              <w:rPr>
                <w:color w:val="auto"/>
                <w:lang w:eastAsia="en-US"/>
              </w:rPr>
            </w:pPr>
            <w:r>
              <w:rPr>
                <w:rFonts w:hint="eastAsia"/>
                <w:color w:val="auto"/>
                <w:lang w:val="en-US" w:eastAsia="zh-CN"/>
              </w:rPr>
              <w:t>殷汇公用</w:t>
            </w:r>
            <w:r>
              <w:rPr>
                <w:color w:val="auto"/>
                <w:lang w:eastAsia="en-US"/>
              </w:rPr>
              <w:t>码头下游1500m</w:t>
            </w:r>
          </w:p>
        </w:tc>
        <w:tc>
          <w:tcPr>
            <w:tcW w:w="3563" w:type="dxa"/>
            <w:vAlign w:val="center"/>
          </w:tcPr>
          <w:p w14:paraId="419775C8">
            <w:pPr>
              <w:pStyle w:val="31"/>
              <w:widowControl w:val="0"/>
              <w:bidi w:val="0"/>
              <w:jc w:val="center"/>
              <w:rPr>
                <w:color w:val="auto"/>
                <w:lang w:eastAsia="en-US"/>
              </w:rPr>
            </w:pPr>
            <w:r>
              <w:rPr>
                <w:color w:val="auto"/>
                <w:lang w:eastAsia="en-US"/>
              </w:rPr>
              <w:t>117°20'06.8171"，30°30'18.6537"</w:t>
            </w:r>
          </w:p>
        </w:tc>
      </w:tr>
    </w:tbl>
    <w:p w14:paraId="00B739FC">
      <w:pPr>
        <w:bidi w:val="0"/>
        <w:rPr>
          <w:color w:val="auto"/>
        </w:rPr>
      </w:pPr>
      <w:r>
        <w:rPr>
          <w:color w:val="auto"/>
        </w:rPr>
        <w:t>（2）监测因子与监测分析方法</w:t>
      </w:r>
    </w:p>
    <w:p w14:paraId="4C0ECE11">
      <w:pPr>
        <w:bidi w:val="0"/>
        <w:rPr>
          <w:color w:val="auto"/>
        </w:rPr>
      </w:pPr>
      <w:r>
        <w:rPr>
          <w:color w:val="auto"/>
        </w:rPr>
        <w:t>监测因子：pH、COD、BOD</w:t>
      </w:r>
      <w:r>
        <w:rPr>
          <w:color w:val="auto"/>
          <w:vertAlign w:val="subscript"/>
        </w:rPr>
        <w:t>5</w:t>
      </w:r>
      <w:r>
        <w:rPr>
          <w:color w:val="auto"/>
        </w:rPr>
        <w:t>、NH</w:t>
      </w:r>
      <w:r>
        <w:rPr>
          <w:color w:val="auto"/>
          <w:vertAlign w:val="subscript"/>
        </w:rPr>
        <w:t>3</w:t>
      </w:r>
      <w:r>
        <w:rPr>
          <w:color w:val="auto"/>
        </w:rPr>
        <w:t>-N、总磷、石油类共6项。</w:t>
      </w:r>
    </w:p>
    <w:p w14:paraId="74313692">
      <w:pPr>
        <w:bidi w:val="0"/>
        <w:rPr>
          <w:color w:val="auto"/>
        </w:rPr>
      </w:pPr>
      <w:r>
        <w:rPr>
          <w:color w:val="auto"/>
        </w:rPr>
        <w:t>监测分析方法：水样的采集、保存、输送均按《水环境监测规范》（SL219-2013）中的有关规定进行，样品分析方法按国家标准分析方法执行，现状评价按照《地表水环境质量标准》（GB3838-2002）相关规定执行。</w:t>
      </w:r>
    </w:p>
    <w:p w14:paraId="5D55A003">
      <w:pPr>
        <w:bidi w:val="0"/>
        <w:rPr>
          <w:color w:val="auto"/>
        </w:rPr>
      </w:pPr>
      <w:r>
        <w:rPr>
          <w:color w:val="auto"/>
        </w:rPr>
        <w:t>（3）监测时间和监测频次</w:t>
      </w:r>
    </w:p>
    <w:p w14:paraId="5DE3EDEE">
      <w:pPr>
        <w:bidi w:val="0"/>
        <w:rPr>
          <w:color w:val="auto"/>
        </w:rPr>
      </w:pPr>
      <w:r>
        <w:rPr>
          <w:color w:val="auto"/>
        </w:rPr>
        <w:t>监测时间：2023年7月29日至7月31日。</w:t>
      </w:r>
    </w:p>
    <w:p w14:paraId="18D9B5A3">
      <w:pPr>
        <w:bidi w:val="0"/>
        <w:rPr>
          <w:color w:val="auto"/>
        </w:rPr>
      </w:pPr>
      <w:r>
        <w:rPr>
          <w:color w:val="auto"/>
        </w:rPr>
        <w:t>监测频次：连续监测3天，每天采样分析一次。</w:t>
      </w:r>
    </w:p>
    <w:p w14:paraId="01A506FC">
      <w:pPr>
        <w:bidi w:val="0"/>
        <w:rPr>
          <w:color w:val="auto"/>
        </w:rPr>
      </w:pPr>
      <w:r>
        <w:rPr>
          <w:color w:val="auto"/>
        </w:rPr>
        <w:t>（4）检测结果</w:t>
      </w:r>
    </w:p>
    <w:p w14:paraId="5DC18993">
      <w:pPr>
        <w:bidi w:val="0"/>
        <w:rPr>
          <w:color w:val="auto"/>
        </w:rPr>
      </w:pPr>
      <w:r>
        <w:rPr>
          <w:color w:val="auto"/>
        </w:rPr>
        <w:t>地表水环境质量现状监测评价结果详见下表。</w:t>
      </w:r>
    </w:p>
    <w:p w14:paraId="4D778704">
      <w:pPr>
        <w:pStyle w:val="11"/>
        <w:bidi w:val="0"/>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5</w:t>
      </w:r>
      <w:r>
        <w:rPr>
          <w:color w:val="auto"/>
        </w:rPr>
        <w:fldChar w:fldCharType="end"/>
      </w:r>
      <w:r>
        <w:rPr>
          <w:color w:val="auto"/>
        </w:rPr>
        <w:t>水质监测结果单位：mg/L，pH无量纲</w:t>
      </w:r>
    </w:p>
    <w:p w14:paraId="46E2EF99">
      <w:pPr>
        <w:spacing w:line="25" w:lineRule="exact"/>
        <w:rPr>
          <w:color w:val="auto"/>
        </w:rPr>
      </w:pPr>
    </w:p>
    <w:tbl>
      <w:tblPr>
        <w:tblStyle w:val="33"/>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4"/>
        <w:gridCol w:w="1639"/>
        <w:gridCol w:w="1640"/>
        <w:gridCol w:w="1597"/>
        <w:gridCol w:w="1311"/>
        <w:gridCol w:w="773"/>
      </w:tblGrid>
      <w:tr w14:paraId="6BF45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Merge w:val="restart"/>
            <w:tcBorders>
              <w:bottom w:val="nil"/>
              <w:right w:val="single" w:color="000000" w:sz="6" w:space="0"/>
            </w:tcBorders>
            <w:vAlign w:val="center"/>
          </w:tcPr>
          <w:p w14:paraId="35613FBA">
            <w:pPr>
              <w:pStyle w:val="31"/>
              <w:widowControl w:val="0"/>
              <w:bidi w:val="0"/>
              <w:jc w:val="center"/>
              <w:rPr>
                <w:color w:val="auto"/>
                <w:lang w:eastAsia="en-US"/>
              </w:rPr>
            </w:pPr>
            <w:r>
              <w:rPr>
                <w:color w:val="auto"/>
                <w:lang w:eastAsia="en-US"/>
              </w:rPr>
              <w:t>检测因子（单位）</w:t>
            </w:r>
          </w:p>
        </w:tc>
        <w:tc>
          <w:tcPr>
            <w:tcW w:w="4941" w:type="dxa"/>
            <w:gridSpan w:val="3"/>
            <w:tcBorders>
              <w:left w:val="single" w:color="000000" w:sz="6" w:space="0"/>
            </w:tcBorders>
            <w:vAlign w:val="center"/>
          </w:tcPr>
          <w:p w14:paraId="6BC557BA">
            <w:pPr>
              <w:pStyle w:val="31"/>
              <w:widowControl w:val="0"/>
              <w:bidi w:val="0"/>
              <w:jc w:val="center"/>
              <w:rPr>
                <w:color w:val="auto"/>
                <w:lang w:eastAsia="en-US"/>
              </w:rPr>
            </w:pPr>
            <w:r>
              <w:rPr>
                <w:color w:val="auto"/>
                <w:lang w:eastAsia="en-US"/>
              </w:rPr>
              <w:t>检测点位及结果</w:t>
            </w:r>
          </w:p>
        </w:tc>
        <w:tc>
          <w:tcPr>
            <w:tcW w:w="1328" w:type="dxa"/>
            <w:vAlign w:val="center"/>
          </w:tcPr>
          <w:p w14:paraId="355FB1AE">
            <w:pPr>
              <w:pStyle w:val="31"/>
              <w:widowControl w:val="0"/>
              <w:bidi w:val="0"/>
              <w:jc w:val="center"/>
              <w:rPr>
                <w:color w:val="auto"/>
                <w:lang w:eastAsia="en-US"/>
              </w:rPr>
            </w:pPr>
            <w:r>
              <w:rPr>
                <w:color w:val="auto"/>
                <w:lang w:eastAsia="en-US"/>
              </w:rPr>
              <w:t>评价标准</w:t>
            </w:r>
          </w:p>
        </w:tc>
        <w:tc>
          <w:tcPr>
            <w:tcW w:w="783" w:type="dxa"/>
            <w:vMerge w:val="restart"/>
            <w:tcBorders>
              <w:bottom w:val="nil"/>
            </w:tcBorders>
            <w:vAlign w:val="center"/>
          </w:tcPr>
          <w:p w14:paraId="126B55B8">
            <w:pPr>
              <w:pStyle w:val="31"/>
              <w:widowControl w:val="0"/>
              <w:bidi w:val="0"/>
              <w:jc w:val="center"/>
              <w:rPr>
                <w:color w:val="auto"/>
                <w:lang w:eastAsia="en-US"/>
              </w:rPr>
            </w:pPr>
            <w:r>
              <w:rPr>
                <w:color w:val="auto"/>
                <w:lang w:eastAsia="en-US"/>
              </w:rPr>
              <w:t>是否达标</w:t>
            </w:r>
          </w:p>
        </w:tc>
      </w:tr>
      <w:tr w14:paraId="207B1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Merge w:val="continue"/>
            <w:tcBorders>
              <w:top w:val="nil"/>
              <w:right w:val="single" w:color="000000" w:sz="6" w:space="0"/>
            </w:tcBorders>
            <w:vAlign w:val="center"/>
          </w:tcPr>
          <w:p w14:paraId="68E0FFE0">
            <w:pPr>
              <w:pStyle w:val="31"/>
              <w:widowControl w:val="0"/>
              <w:bidi w:val="0"/>
              <w:jc w:val="center"/>
              <w:rPr>
                <w:color w:val="auto"/>
                <w:lang w:eastAsia="en-US"/>
              </w:rPr>
            </w:pPr>
          </w:p>
        </w:tc>
        <w:tc>
          <w:tcPr>
            <w:tcW w:w="1661" w:type="dxa"/>
            <w:tcBorders>
              <w:left w:val="single" w:color="000000" w:sz="6" w:space="0"/>
            </w:tcBorders>
            <w:vAlign w:val="center"/>
          </w:tcPr>
          <w:p w14:paraId="5EA389CC">
            <w:pPr>
              <w:pStyle w:val="31"/>
              <w:widowControl w:val="0"/>
              <w:bidi w:val="0"/>
              <w:jc w:val="center"/>
              <w:rPr>
                <w:color w:val="auto"/>
                <w:lang w:eastAsia="en-US"/>
              </w:rPr>
            </w:pPr>
            <w:r>
              <w:rPr>
                <w:color w:val="auto"/>
                <w:lang w:eastAsia="en-US"/>
              </w:rPr>
              <w:t>W1</w:t>
            </w:r>
          </w:p>
        </w:tc>
        <w:tc>
          <w:tcPr>
            <w:tcW w:w="1662" w:type="dxa"/>
            <w:vAlign w:val="center"/>
          </w:tcPr>
          <w:p w14:paraId="39C8F3B8">
            <w:pPr>
              <w:pStyle w:val="31"/>
              <w:widowControl w:val="0"/>
              <w:bidi w:val="0"/>
              <w:jc w:val="center"/>
              <w:rPr>
                <w:color w:val="auto"/>
                <w:lang w:eastAsia="en-US"/>
              </w:rPr>
            </w:pPr>
            <w:r>
              <w:rPr>
                <w:color w:val="auto"/>
                <w:lang w:eastAsia="en-US"/>
              </w:rPr>
              <w:t>W2</w:t>
            </w:r>
          </w:p>
        </w:tc>
        <w:tc>
          <w:tcPr>
            <w:tcW w:w="1618" w:type="dxa"/>
            <w:vAlign w:val="center"/>
          </w:tcPr>
          <w:p w14:paraId="32B1E70A">
            <w:pPr>
              <w:pStyle w:val="31"/>
              <w:widowControl w:val="0"/>
              <w:bidi w:val="0"/>
              <w:jc w:val="center"/>
              <w:rPr>
                <w:color w:val="auto"/>
                <w:lang w:eastAsia="en-US"/>
              </w:rPr>
            </w:pPr>
            <w:r>
              <w:rPr>
                <w:color w:val="auto"/>
                <w:lang w:eastAsia="en-US"/>
              </w:rPr>
              <w:t>W3</w:t>
            </w:r>
          </w:p>
        </w:tc>
        <w:tc>
          <w:tcPr>
            <w:tcW w:w="1328" w:type="dxa"/>
            <w:vAlign w:val="center"/>
          </w:tcPr>
          <w:p w14:paraId="3C50394E">
            <w:pPr>
              <w:pStyle w:val="31"/>
              <w:widowControl w:val="0"/>
              <w:bidi w:val="0"/>
              <w:jc w:val="center"/>
              <w:rPr>
                <w:color w:val="auto"/>
                <w:lang w:eastAsia="en-US"/>
              </w:rPr>
            </w:pPr>
            <w:r>
              <w:rPr>
                <w:color w:val="auto"/>
                <w:lang w:eastAsia="en-US"/>
              </w:rPr>
              <w:t>GB3838-20</w:t>
            </w:r>
          </w:p>
          <w:p w14:paraId="5E18A1C2">
            <w:pPr>
              <w:pStyle w:val="31"/>
              <w:widowControl w:val="0"/>
              <w:bidi w:val="0"/>
              <w:jc w:val="center"/>
              <w:rPr>
                <w:color w:val="auto"/>
                <w:lang w:eastAsia="en-US"/>
              </w:rPr>
            </w:pPr>
            <w:r>
              <w:rPr>
                <w:color w:val="auto"/>
                <w:lang w:eastAsia="en-US"/>
              </w:rPr>
              <w:t>02中Ⅱ类</w:t>
            </w:r>
          </w:p>
        </w:tc>
        <w:tc>
          <w:tcPr>
            <w:tcW w:w="783" w:type="dxa"/>
            <w:vMerge w:val="continue"/>
            <w:tcBorders>
              <w:top w:val="nil"/>
            </w:tcBorders>
            <w:vAlign w:val="center"/>
          </w:tcPr>
          <w:p w14:paraId="4B69B664">
            <w:pPr>
              <w:pStyle w:val="31"/>
              <w:widowControl w:val="0"/>
              <w:bidi w:val="0"/>
              <w:jc w:val="center"/>
              <w:rPr>
                <w:color w:val="auto"/>
                <w:lang w:eastAsia="en-US"/>
              </w:rPr>
            </w:pPr>
          </w:p>
        </w:tc>
      </w:tr>
      <w:tr w14:paraId="53434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8616" w:type="dxa"/>
            <w:gridSpan w:val="6"/>
            <w:vAlign w:val="center"/>
          </w:tcPr>
          <w:p w14:paraId="43881ADB">
            <w:pPr>
              <w:pStyle w:val="31"/>
              <w:widowControl w:val="0"/>
              <w:bidi w:val="0"/>
              <w:jc w:val="center"/>
              <w:rPr>
                <w:color w:val="auto"/>
                <w:lang w:eastAsia="en-US"/>
              </w:rPr>
            </w:pPr>
            <w:r>
              <w:rPr>
                <w:color w:val="auto"/>
                <w:lang w:eastAsia="en-US"/>
              </w:rPr>
              <w:t>采样时间：2023.07.29</w:t>
            </w:r>
          </w:p>
        </w:tc>
      </w:tr>
      <w:tr w14:paraId="17C8F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3915A4AF">
            <w:pPr>
              <w:pStyle w:val="31"/>
              <w:widowControl w:val="0"/>
              <w:bidi w:val="0"/>
              <w:jc w:val="center"/>
              <w:rPr>
                <w:color w:val="auto"/>
                <w:lang w:eastAsia="en-US"/>
              </w:rPr>
            </w:pPr>
            <w:r>
              <w:rPr>
                <w:color w:val="auto"/>
                <w:lang w:eastAsia="en-US"/>
              </w:rPr>
              <w:t>pH（无量纲）</w:t>
            </w:r>
          </w:p>
        </w:tc>
        <w:tc>
          <w:tcPr>
            <w:tcW w:w="1661" w:type="dxa"/>
            <w:vAlign w:val="center"/>
          </w:tcPr>
          <w:p w14:paraId="1467738B">
            <w:pPr>
              <w:pStyle w:val="31"/>
              <w:widowControl w:val="0"/>
              <w:bidi w:val="0"/>
              <w:jc w:val="center"/>
              <w:rPr>
                <w:rFonts w:hint="eastAsia" w:eastAsia="宋体"/>
                <w:color w:val="auto"/>
                <w:lang w:eastAsia="zh-CN"/>
              </w:rPr>
            </w:pPr>
            <w:r>
              <w:rPr>
                <w:color w:val="auto"/>
                <w:lang w:eastAsia="en-US"/>
              </w:rPr>
              <w:t>7.2（16.3℃</w:t>
            </w:r>
            <w:r>
              <w:rPr>
                <w:rFonts w:hint="eastAsia"/>
                <w:color w:val="auto"/>
                <w:lang w:eastAsia="zh-CN"/>
              </w:rPr>
              <w:t>）</w:t>
            </w:r>
          </w:p>
        </w:tc>
        <w:tc>
          <w:tcPr>
            <w:tcW w:w="1662" w:type="dxa"/>
            <w:vAlign w:val="center"/>
          </w:tcPr>
          <w:p w14:paraId="298386B5">
            <w:pPr>
              <w:pStyle w:val="31"/>
              <w:widowControl w:val="0"/>
              <w:bidi w:val="0"/>
              <w:jc w:val="center"/>
              <w:rPr>
                <w:rFonts w:hint="eastAsia" w:eastAsia="宋体"/>
                <w:color w:val="auto"/>
                <w:lang w:eastAsia="zh-CN"/>
              </w:rPr>
            </w:pPr>
            <w:r>
              <w:rPr>
                <w:color w:val="auto"/>
                <w:lang w:eastAsia="en-US"/>
              </w:rPr>
              <w:t>7.3（15.4℃</w:t>
            </w:r>
            <w:r>
              <w:rPr>
                <w:rFonts w:hint="eastAsia"/>
                <w:color w:val="auto"/>
                <w:lang w:eastAsia="zh-CN"/>
              </w:rPr>
              <w:t>）</w:t>
            </w:r>
          </w:p>
        </w:tc>
        <w:tc>
          <w:tcPr>
            <w:tcW w:w="1618" w:type="dxa"/>
            <w:vAlign w:val="center"/>
          </w:tcPr>
          <w:p w14:paraId="5C65523B">
            <w:pPr>
              <w:pStyle w:val="31"/>
              <w:widowControl w:val="0"/>
              <w:bidi w:val="0"/>
              <w:jc w:val="center"/>
              <w:rPr>
                <w:rFonts w:hint="eastAsia" w:eastAsia="宋体"/>
                <w:color w:val="auto"/>
                <w:lang w:eastAsia="zh-CN"/>
              </w:rPr>
            </w:pPr>
            <w:r>
              <w:rPr>
                <w:color w:val="auto"/>
                <w:lang w:eastAsia="en-US"/>
              </w:rPr>
              <w:t>7.3（16.1℃</w:t>
            </w:r>
            <w:r>
              <w:rPr>
                <w:rFonts w:hint="eastAsia"/>
                <w:color w:val="auto"/>
                <w:lang w:eastAsia="zh-CN"/>
              </w:rPr>
              <w:t>）</w:t>
            </w:r>
          </w:p>
        </w:tc>
        <w:tc>
          <w:tcPr>
            <w:tcW w:w="1328" w:type="dxa"/>
            <w:vAlign w:val="center"/>
          </w:tcPr>
          <w:p w14:paraId="690EC81C">
            <w:pPr>
              <w:pStyle w:val="31"/>
              <w:widowControl w:val="0"/>
              <w:bidi w:val="0"/>
              <w:jc w:val="center"/>
              <w:rPr>
                <w:color w:val="auto"/>
                <w:lang w:eastAsia="en-US"/>
              </w:rPr>
            </w:pPr>
            <w:r>
              <w:rPr>
                <w:color w:val="auto"/>
                <w:lang w:eastAsia="en-US"/>
              </w:rPr>
              <w:t>6~9</w:t>
            </w:r>
          </w:p>
        </w:tc>
        <w:tc>
          <w:tcPr>
            <w:tcW w:w="783" w:type="dxa"/>
            <w:vAlign w:val="center"/>
          </w:tcPr>
          <w:p w14:paraId="1E5418C6">
            <w:pPr>
              <w:pStyle w:val="31"/>
              <w:widowControl w:val="0"/>
              <w:bidi w:val="0"/>
              <w:jc w:val="center"/>
              <w:rPr>
                <w:color w:val="auto"/>
                <w:lang w:eastAsia="en-US"/>
              </w:rPr>
            </w:pPr>
            <w:r>
              <w:rPr>
                <w:color w:val="auto"/>
                <w:lang w:eastAsia="en-US"/>
              </w:rPr>
              <w:t>达标</w:t>
            </w:r>
          </w:p>
        </w:tc>
      </w:tr>
      <w:tr w14:paraId="028FA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737B8891">
            <w:pPr>
              <w:pStyle w:val="31"/>
              <w:widowControl w:val="0"/>
              <w:bidi w:val="0"/>
              <w:jc w:val="center"/>
              <w:rPr>
                <w:color w:val="auto"/>
                <w:lang w:eastAsia="en-US"/>
              </w:rPr>
            </w:pPr>
            <w:r>
              <w:rPr>
                <w:color w:val="auto"/>
                <w:lang w:eastAsia="en-US"/>
              </w:rPr>
              <w:t>氨氮（mg/L）</w:t>
            </w:r>
          </w:p>
        </w:tc>
        <w:tc>
          <w:tcPr>
            <w:tcW w:w="1661" w:type="dxa"/>
            <w:vAlign w:val="center"/>
          </w:tcPr>
          <w:p w14:paraId="2E3C43ED">
            <w:pPr>
              <w:pStyle w:val="31"/>
              <w:widowControl w:val="0"/>
              <w:bidi w:val="0"/>
              <w:jc w:val="center"/>
              <w:rPr>
                <w:color w:val="auto"/>
                <w:lang w:eastAsia="en-US"/>
              </w:rPr>
            </w:pPr>
            <w:r>
              <w:rPr>
                <w:color w:val="auto"/>
                <w:lang w:eastAsia="en-US"/>
              </w:rPr>
              <w:t>0.076</w:t>
            </w:r>
          </w:p>
        </w:tc>
        <w:tc>
          <w:tcPr>
            <w:tcW w:w="1662" w:type="dxa"/>
            <w:vAlign w:val="center"/>
          </w:tcPr>
          <w:p w14:paraId="6F314C26">
            <w:pPr>
              <w:pStyle w:val="31"/>
              <w:widowControl w:val="0"/>
              <w:bidi w:val="0"/>
              <w:jc w:val="center"/>
              <w:rPr>
                <w:color w:val="auto"/>
                <w:lang w:eastAsia="en-US"/>
              </w:rPr>
            </w:pPr>
            <w:r>
              <w:rPr>
                <w:color w:val="auto"/>
                <w:lang w:eastAsia="en-US"/>
              </w:rPr>
              <w:t>0.131</w:t>
            </w:r>
          </w:p>
        </w:tc>
        <w:tc>
          <w:tcPr>
            <w:tcW w:w="1618" w:type="dxa"/>
            <w:vAlign w:val="center"/>
          </w:tcPr>
          <w:p w14:paraId="7D5C00E3">
            <w:pPr>
              <w:pStyle w:val="31"/>
              <w:widowControl w:val="0"/>
              <w:bidi w:val="0"/>
              <w:jc w:val="center"/>
              <w:rPr>
                <w:color w:val="auto"/>
                <w:lang w:eastAsia="en-US"/>
              </w:rPr>
            </w:pPr>
            <w:r>
              <w:rPr>
                <w:color w:val="auto"/>
                <w:lang w:eastAsia="en-US"/>
              </w:rPr>
              <w:t>0.221</w:t>
            </w:r>
          </w:p>
        </w:tc>
        <w:tc>
          <w:tcPr>
            <w:tcW w:w="1328" w:type="dxa"/>
            <w:vAlign w:val="center"/>
          </w:tcPr>
          <w:p w14:paraId="3EF903E8">
            <w:pPr>
              <w:pStyle w:val="31"/>
              <w:widowControl w:val="0"/>
              <w:bidi w:val="0"/>
              <w:jc w:val="center"/>
              <w:rPr>
                <w:color w:val="auto"/>
                <w:lang w:eastAsia="en-US"/>
              </w:rPr>
            </w:pPr>
            <w:r>
              <w:rPr>
                <w:color w:val="auto"/>
                <w:lang w:eastAsia="en-US"/>
              </w:rPr>
              <w:t>0.5</w:t>
            </w:r>
          </w:p>
        </w:tc>
        <w:tc>
          <w:tcPr>
            <w:tcW w:w="783" w:type="dxa"/>
            <w:vAlign w:val="center"/>
          </w:tcPr>
          <w:p w14:paraId="3BCBE231">
            <w:pPr>
              <w:pStyle w:val="31"/>
              <w:widowControl w:val="0"/>
              <w:bidi w:val="0"/>
              <w:jc w:val="center"/>
              <w:rPr>
                <w:color w:val="auto"/>
                <w:lang w:eastAsia="en-US"/>
              </w:rPr>
            </w:pPr>
            <w:r>
              <w:rPr>
                <w:color w:val="auto"/>
                <w:lang w:eastAsia="en-US"/>
              </w:rPr>
              <w:t>达标</w:t>
            </w:r>
          </w:p>
        </w:tc>
      </w:tr>
      <w:tr w14:paraId="076E8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4DBCF675">
            <w:pPr>
              <w:pStyle w:val="31"/>
              <w:widowControl w:val="0"/>
              <w:bidi w:val="0"/>
              <w:jc w:val="center"/>
              <w:rPr>
                <w:color w:val="auto"/>
                <w:lang w:eastAsia="en-US"/>
              </w:rPr>
            </w:pPr>
            <w:r>
              <w:rPr>
                <w:color w:val="auto"/>
                <w:lang w:eastAsia="en-US"/>
              </w:rPr>
              <w:t>总磷（mg/L）</w:t>
            </w:r>
          </w:p>
        </w:tc>
        <w:tc>
          <w:tcPr>
            <w:tcW w:w="1661" w:type="dxa"/>
            <w:vAlign w:val="center"/>
          </w:tcPr>
          <w:p w14:paraId="1E6A362D">
            <w:pPr>
              <w:pStyle w:val="31"/>
              <w:widowControl w:val="0"/>
              <w:bidi w:val="0"/>
              <w:jc w:val="center"/>
              <w:rPr>
                <w:color w:val="auto"/>
                <w:lang w:eastAsia="en-US"/>
              </w:rPr>
            </w:pPr>
            <w:r>
              <w:rPr>
                <w:color w:val="auto"/>
                <w:lang w:eastAsia="en-US"/>
              </w:rPr>
              <w:t>0.08</w:t>
            </w:r>
          </w:p>
        </w:tc>
        <w:tc>
          <w:tcPr>
            <w:tcW w:w="1662" w:type="dxa"/>
            <w:vAlign w:val="center"/>
          </w:tcPr>
          <w:p w14:paraId="2231976B">
            <w:pPr>
              <w:pStyle w:val="31"/>
              <w:widowControl w:val="0"/>
              <w:bidi w:val="0"/>
              <w:jc w:val="center"/>
              <w:rPr>
                <w:color w:val="auto"/>
                <w:lang w:eastAsia="en-US"/>
              </w:rPr>
            </w:pPr>
            <w:r>
              <w:rPr>
                <w:color w:val="auto"/>
                <w:lang w:eastAsia="en-US"/>
              </w:rPr>
              <w:t>0.10</w:t>
            </w:r>
          </w:p>
        </w:tc>
        <w:tc>
          <w:tcPr>
            <w:tcW w:w="1618" w:type="dxa"/>
            <w:vAlign w:val="center"/>
          </w:tcPr>
          <w:p w14:paraId="1D18D61F">
            <w:pPr>
              <w:pStyle w:val="31"/>
              <w:widowControl w:val="0"/>
              <w:bidi w:val="0"/>
              <w:jc w:val="center"/>
              <w:rPr>
                <w:color w:val="auto"/>
                <w:lang w:eastAsia="en-US"/>
              </w:rPr>
            </w:pPr>
            <w:r>
              <w:rPr>
                <w:color w:val="auto"/>
                <w:lang w:eastAsia="en-US"/>
              </w:rPr>
              <w:t>0.09</w:t>
            </w:r>
          </w:p>
        </w:tc>
        <w:tc>
          <w:tcPr>
            <w:tcW w:w="1328" w:type="dxa"/>
            <w:vAlign w:val="center"/>
          </w:tcPr>
          <w:p w14:paraId="132333D1">
            <w:pPr>
              <w:pStyle w:val="31"/>
              <w:widowControl w:val="0"/>
              <w:bidi w:val="0"/>
              <w:jc w:val="center"/>
              <w:rPr>
                <w:color w:val="auto"/>
                <w:lang w:eastAsia="en-US"/>
              </w:rPr>
            </w:pPr>
            <w:r>
              <w:rPr>
                <w:color w:val="auto"/>
                <w:lang w:eastAsia="en-US"/>
              </w:rPr>
              <w:t>0.1</w:t>
            </w:r>
          </w:p>
        </w:tc>
        <w:tc>
          <w:tcPr>
            <w:tcW w:w="783" w:type="dxa"/>
            <w:vAlign w:val="center"/>
          </w:tcPr>
          <w:p w14:paraId="19AE37A7">
            <w:pPr>
              <w:pStyle w:val="31"/>
              <w:widowControl w:val="0"/>
              <w:bidi w:val="0"/>
              <w:jc w:val="center"/>
              <w:rPr>
                <w:color w:val="auto"/>
                <w:lang w:eastAsia="en-US"/>
              </w:rPr>
            </w:pPr>
            <w:r>
              <w:rPr>
                <w:color w:val="auto"/>
                <w:lang w:eastAsia="en-US"/>
              </w:rPr>
              <w:t>达标</w:t>
            </w:r>
          </w:p>
        </w:tc>
      </w:tr>
      <w:tr w14:paraId="125C6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6ED3C8A1">
            <w:pPr>
              <w:pStyle w:val="31"/>
              <w:widowControl w:val="0"/>
              <w:bidi w:val="0"/>
              <w:jc w:val="center"/>
              <w:rPr>
                <w:color w:val="auto"/>
                <w:lang w:eastAsia="en-US"/>
              </w:rPr>
            </w:pPr>
            <w:r>
              <w:rPr>
                <w:color w:val="auto"/>
                <w:lang w:eastAsia="en-US"/>
              </w:rPr>
              <w:t>化学需氧量（mg/L）</w:t>
            </w:r>
          </w:p>
        </w:tc>
        <w:tc>
          <w:tcPr>
            <w:tcW w:w="1661" w:type="dxa"/>
            <w:vAlign w:val="center"/>
          </w:tcPr>
          <w:p w14:paraId="7E7703A0">
            <w:pPr>
              <w:pStyle w:val="31"/>
              <w:widowControl w:val="0"/>
              <w:bidi w:val="0"/>
              <w:jc w:val="center"/>
              <w:rPr>
                <w:color w:val="auto"/>
                <w:lang w:eastAsia="en-US"/>
              </w:rPr>
            </w:pPr>
            <w:r>
              <w:rPr>
                <w:color w:val="auto"/>
                <w:lang w:eastAsia="en-US"/>
              </w:rPr>
              <w:t>13</w:t>
            </w:r>
          </w:p>
        </w:tc>
        <w:tc>
          <w:tcPr>
            <w:tcW w:w="1662" w:type="dxa"/>
            <w:vAlign w:val="center"/>
          </w:tcPr>
          <w:p w14:paraId="0ACAA7A6">
            <w:pPr>
              <w:pStyle w:val="31"/>
              <w:widowControl w:val="0"/>
              <w:bidi w:val="0"/>
              <w:jc w:val="center"/>
              <w:rPr>
                <w:color w:val="auto"/>
                <w:lang w:eastAsia="en-US"/>
              </w:rPr>
            </w:pPr>
            <w:r>
              <w:rPr>
                <w:color w:val="auto"/>
                <w:lang w:eastAsia="en-US"/>
              </w:rPr>
              <w:t>10</w:t>
            </w:r>
          </w:p>
        </w:tc>
        <w:tc>
          <w:tcPr>
            <w:tcW w:w="1618" w:type="dxa"/>
            <w:vAlign w:val="center"/>
          </w:tcPr>
          <w:p w14:paraId="62370184">
            <w:pPr>
              <w:pStyle w:val="31"/>
              <w:widowControl w:val="0"/>
              <w:bidi w:val="0"/>
              <w:jc w:val="center"/>
              <w:rPr>
                <w:color w:val="auto"/>
                <w:lang w:eastAsia="en-US"/>
              </w:rPr>
            </w:pPr>
            <w:r>
              <w:rPr>
                <w:color w:val="auto"/>
                <w:lang w:eastAsia="en-US"/>
              </w:rPr>
              <w:t>9</w:t>
            </w:r>
          </w:p>
        </w:tc>
        <w:tc>
          <w:tcPr>
            <w:tcW w:w="1328" w:type="dxa"/>
            <w:vAlign w:val="center"/>
          </w:tcPr>
          <w:p w14:paraId="1686D68F">
            <w:pPr>
              <w:pStyle w:val="31"/>
              <w:widowControl w:val="0"/>
              <w:bidi w:val="0"/>
              <w:jc w:val="center"/>
              <w:rPr>
                <w:color w:val="auto"/>
                <w:lang w:eastAsia="en-US"/>
              </w:rPr>
            </w:pPr>
            <w:r>
              <w:rPr>
                <w:color w:val="auto"/>
                <w:lang w:eastAsia="en-US"/>
              </w:rPr>
              <w:t>15</w:t>
            </w:r>
          </w:p>
        </w:tc>
        <w:tc>
          <w:tcPr>
            <w:tcW w:w="783" w:type="dxa"/>
            <w:vAlign w:val="center"/>
          </w:tcPr>
          <w:p w14:paraId="51D84C6D">
            <w:pPr>
              <w:pStyle w:val="31"/>
              <w:widowControl w:val="0"/>
              <w:bidi w:val="0"/>
              <w:jc w:val="center"/>
              <w:rPr>
                <w:color w:val="auto"/>
                <w:lang w:eastAsia="en-US"/>
              </w:rPr>
            </w:pPr>
            <w:r>
              <w:rPr>
                <w:color w:val="auto"/>
                <w:lang w:eastAsia="en-US"/>
              </w:rPr>
              <w:t>达标</w:t>
            </w:r>
          </w:p>
        </w:tc>
      </w:tr>
      <w:tr w14:paraId="2A656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070CB928">
            <w:pPr>
              <w:pStyle w:val="31"/>
              <w:widowControl w:val="0"/>
              <w:bidi w:val="0"/>
              <w:jc w:val="center"/>
              <w:rPr>
                <w:color w:val="auto"/>
                <w:lang w:eastAsia="en-US"/>
              </w:rPr>
            </w:pPr>
            <w:r>
              <w:rPr>
                <w:color w:val="auto"/>
                <w:lang w:eastAsia="en-US"/>
              </w:rPr>
              <w:t>五日生化需氧量（mg/L）</w:t>
            </w:r>
          </w:p>
        </w:tc>
        <w:tc>
          <w:tcPr>
            <w:tcW w:w="1661" w:type="dxa"/>
            <w:vAlign w:val="center"/>
          </w:tcPr>
          <w:p w14:paraId="117B0DBE">
            <w:pPr>
              <w:pStyle w:val="31"/>
              <w:widowControl w:val="0"/>
              <w:bidi w:val="0"/>
              <w:jc w:val="center"/>
              <w:rPr>
                <w:color w:val="auto"/>
                <w:lang w:eastAsia="en-US"/>
              </w:rPr>
            </w:pPr>
            <w:r>
              <w:rPr>
                <w:color w:val="auto"/>
                <w:lang w:eastAsia="en-US"/>
              </w:rPr>
              <w:t>2.7</w:t>
            </w:r>
          </w:p>
        </w:tc>
        <w:tc>
          <w:tcPr>
            <w:tcW w:w="1662" w:type="dxa"/>
            <w:vAlign w:val="center"/>
          </w:tcPr>
          <w:p w14:paraId="29C69B46">
            <w:pPr>
              <w:pStyle w:val="31"/>
              <w:widowControl w:val="0"/>
              <w:bidi w:val="0"/>
              <w:jc w:val="center"/>
              <w:rPr>
                <w:color w:val="auto"/>
                <w:lang w:eastAsia="en-US"/>
              </w:rPr>
            </w:pPr>
            <w:r>
              <w:rPr>
                <w:color w:val="auto"/>
                <w:lang w:eastAsia="en-US"/>
              </w:rPr>
              <w:t>2.3</w:t>
            </w:r>
          </w:p>
        </w:tc>
        <w:tc>
          <w:tcPr>
            <w:tcW w:w="1618" w:type="dxa"/>
            <w:vAlign w:val="center"/>
          </w:tcPr>
          <w:p w14:paraId="6124265F">
            <w:pPr>
              <w:pStyle w:val="31"/>
              <w:widowControl w:val="0"/>
              <w:bidi w:val="0"/>
              <w:jc w:val="center"/>
              <w:rPr>
                <w:color w:val="auto"/>
                <w:lang w:eastAsia="en-US"/>
              </w:rPr>
            </w:pPr>
            <w:r>
              <w:rPr>
                <w:color w:val="auto"/>
                <w:lang w:eastAsia="en-US"/>
              </w:rPr>
              <w:t>1.8</w:t>
            </w:r>
          </w:p>
        </w:tc>
        <w:tc>
          <w:tcPr>
            <w:tcW w:w="1328" w:type="dxa"/>
            <w:vAlign w:val="center"/>
          </w:tcPr>
          <w:p w14:paraId="43384BDF">
            <w:pPr>
              <w:pStyle w:val="31"/>
              <w:widowControl w:val="0"/>
              <w:bidi w:val="0"/>
              <w:jc w:val="center"/>
              <w:rPr>
                <w:color w:val="auto"/>
                <w:lang w:eastAsia="en-US"/>
              </w:rPr>
            </w:pPr>
            <w:r>
              <w:rPr>
                <w:color w:val="auto"/>
                <w:lang w:eastAsia="en-US"/>
              </w:rPr>
              <w:t>3</w:t>
            </w:r>
          </w:p>
        </w:tc>
        <w:tc>
          <w:tcPr>
            <w:tcW w:w="783" w:type="dxa"/>
            <w:vAlign w:val="center"/>
          </w:tcPr>
          <w:p w14:paraId="2F3D8E96">
            <w:pPr>
              <w:pStyle w:val="31"/>
              <w:widowControl w:val="0"/>
              <w:bidi w:val="0"/>
              <w:jc w:val="center"/>
              <w:rPr>
                <w:color w:val="auto"/>
                <w:lang w:eastAsia="en-US"/>
              </w:rPr>
            </w:pPr>
            <w:r>
              <w:rPr>
                <w:color w:val="auto"/>
                <w:lang w:eastAsia="en-US"/>
              </w:rPr>
              <w:t>达标</w:t>
            </w:r>
          </w:p>
        </w:tc>
      </w:tr>
      <w:tr w14:paraId="6BD9A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42FFD67E">
            <w:pPr>
              <w:pStyle w:val="31"/>
              <w:widowControl w:val="0"/>
              <w:bidi w:val="0"/>
              <w:jc w:val="center"/>
              <w:rPr>
                <w:color w:val="auto"/>
                <w:lang w:eastAsia="en-US"/>
              </w:rPr>
            </w:pPr>
            <w:r>
              <w:rPr>
                <w:color w:val="auto"/>
                <w:lang w:eastAsia="en-US"/>
              </w:rPr>
              <w:t>石油类（mg/L）</w:t>
            </w:r>
          </w:p>
        </w:tc>
        <w:tc>
          <w:tcPr>
            <w:tcW w:w="1661" w:type="dxa"/>
            <w:vAlign w:val="center"/>
          </w:tcPr>
          <w:p w14:paraId="37207A24">
            <w:pPr>
              <w:pStyle w:val="31"/>
              <w:widowControl w:val="0"/>
              <w:bidi w:val="0"/>
              <w:jc w:val="center"/>
              <w:rPr>
                <w:color w:val="auto"/>
                <w:lang w:eastAsia="en-US"/>
              </w:rPr>
            </w:pPr>
            <w:r>
              <w:rPr>
                <w:color w:val="auto"/>
                <w:lang w:eastAsia="en-US"/>
              </w:rPr>
              <w:t>ND</w:t>
            </w:r>
          </w:p>
        </w:tc>
        <w:tc>
          <w:tcPr>
            <w:tcW w:w="1662" w:type="dxa"/>
            <w:vAlign w:val="center"/>
          </w:tcPr>
          <w:p w14:paraId="1F761C95">
            <w:pPr>
              <w:pStyle w:val="31"/>
              <w:widowControl w:val="0"/>
              <w:bidi w:val="0"/>
              <w:jc w:val="center"/>
              <w:rPr>
                <w:color w:val="auto"/>
                <w:lang w:eastAsia="en-US"/>
              </w:rPr>
            </w:pPr>
            <w:r>
              <w:rPr>
                <w:color w:val="auto"/>
                <w:lang w:eastAsia="en-US"/>
              </w:rPr>
              <w:t>ND</w:t>
            </w:r>
          </w:p>
        </w:tc>
        <w:tc>
          <w:tcPr>
            <w:tcW w:w="1618" w:type="dxa"/>
            <w:vAlign w:val="center"/>
          </w:tcPr>
          <w:p w14:paraId="06B44A14">
            <w:pPr>
              <w:pStyle w:val="31"/>
              <w:widowControl w:val="0"/>
              <w:bidi w:val="0"/>
              <w:jc w:val="center"/>
              <w:rPr>
                <w:color w:val="auto"/>
                <w:lang w:eastAsia="en-US"/>
              </w:rPr>
            </w:pPr>
            <w:r>
              <w:rPr>
                <w:color w:val="auto"/>
                <w:lang w:eastAsia="en-US"/>
              </w:rPr>
              <w:t>ND</w:t>
            </w:r>
          </w:p>
        </w:tc>
        <w:tc>
          <w:tcPr>
            <w:tcW w:w="1328" w:type="dxa"/>
            <w:vAlign w:val="center"/>
          </w:tcPr>
          <w:p w14:paraId="28AF16FB">
            <w:pPr>
              <w:pStyle w:val="31"/>
              <w:widowControl w:val="0"/>
              <w:bidi w:val="0"/>
              <w:jc w:val="center"/>
              <w:rPr>
                <w:color w:val="auto"/>
                <w:lang w:eastAsia="en-US"/>
              </w:rPr>
            </w:pPr>
            <w:r>
              <w:rPr>
                <w:color w:val="auto"/>
                <w:lang w:eastAsia="en-US"/>
              </w:rPr>
              <w:t>0.05</w:t>
            </w:r>
          </w:p>
        </w:tc>
        <w:tc>
          <w:tcPr>
            <w:tcW w:w="783" w:type="dxa"/>
            <w:vAlign w:val="center"/>
          </w:tcPr>
          <w:p w14:paraId="12B9FC16">
            <w:pPr>
              <w:pStyle w:val="31"/>
              <w:widowControl w:val="0"/>
              <w:bidi w:val="0"/>
              <w:jc w:val="center"/>
              <w:rPr>
                <w:color w:val="auto"/>
                <w:lang w:eastAsia="en-US"/>
              </w:rPr>
            </w:pPr>
            <w:r>
              <w:rPr>
                <w:color w:val="auto"/>
                <w:lang w:eastAsia="en-US"/>
              </w:rPr>
              <w:t>达标</w:t>
            </w:r>
          </w:p>
        </w:tc>
      </w:tr>
      <w:tr w14:paraId="0B87D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8616" w:type="dxa"/>
            <w:gridSpan w:val="6"/>
            <w:vAlign w:val="center"/>
          </w:tcPr>
          <w:p w14:paraId="6BB35427">
            <w:pPr>
              <w:pStyle w:val="31"/>
              <w:widowControl w:val="0"/>
              <w:bidi w:val="0"/>
              <w:jc w:val="center"/>
              <w:rPr>
                <w:color w:val="auto"/>
                <w:lang w:eastAsia="en-US"/>
              </w:rPr>
            </w:pPr>
            <w:r>
              <w:rPr>
                <w:color w:val="auto"/>
                <w:lang w:eastAsia="en-US"/>
              </w:rPr>
              <w:t>采样时间：2023.07.30</w:t>
            </w:r>
          </w:p>
        </w:tc>
      </w:tr>
      <w:tr w14:paraId="52D47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2AD9D068">
            <w:pPr>
              <w:pStyle w:val="31"/>
              <w:widowControl w:val="0"/>
              <w:bidi w:val="0"/>
              <w:jc w:val="center"/>
              <w:rPr>
                <w:color w:val="auto"/>
                <w:lang w:eastAsia="en-US"/>
              </w:rPr>
            </w:pPr>
            <w:r>
              <w:rPr>
                <w:color w:val="auto"/>
                <w:lang w:eastAsia="en-US"/>
              </w:rPr>
              <w:t>pH（无量纲）</w:t>
            </w:r>
          </w:p>
        </w:tc>
        <w:tc>
          <w:tcPr>
            <w:tcW w:w="1661" w:type="dxa"/>
            <w:vAlign w:val="center"/>
          </w:tcPr>
          <w:p w14:paraId="2BADA518">
            <w:pPr>
              <w:pStyle w:val="31"/>
              <w:widowControl w:val="0"/>
              <w:bidi w:val="0"/>
              <w:jc w:val="center"/>
              <w:rPr>
                <w:rFonts w:hint="eastAsia" w:eastAsia="宋体"/>
                <w:color w:val="auto"/>
                <w:lang w:eastAsia="zh-CN"/>
              </w:rPr>
            </w:pPr>
            <w:r>
              <w:rPr>
                <w:color w:val="auto"/>
                <w:lang w:eastAsia="en-US"/>
              </w:rPr>
              <w:t>7.3（14.8℃</w:t>
            </w:r>
            <w:r>
              <w:rPr>
                <w:rFonts w:hint="eastAsia"/>
                <w:color w:val="auto"/>
                <w:lang w:eastAsia="zh-CN"/>
              </w:rPr>
              <w:t>）</w:t>
            </w:r>
          </w:p>
        </w:tc>
        <w:tc>
          <w:tcPr>
            <w:tcW w:w="1662" w:type="dxa"/>
            <w:vAlign w:val="center"/>
          </w:tcPr>
          <w:p w14:paraId="671F48CB">
            <w:pPr>
              <w:pStyle w:val="31"/>
              <w:widowControl w:val="0"/>
              <w:bidi w:val="0"/>
              <w:jc w:val="center"/>
              <w:rPr>
                <w:rFonts w:hint="eastAsia" w:eastAsia="宋体"/>
                <w:color w:val="auto"/>
                <w:lang w:eastAsia="zh-CN"/>
              </w:rPr>
            </w:pPr>
            <w:r>
              <w:rPr>
                <w:color w:val="auto"/>
                <w:lang w:eastAsia="en-US"/>
              </w:rPr>
              <w:t>7.2（15.5℃</w:t>
            </w:r>
            <w:r>
              <w:rPr>
                <w:rFonts w:hint="eastAsia"/>
                <w:color w:val="auto"/>
                <w:lang w:eastAsia="zh-CN"/>
              </w:rPr>
              <w:t>）</w:t>
            </w:r>
          </w:p>
        </w:tc>
        <w:tc>
          <w:tcPr>
            <w:tcW w:w="1618" w:type="dxa"/>
            <w:vAlign w:val="center"/>
          </w:tcPr>
          <w:p w14:paraId="69AD3D4C">
            <w:pPr>
              <w:pStyle w:val="31"/>
              <w:widowControl w:val="0"/>
              <w:bidi w:val="0"/>
              <w:jc w:val="center"/>
              <w:rPr>
                <w:rFonts w:hint="eastAsia" w:eastAsia="宋体"/>
                <w:color w:val="auto"/>
                <w:lang w:eastAsia="zh-CN"/>
              </w:rPr>
            </w:pPr>
            <w:r>
              <w:rPr>
                <w:color w:val="auto"/>
                <w:lang w:eastAsia="en-US"/>
              </w:rPr>
              <w:t>7.3（15.9℃</w:t>
            </w:r>
            <w:r>
              <w:rPr>
                <w:rFonts w:hint="eastAsia"/>
                <w:color w:val="auto"/>
                <w:lang w:eastAsia="zh-CN"/>
              </w:rPr>
              <w:t>）</w:t>
            </w:r>
          </w:p>
        </w:tc>
        <w:tc>
          <w:tcPr>
            <w:tcW w:w="1328" w:type="dxa"/>
            <w:vAlign w:val="center"/>
          </w:tcPr>
          <w:p w14:paraId="355D493A">
            <w:pPr>
              <w:pStyle w:val="31"/>
              <w:widowControl w:val="0"/>
              <w:bidi w:val="0"/>
              <w:jc w:val="center"/>
              <w:rPr>
                <w:color w:val="auto"/>
                <w:lang w:eastAsia="en-US"/>
              </w:rPr>
            </w:pPr>
            <w:r>
              <w:rPr>
                <w:color w:val="auto"/>
                <w:lang w:eastAsia="en-US"/>
              </w:rPr>
              <w:t>6~9</w:t>
            </w:r>
          </w:p>
        </w:tc>
        <w:tc>
          <w:tcPr>
            <w:tcW w:w="783" w:type="dxa"/>
            <w:vAlign w:val="center"/>
          </w:tcPr>
          <w:p w14:paraId="6C4CD070">
            <w:pPr>
              <w:pStyle w:val="31"/>
              <w:widowControl w:val="0"/>
              <w:bidi w:val="0"/>
              <w:jc w:val="center"/>
              <w:rPr>
                <w:color w:val="auto"/>
                <w:lang w:eastAsia="en-US"/>
              </w:rPr>
            </w:pPr>
            <w:r>
              <w:rPr>
                <w:color w:val="auto"/>
                <w:lang w:eastAsia="en-US"/>
              </w:rPr>
              <w:t>达标</w:t>
            </w:r>
          </w:p>
        </w:tc>
      </w:tr>
      <w:tr w14:paraId="4D018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5CFE666E">
            <w:pPr>
              <w:pStyle w:val="31"/>
              <w:widowControl w:val="0"/>
              <w:bidi w:val="0"/>
              <w:jc w:val="center"/>
              <w:rPr>
                <w:color w:val="auto"/>
                <w:lang w:eastAsia="en-US"/>
              </w:rPr>
            </w:pPr>
            <w:r>
              <w:rPr>
                <w:color w:val="auto"/>
                <w:lang w:eastAsia="en-US"/>
              </w:rPr>
              <w:t>氨氮（mg/L）</w:t>
            </w:r>
          </w:p>
        </w:tc>
        <w:tc>
          <w:tcPr>
            <w:tcW w:w="1661" w:type="dxa"/>
            <w:vAlign w:val="center"/>
          </w:tcPr>
          <w:p w14:paraId="21E83215">
            <w:pPr>
              <w:pStyle w:val="31"/>
              <w:widowControl w:val="0"/>
              <w:bidi w:val="0"/>
              <w:jc w:val="center"/>
              <w:rPr>
                <w:color w:val="auto"/>
                <w:lang w:eastAsia="en-US"/>
              </w:rPr>
            </w:pPr>
            <w:r>
              <w:rPr>
                <w:color w:val="auto"/>
                <w:lang w:eastAsia="en-US"/>
              </w:rPr>
              <w:t>0.070</w:t>
            </w:r>
          </w:p>
        </w:tc>
        <w:tc>
          <w:tcPr>
            <w:tcW w:w="1662" w:type="dxa"/>
            <w:vAlign w:val="center"/>
          </w:tcPr>
          <w:p w14:paraId="5BDFD226">
            <w:pPr>
              <w:pStyle w:val="31"/>
              <w:widowControl w:val="0"/>
              <w:bidi w:val="0"/>
              <w:jc w:val="center"/>
              <w:rPr>
                <w:color w:val="auto"/>
                <w:lang w:eastAsia="en-US"/>
              </w:rPr>
            </w:pPr>
            <w:r>
              <w:rPr>
                <w:color w:val="auto"/>
                <w:lang w:eastAsia="en-US"/>
              </w:rPr>
              <w:t>0.128</w:t>
            </w:r>
          </w:p>
        </w:tc>
        <w:tc>
          <w:tcPr>
            <w:tcW w:w="1618" w:type="dxa"/>
            <w:vAlign w:val="center"/>
          </w:tcPr>
          <w:p w14:paraId="6240A752">
            <w:pPr>
              <w:pStyle w:val="31"/>
              <w:widowControl w:val="0"/>
              <w:bidi w:val="0"/>
              <w:jc w:val="center"/>
              <w:rPr>
                <w:color w:val="auto"/>
                <w:lang w:eastAsia="en-US"/>
              </w:rPr>
            </w:pPr>
            <w:r>
              <w:rPr>
                <w:color w:val="auto"/>
                <w:lang w:eastAsia="en-US"/>
              </w:rPr>
              <w:t>0.218</w:t>
            </w:r>
          </w:p>
        </w:tc>
        <w:tc>
          <w:tcPr>
            <w:tcW w:w="1328" w:type="dxa"/>
            <w:vAlign w:val="center"/>
          </w:tcPr>
          <w:p w14:paraId="5890A652">
            <w:pPr>
              <w:pStyle w:val="31"/>
              <w:widowControl w:val="0"/>
              <w:bidi w:val="0"/>
              <w:jc w:val="center"/>
              <w:rPr>
                <w:color w:val="auto"/>
                <w:lang w:eastAsia="en-US"/>
              </w:rPr>
            </w:pPr>
            <w:r>
              <w:rPr>
                <w:color w:val="auto"/>
                <w:lang w:eastAsia="en-US"/>
              </w:rPr>
              <w:t>0.5</w:t>
            </w:r>
          </w:p>
        </w:tc>
        <w:tc>
          <w:tcPr>
            <w:tcW w:w="783" w:type="dxa"/>
            <w:vAlign w:val="center"/>
          </w:tcPr>
          <w:p w14:paraId="7E8A539A">
            <w:pPr>
              <w:pStyle w:val="31"/>
              <w:widowControl w:val="0"/>
              <w:bidi w:val="0"/>
              <w:jc w:val="center"/>
              <w:rPr>
                <w:color w:val="auto"/>
                <w:lang w:eastAsia="en-US"/>
              </w:rPr>
            </w:pPr>
            <w:r>
              <w:rPr>
                <w:color w:val="auto"/>
                <w:lang w:eastAsia="en-US"/>
              </w:rPr>
              <w:t>达标</w:t>
            </w:r>
          </w:p>
        </w:tc>
      </w:tr>
      <w:tr w14:paraId="63CEF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0A6F045F">
            <w:pPr>
              <w:pStyle w:val="31"/>
              <w:widowControl w:val="0"/>
              <w:bidi w:val="0"/>
              <w:jc w:val="center"/>
              <w:rPr>
                <w:color w:val="auto"/>
                <w:lang w:eastAsia="en-US"/>
              </w:rPr>
            </w:pPr>
            <w:r>
              <w:rPr>
                <w:color w:val="auto"/>
                <w:lang w:eastAsia="en-US"/>
              </w:rPr>
              <w:t>总磷（mg/L）</w:t>
            </w:r>
          </w:p>
        </w:tc>
        <w:tc>
          <w:tcPr>
            <w:tcW w:w="1661" w:type="dxa"/>
            <w:vAlign w:val="center"/>
          </w:tcPr>
          <w:p w14:paraId="4437BDAE">
            <w:pPr>
              <w:pStyle w:val="31"/>
              <w:widowControl w:val="0"/>
              <w:bidi w:val="0"/>
              <w:jc w:val="center"/>
              <w:rPr>
                <w:color w:val="auto"/>
                <w:lang w:eastAsia="en-US"/>
              </w:rPr>
            </w:pPr>
            <w:r>
              <w:rPr>
                <w:color w:val="auto"/>
                <w:lang w:eastAsia="en-US"/>
              </w:rPr>
              <w:t>0.06</w:t>
            </w:r>
          </w:p>
        </w:tc>
        <w:tc>
          <w:tcPr>
            <w:tcW w:w="1662" w:type="dxa"/>
            <w:vAlign w:val="center"/>
          </w:tcPr>
          <w:p w14:paraId="3E6287D6">
            <w:pPr>
              <w:pStyle w:val="31"/>
              <w:widowControl w:val="0"/>
              <w:bidi w:val="0"/>
              <w:jc w:val="center"/>
              <w:rPr>
                <w:color w:val="auto"/>
                <w:lang w:eastAsia="en-US"/>
              </w:rPr>
            </w:pPr>
            <w:r>
              <w:rPr>
                <w:color w:val="auto"/>
                <w:lang w:eastAsia="en-US"/>
              </w:rPr>
              <w:t>0.09</w:t>
            </w:r>
          </w:p>
        </w:tc>
        <w:tc>
          <w:tcPr>
            <w:tcW w:w="1618" w:type="dxa"/>
            <w:vAlign w:val="center"/>
          </w:tcPr>
          <w:p w14:paraId="61F250C4">
            <w:pPr>
              <w:pStyle w:val="31"/>
              <w:widowControl w:val="0"/>
              <w:bidi w:val="0"/>
              <w:jc w:val="center"/>
              <w:rPr>
                <w:color w:val="auto"/>
                <w:lang w:eastAsia="en-US"/>
              </w:rPr>
            </w:pPr>
            <w:r>
              <w:rPr>
                <w:color w:val="auto"/>
                <w:lang w:eastAsia="en-US"/>
              </w:rPr>
              <w:t>0.08</w:t>
            </w:r>
          </w:p>
        </w:tc>
        <w:tc>
          <w:tcPr>
            <w:tcW w:w="1328" w:type="dxa"/>
            <w:vAlign w:val="center"/>
          </w:tcPr>
          <w:p w14:paraId="60C9E21A">
            <w:pPr>
              <w:pStyle w:val="31"/>
              <w:widowControl w:val="0"/>
              <w:bidi w:val="0"/>
              <w:jc w:val="center"/>
              <w:rPr>
                <w:color w:val="auto"/>
                <w:lang w:eastAsia="en-US"/>
              </w:rPr>
            </w:pPr>
            <w:r>
              <w:rPr>
                <w:color w:val="auto"/>
                <w:lang w:eastAsia="en-US"/>
              </w:rPr>
              <w:t>0.1</w:t>
            </w:r>
          </w:p>
        </w:tc>
        <w:tc>
          <w:tcPr>
            <w:tcW w:w="783" w:type="dxa"/>
            <w:vAlign w:val="center"/>
          </w:tcPr>
          <w:p w14:paraId="65AED10A">
            <w:pPr>
              <w:pStyle w:val="31"/>
              <w:widowControl w:val="0"/>
              <w:bidi w:val="0"/>
              <w:jc w:val="center"/>
              <w:rPr>
                <w:color w:val="auto"/>
                <w:lang w:eastAsia="en-US"/>
              </w:rPr>
            </w:pPr>
            <w:r>
              <w:rPr>
                <w:color w:val="auto"/>
                <w:lang w:eastAsia="en-US"/>
              </w:rPr>
              <w:t>达标</w:t>
            </w:r>
          </w:p>
        </w:tc>
      </w:tr>
      <w:tr w14:paraId="16A16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4" w:hRule="atLeast"/>
          <w:jc w:val="center"/>
        </w:trPr>
        <w:tc>
          <w:tcPr>
            <w:tcW w:w="1564" w:type="dxa"/>
            <w:vAlign w:val="center"/>
          </w:tcPr>
          <w:p w14:paraId="77EDEEA9">
            <w:pPr>
              <w:pStyle w:val="31"/>
              <w:widowControl w:val="0"/>
              <w:bidi w:val="0"/>
              <w:jc w:val="center"/>
              <w:rPr>
                <w:color w:val="auto"/>
                <w:lang w:eastAsia="en-US"/>
              </w:rPr>
            </w:pPr>
            <w:r>
              <w:rPr>
                <w:color w:val="auto"/>
                <w:lang w:eastAsia="en-US"/>
              </w:rPr>
              <w:t>化学需氧量（mg/L）</w:t>
            </w:r>
          </w:p>
        </w:tc>
        <w:tc>
          <w:tcPr>
            <w:tcW w:w="1661" w:type="dxa"/>
            <w:vAlign w:val="center"/>
          </w:tcPr>
          <w:p w14:paraId="01A84016">
            <w:pPr>
              <w:pStyle w:val="31"/>
              <w:widowControl w:val="0"/>
              <w:bidi w:val="0"/>
              <w:jc w:val="center"/>
              <w:rPr>
                <w:color w:val="auto"/>
                <w:lang w:eastAsia="en-US"/>
              </w:rPr>
            </w:pPr>
            <w:r>
              <w:rPr>
                <w:color w:val="auto"/>
                <w:lang w:eastAsia="en-US"/>
              </w:rPr>
              <w:t>10</w:t>
            </w:r>
          </w:p>
        </w:tc>
        <w:tc>
          <w:tcPr>
            <w:tcW w:w="1662" w:type="dxa"/>
            <w:vAlign w:val="center"/>
          </w:tcPr>
          <w:p w14:paraId="63E8D18C">
            <w:pPr>
              <w:pStyle w:val="31"/>
              <w:widowControl w:val="0"/>
              <w:bidi w:val="0"/>
              <w:jc w:val="center"/>
              <w:rPr>
                <w:color w:val="auto"/>
                <w:lang w:eastAsia="en-US"/>
              </w:rPr>
            </w:pPr>
            <w:r>
              <w:rPr>
                <w:color w:val="auto"/>
                <w:lang w:eastAsia="en-US"/>
              </w:rPr>
              <w:t>12</w:t>
            </w:r>
          </w:p>
        </w:tc>
        <w:tc>
          <w:tcPr>
            <w:tcW w:w="1618" w:type="dxa"/>
            <w:vAlign w:val="center"/>
          </w:tcPr>
          <w:p w14:paraId="2D601999">
            <w:pPr>
              <w:pStyle w:val="31"/>
              <w:widowControl w:val="0"/>
              <w:bidi w:val="0"/>
              <w:jc w:val="center"/>
              <w:rPr>
                <w:color w:val="auto"/>
                <w:lang w:eastAsia="en-US"/>
              </w:rPr>
            </w:pPr>
            <w:r>
              <w:rPr>
                <w:color w:val="auto"/>
                <w:lang w:eastAsia="en-US"/>
              </w:rPr>
              <w:t>7</w:t>
            </w:r>
          </w:p>
        </w:tc>
        <w:tc>
          <w:tcPr>
            <w:tcW w:w="1328" w:type="dxa"/>
            <w:vAlign w:val="center"/>
          </w:tcPr>
          <w:p w14:paraId="458A194A">
            <w:pPr>
              <w:pStyle w:val="31"/>
              <w:widowControl w:val="0"/>
              <w:bidi w:val="0"/>
              <w:jc w:val="center"/>
              <w:rPr>
                <w:color w:val="auto"/>
                <w:lang w:eastAsia="en-US"/>
              </w:rPr>
            </w:pPr>
            <w:r>
              <w:rPr>
                <w:color w:val="auto"/>
                <w:lang w:eastAsia="en-US"/>
              </w:rPr>
              <w:t>15</w:t>
            </w:r>
          </w:p>
        </w:tc>
        <w:tc>
          <w:tcPr>
            <w:tcW w:w="783" w:type="dxa"/>
            <w:vAlign w:val="center"/>
          </w:tcPr>
          <w:p w14:paraId="362A2DDD">
            <w:pPr>
              <w:pStyle w:val="31"/>
              <w:widowControl w:val="0"/>
              <w:bidi w:val="0"/>
              <w:jc w:val="center"/>
              <w:rPr>
                <w:color w:val="auto"/>
                <w:lang w:eastAsia="en-US"/>
              </w:rPr>
            </w:pPr>
            <w:r>
              <w:rPr>
                <w:color w:val="auto"/>
                <w:lang w:eastAsia="en-US"/>
              </w:rPr>
              <w:t>达标</w:t>
            </w:r>
          </w:p>
        </w:tc>
      </w:tr>
      <w:tr w14:paraId="7701E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33D1208B">
            <w:pPr>
              <w:pStyle w:val="31"/>
              <w:widowControl w:val="0"/>
              <w:bidi w:val="0"/>
              <w:jc w:val="center"/>
              <w:rPr>
                <w:color w:val="auto"/>
                <w:lang w:eastAsia="en-US"/>
              </w:rPr>
            </w:pPr>
            <w:r>
              <w:rPr>
                <w:color w:val="auto"/>
                <w:lang w:eastAsia="en-US"/>
              </w:rPr>
              <w:t>五日生化需氧量（mg/L）</w:t>
            </w:r>
          </w:p>
        </w:tc>
        <w:tc>
          <w:tcPr>
            <w:tcW w:w="1661" w:type="dxa"/>
            <w:vAlign w:val="center"/>
          </w:tcPr>
          <w:p w14:paraId="508B3DB6">
            <w:pPr>
              <w:pStyle w:val="31"/>
              <w:widowControl w:val="0"/>
              <w:bidi w:val="0"/>
              <w:jc w:val="center"/>
              <w:rPr>
                <w:color w:val="auto"/>
                <w:lang w:eastAsia="en-US"/>
              </w:rPr>
            </w:pPr>
            <w:r>
              <w:rPr>
                <w:color w:val="auto"/>
                <w:lang w:eastAsia="en-US"/>
              </w:rPr>
              <w:t>2.1</w:t>
            </w:r>
          </w:p>
        </w:tc>
        <w:tc>
          <w:tcPr>
            <w:tcW w:w="1662" w:type="dxa"/>
            <w:vAlign w:val="center"/>
          </w:tcPr>
          <w:p w14:paraId="66B38171">
            <w:pPr>
              <w:pStyle w:val="31"/>
              <w:widowControl w:val="0"/>
              <w:bidi w:val="0"/>
              <w:jc w:val="center"/>
              <w:rPr>
                <w:color w:val="auto"/>
                <w:lang w:eastAsia="en-US"/>
              </w:rPr>
            </w:pPr>
            <w:r>
              <w:rPr>
                <w:color w:val="auto"/>
                <w:lang w:eastAsia="en-US"/>
              </w:rPr>
              <w:t>2.4</w:t>
            </w:r>
          </w:p>
        </w:tc>
        <w:tc>
          <w:tcPr>
            <w:tcW w:w="1618" w:type="dxa"/>
            <w:vAlign w:val="center"/>
          </w:tcPr>
          <w:p w14:paraId="727CBF9E">
            <w:pPr>
              <w:pStyle w:val="31"/>
              <w:widowControl w:val="0"/>
              <w:bidi w:val="0"/>
              <w:jc w:val="center"/>
              <w:rPr>
                <w:color w:val="auto"/>
                <w:lang w:eastAsia="en-US"/>
              </w:rPr>
            </w:pPr>
            <w:r>
              <w:rPr>
                <w:color w:val="auto"/>
                <w:lang w:eastAsia="en-US"/>
              </w:rPr>
              <w:t>1.9</w:t>
            </w:r>
          </w:p>
        </w:tc>
        <w:tc>
          <w:tcPr>
            <w:tcW w:w="1328" w:type="dxa"/>
            <w:vAlign w:val="center"/>
          </w:tcPr>
          <w:p w14:paraId="0E0A1A80">
            <w:pPr>
              <w:pStyle w:val="31"/>
              <w:widowControl w:val="0"/>
              <w:bidi w:val="0"/>
              <w:jc w:val="center"/>
              <w:rPr>
                <w:color w:val="auto"/>
                <w:lang w:eastAsia="en-US"/>
              </w:rPr>
            </w:pPr>
            <w:r>
              <w:rPr>
                <w:color w:val="auto"/>
                <w:lang w:eastAsia="en-US"/>
              </w:rPr>
              <w:t>3</w:t>
            </w:r>
          </w:p>
        </w:tc>
        <w:tc>
          <w:tcPr>
            <w:tcW w:w="783" w:type="dxa"/>
            <w:vAlign w:val="center"/>
          </w:tcPr>
          <w:p w14:paraId="2225AA6B">
            <w:pPr>
              <w:pStyle w:val="31"/>
              <w:widowControl w:val="0"/>
              <w:bidi w:val="0"/>
              <w:jc w:val="center"/>
              <w:rPr>
                <w:color w:val="auto"/>
                <w:lang w:eastAsia="en-US"/>
              </w:rPr>
            </w:pPr>
            <w:r>
              <w:rPr>
                <w:color w:val="auto"/>
                <w:lang w:eastAsia="en-US"/>
              </w:rPr>
              <w:t>达标</w:t>
            </w:r>
          </w:p>
        </w:tc>
      </w:tr>
      <w:tr w14:paraId="3A4DC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4FBB7D16">
            <w:pPr>
              <w:pStyle w:val="31"/>
              <w:widowControl w:val="0"/>
              <w:bidi w:val="0"/>
              <w:jc w:val="center"/>
              <w:rPr>
                <w:color w:val="auto"/>
                <w:lang w:eastAsia="en-US"/>
              </w:rPr>
            </w:pPr>
            <w:r>
              <w:rPr>
                <w:color w:val="auto"/>
                <w:lang w:eastAsia="en-US"/>
              </w:rPr>
              <w:t>石油类（mg/L）</w:t>
            </w:r>
          </w:p>
        </w:tc>
        <w:tc>
          <w:tcPr>
            <w:tcW w:w="1661" w:type="dxa"/>
            <w:vAlign w:val="center"/>
          </w:tcPr>
          <w:p w14:paraId="39EC2900">
            <w:pPr>
              <w:pStyle w:val="31"/>
              <w:widowControl w:val="0"/>
              <w:bidi w:val="0"/>
              <w:jc w:val="center"/>
              <w:rPr>
                <w:color w:val="auto"/>
                <w:lang w:eastAsia="en-US"/>
              </w:rPr>
            </w:pPr>
            <w:r>
              <w:rPr>
                <w:color w:val="auto"/>
                <w:lang w:eastAsia="en-US"/>
              </w:rPr>
              <w:t>ND</w:t>
            </w:r>
          </w:p>
        </w:tc>
        <w:tc>
          <w:tcPr>
            <w:tcW w:w="1662" w:type="dxa"/>
            <w:vAlign w:val="center"/>
          </w:tcPr>
          <w:p w14:paraId="3997FC6C">
            <w:pPr>
              <w:pStyle w:val="31"/>
              <w:widowControl w:val="0"/>
              <w:bidi w:val="0"/>
              <w:jc w:val="center"/>
              <w:rPr>
                <w:color w:val="auto"/>
                <w:lang w:eastAsia="en-US"/>
              </w:rPr>
            </w:pPr>
            <w:r>
              <w:rPr>
                <w:color w:val="auto"/>
                <w:lang w:eastAsia="en-US"/>
              </w:rPr>
              <w:t>ND</w:t>
            </w:r>
          </w:p>
        </w:tc>
        <w:tc>
          <w:tcPr>
            <w:tcW w:w="1618" w:type="dxa"/>
            <w:vAlign w:val="center"/>
          </w:tcPr>
          <w:p w14:paraId="25E147E6">
            <w:pPr>
              <w:pStyle w:val="31"/>
              <w:widowControl w:val="0"/>
              <w:bidi w:val="0"/>
              <w:jc w:val="center"/>
              <w:rPr>
                <w:color w:val="auto"/>
                <w:lang w:eastAsia="en-US"/>
              </w:rPr>
            </w:pPr>
            <w:r>
              <w:rPr>
                <w:color w:val="auto"/>
                <w:lang w:eastAsia="en-US"/>
              </w:rPr>
              <w:t>ND</w:t>
            </w:r>
          </w:p>
        </w:tc>
        <w:tc>
          <w:tcPr>
            <w:tcW w:w="1328" w:type="dxa"/>
            <w:vAlign w:val="center"/>
          </w:tcPr>
          <w:p w14:paraId="5C53F3A9">
            <w:pPr>
              <w:pStyle w:val="31"/>
              <w:widowControl w:val="0"/>
              <w:bidi w:val="0"/>
              <w:jc w:val="center"/>
              <w:rPr>
                <w:color w:val="auto"/>
                <w:lang w:eastAsia="en-US"/>
              </w:rPr>
            </w:pPr>
            <w:r>
              <w:rPr>
                <w:color w:val="auto"/>
                <w:lang w:eastAsia="en-US"/>
              </w:rPr>
              <w:t>0.05</w:t>
            </w:r>
          </w:p>
        </w:tc>
        <w:tc>
          <w:tcPr>
            <w:tcW w:w="783" w:type="dxa"/>
            <w:vAlign w:val="center"/>
          </w:tcPr>
          <w:p w14:paraId="65A976EA">
            <w:pPr>
              <w:pStyle w:val="31"/>
              <w:widowControl w:val="0"/>
              <w:bidi w:val="0"/>
              <w:jc w:val="center"/>
              <w:rPr>
                <w:color w:val="auto"/>
                <w:lang w:eastAsia="en-US"/>
              </w:rPr>
            </w:pPr>
            <w:r>
              <w:rPr>
                <w:color w:val="auto"/>
                <w:lang w:eastAsia="en-US"/>
              </w:rPr>
              <w:t>达标</w:t>
            </w:r>
          </w:p>
        </w:tc>
      </w:tr>
      <w:tr w14:paraId="09789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8616" w:type="dxa"/>
            <w:gridSpan w:val="6"/>
            <w:vAlign w:val="center"/>
          </w:tcPr>
          <w:p w14:paraId="6E53B83D">
            <w:pPr>
              <w:pStyle w:val="31"/>
              <w:widowControl w:val="0"/>
              <w:bidi w:val="0"/>
              <w:jc w:val="center"/>
              <w:rPr>
                <w:color w:val="auto"/>
                <w:lang w:eastAsia="en-US"/>
              </w:rPr>
            </w:pPr>
            <w:r>
              <w:rPr>
                <w:color w:val="auto"/>
                <w:lang w:eastAsia="en-US"/>
              </w:rPr>
              <w:t>采样时间：2023.07.31</w:t>
            </w:r>
          </w:p>
        </w:tc>
      </w:tr>
      <w:tr w14:paraId="79BE1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7CC3892E">
            <w:pPr>
              <w:pStyle w:val="31"/>
              <w:widowControl w:val="0"/>
              <w:bidi w:val="0"/>
              <w:jc w:val="center"/>
              <w:rPr>
                <w:color w:val="auto"/>
                <w:lang w:eastAsia="en-US"/>
              </w:rPr>
            </w:pPr>
            <w:r>
              <w:rPr>
                <w:color w:val="auto"/>
                <w:lang w:eastAsia="en-US"/>
              </w:rPr>
              <w:t>pH（无量纲）</w:t>
            </w:r>
          </w:p>
        </w:tc>
        <w:tc>
          <w:tcPr>
            <w:tcW w:w="1661" w:type="dxa"/>
            <w:vAlign w:val="center"/>
          </w:tcPr>
          <w:p w14:paraId="08286806">
            <w:pPr>
              <w:pStyle w:val="31"/>
              <w:widowControl w:val="0"/>
              <w:bidi w:val="0"/>
              <w:jc w:val="center"/>
              <w:rPr>
                <w:rFonts w:hint="eastAsia" w:eastAsia="宋体"/>
                <w:color w:val="auto"/>
                <w:lang w:eastAsia="zh-CN"/>
              </w:rPr>
            </w:pPr>
            <w:r>
              <w:rPr>
                <w:color w:val="auto"/>
                <w:lang w:eastAsia="en-US"/>
              </w:rPr>
              <w:t>7.4（17.8℃</w:t>
            </w:r>
            <w:r>
              <w:rPr>
                <w:rFonts w:hint="eastAsia"/>
                <w:color w:val="auto"/>
                <w:lang w:eastAsia="zh-CN"/>
              </w:rPr>
              <w:t>）</w:t>
            </w:r>
          </w:p>
        </w:tc>
        <w:tc>
          <w:tcPr>
            <w:tcW w:w="1662" w:type="dxa"/>
            <w:vAlign w:val="center"/>
          </w:tcPr>
          <w:p w14:paraId="61056E0C">
            <w:pPr>
              <w:pStyle w:val="31"/>
              <w:widowControl w:val="0"/>
              <w:bidi w:val="0"/>
              <w:jc w:val="center"/>
              <w:rPr>
                <w:rFonts w:hint="eastAsia" w:eastAsia="宋体"/>
                <w:color w:val="auto"/>
                <w:lang w:eastAsia="zh-CN"/>
              </w:rPr>
            </w:pPr>
            <w:r>
              <w:rPr>
                <w:color w:val="auto"/>
                <w:lang w:eastAsia="en-US"/>
              </w:rPr>
              <w:t>7.3（16.5℃</w:t>
            </w:r>
            <w:r>
              <w:rPr>
                <w:rFonts w:hint="eastAsia"/>
                <w:color w:val="auto"/>
                <w:lang w:eastAsia="zh-CN"/>
              </w:rPr>
              <w:t>）</w:t>
            </w:r>
          </w:p>
        </w:tc>
        <w:tc>
          <w:tcPr>
            <w:tcW w:w="1618" w:type="dxa"/>
            <w:vAlign w:val="center"/>
          </w:tcPr>
          <w:p w14:paraId="7184CC09">
            <w:pPr>
              <w:pStyle w:val="31"/>
              <w:widowControl w:val="0"/>
              <w:bidi w:val="0"/>
              <w:jc w:val="center"/>
              <w:rPr>
                <w:rFonts w:hint="eastAsia" w:eastAsia="宋体"/>
                <w:color w:val="auto"/>
                <w:lang w:eastAsia="zh-CN"/>
              </w:rPr>
            </w:pPr>
            <w:r>
              <w:rPr>
                <w:color w:val="auto"/>
                <w:lang w:eastAsia="en-US"/>
              </w:rPr>
              <w:t>7.3（16.9℃</w:t>
            </w:r>
            <w:r>
              <w:rPr>
                <w:rFonts w:hint="eastAsia"/>
                <w:color w:val="auto"/>
                <w:lang w:eastAsia="zh-CN"/>
              </w:rPr>
              <w:t>）</w:t>
            </w:r>
          </w:p>
        </w:tc>
        <w:tc>
          <w:tcPr>
            <w:tcW w:w="1328" w:type="dxa"/>
            <w:vAlign w:val="center"/>
          </w:tcPr>
          <w:p w14:paraId="54EA61BB">
            <w:pPr>
              <w:pStyle w:val="31"/>
              <w:widowControl w:val="0"/>
              <w:bidi w:val="0"/>
              <w:jc w:val="center"/>
              <w:rPr>
                <w:color w:val="auto"/>
                <w:lang w:eastAsia="en-US"/>
              </w:rPr>
            </w:pPr>
            <w:r>
              <w:rPr>
                <w:color w:val="auto"/>
                <w:lang w:eastAsia="en-US"/>
              </w:rPr>
              <w:t>6~9</w:t>
            </w:r>
          </w:p>
        </w:tc>
        <w:tc>
          <w:tcPr>
            <w:tcW w:w="783" w:type="dxa"/>
            <w:vAlign w:val="center"/>
          </w:tcPr>
          <w:p w14:paraId="41F37067">
            <w:pPr>
              <w:pStyle w:val="31"/>
              <w:widowControl w:val="0"/>
              <w:bidi w:val="0"/>
              <w:jc w:val="center"/>
              <w:rPr>
                <w:color w:val="auto"/>
                <w:lang w:eastAsia="en-US"/>
              </w:rPr>
            </w:pPr>
            <w:r>
              <w:rPr>
                <w:color w:val="auto"/>
                <w:lang w:eastAsia="en-US"/>
              </w:rPr>
              <w:t>达标</w:t>
            </w:r>
          </w:p>
        </w:tc>
      </w:tr>
      <w:tr w14:paraId="1F8E7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42435C2C">
            <w:pPr>
              <w:pStyle w:val="31"/>
              <w:widowControl w:val="0"/>
              <w:bidi w:val="0"/>
              <w:jc w:val="center"/>
              <w:rPr>
                <w:color w:val="auto"/>
                <w:lang w:eastAsia="en-US"/>
              </w:rPr>
            </w:pPr>
            <w:r>
              <w:rPr>
                <w:color w:val="auto"/>
                <w:lang w:eastAsia="en-US"/>
              </w:rPr>
              <w:t>氨氮（mg/L）</w:t>
            </w:r>
          </w:p>
        </w:tc>
        <w:tc>
          <w:tcPr>
            <w:tcW w:w="1661" w:type="dxa"/>
            <w:vAlign w:val="center"/>
          </w:tcPr>
          <w:p w14:paraId="005B37F6">
            <w:pPr>
              <w:pStyle w:val="31"/>
              <w:widowControl w:val="0"/>
              <w:bidi w:val="0"/>
              <w:jc w:val="center"/>
              <w:rPr>
                <w:color w:val="auto"/>
                <w:lang w:eastAsia="en-US"/>
              </w:rPr>
            </w:pPr>
            <w:r>
              <w:rPr>
                <w:color w:val="auto"/>
                <w:lang w:eastAsia="en-US"/>
              </w:rPr>
              <w:t>0.082</w:t>
            </w:r>
          </w:p>
        </w:tc>
        <w:tc>
          <w:tcPr>
            <w:tcW w:w="1662" w:type="dxa"/>
            <w:vAlign w:val="center"/>
          </w:tcPr>
          <w:p w14:paraId="00906A88">
            <w:pPr>
              <w:pStyle w:val="31"/>
              <w:widowControl w:val="0"/>
              <w:bidi w:val="0"/>
              <w:jc w:val="center"/>
              <w:rPr>
                <w:color w:val="auto"/>
                <w:lang w:eastAsia="en-US"/>
              </w:rPr>
            </w:pPr>
            <w:r>
              <w:rPr>
                <w:color w:val="auto"/>
                <w:lang w:eastAsia="en-US"/>
              </w:rPr>
              <w:t>0.134</w:t>
            </w:r>
          </w:p>
        </w:tc>
        <w:tc>
          <w:tcPr>
            <w:tcW w:w="1618" w:type="dxa"/>
            <w:vAlign w:val="center"/>
          </w:tcPr>
          <w:p w14:paraId="43B2E3F6">
            <w:pPr>
              <w:pStyle w:val="31"/>
              <w:widowControl w:val="0"/>
              <w:bidi w:val="0"/>
              <w:jc w:val="center"/>
              <w:rPr>
                <w:color w:val="auto"/>
                <w:lang w:eastAsia="en-US"/>
              </w:rPr>
            </w:pPr>
            <w:r>
              <w:rPr>
                <w:color w:val="auto"/>
                <w:lang w:eastAsia="en-US"/>
              </w:rPr>
              <w:t>0.224</w:t>
            </w:r>
          </w:p>
        </w:tc>
        <w:tc>
          <w:tcPr>
            <w:tcW w:w="1328" w:type="dxa"/>
            <w:vAlign w:val="center"/>
          </w:tcPr>
          <w:p w14:paraId="27D90CDC">
            <w:pPr>
              <w:pStyle w:val="31"/>
              <w:widowControl w:val="0"/>
              <w:bidi w:val="0"/>
              <w:jc w:val="center"/>
              <w:rPr>
                <w:color w:val="auto"/>
                <w:lang w:eastAsia="en-US"/>
              </w:rPr>
            </w:pPr>
            <w:r>
              <w:rPr>
                <w:color w:val="auto"/>
                <w:lang w:eastAsia="en-US"/>
              </w:rPr>
              <w:t>0.5</w:t>
            </w:r>
          </w:p>
        </w:tc>
        <w:tc>
          <w:tcPr>
            <w:tcW w:w="783" w:type="dxa"/>
            <w:vAlign w:val="center"/>
          </w:tcPr>
          <w:p w14:paraId="3EB77A9F">
            <w:pPr>
              <w:pStyle w:val="31"/>
              <w:widowControl w:val="0"/>
              <w:bidi w:val="0"/>
              <w:jc w:val="center"/>
              <w:rPr>
                <w:color w:val="auto"/>
                <w:lang w:eastAsia="en-US"/>
              </w:rPr>
            </w:pPr>
            <w:r>
              <w:rPr>
                <w:color w:val="auto"/>
                <w:lang w:eastAsia="en-US"/>
              </w:rPr>
              <w:t>达标</w:t>
            </w:r>
          </w:p>
        </w:tc>
      </w:tr>
      <w:tr w14:paraId="496CC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6115E18E">
            <w:pPr>
              <w:pStyle w:val="31"/>
              <w:widowControl w:val="0"/>
              <w:bidi w:val="0"/>
              <w:jc w:val="center"/>
              <w:rPr>
                <w:color w:val="auto"/>
                <w:lang w:eastAsia="en-US"/>
              </w:rPr>
            </w:pPr>
            <w:r>
              <w:rPr>
                <w:color w:val="auto"/>
                <w:lang w:eastAsia="en-US"/>
              </w:rPr>
              <w:t>总磷（mg/L）</w:t>
            </w:r>
          </w:p>
        </w:tc>
        <w:tc>
          <w:tcPr>
            <w:tcW w:w="1661" w:type="dxa"/>
            <w:vAlign w:val="center"/>
          </w:tcPr>
          <w:p w14:paraId="23C9B4C6">
            <w:pPr>
              <w:pStyle w:val="31"/>
              <w:widowControl w:val="0"/>
              <w:bidi w:val="0"/>
              <w:jc w:val="center"/>
              <w:rPr>
                <w:color w:val="auto"/>
                <w:lang w:eastAsia="en-US"/>
              </w:rPr>
            </w:pPr>
            <w:r>
              <w:rPr>
                <w:color w:val="auto"/>
                <w:lang w:eastAsia="en-US"/>
              </w:rPr>
              <w:t>0.07</w:t>
            </w:r>
          </w:p>
        </w:tc>
        <w:tc>
          <w:tcPr>
            <w:tcW w:w="1662" w:type="dxa"/>
            <w:vAlign w:val="center"/>
          </w:tcPr>
          <w:p w14:paraId="55DF25A2">
            <w:pPr>
              <w:pStyle w:val="31"/>
              <w:widowControl w:val="0"/>
              <w:bidi w:val="0"/>
              <w:jc w:val="center"/>
              <w:rPr>
                <w:color w:val="auto"/>
                <w:lang w:eastAsia="en-US"/>
              </w:rPr>
            </w:pPr>
            <w:r>
              <w:rPr>
                <w:color w:val="auto"/>
                <w:lang w:eastAsia="en-US"/>
              </w:rPr>
              <w:t>0.09</w:t>
            </w:r>
          </w:p>
        </w:tc>
        <w:tc>
          <w:tcPr>
            <w:tcW w:w="1618" w:type="dxa"/>
            <w:vAlign w:val="center"/>
          </w:tcPr>
          <w:p w14:paraId="604A0926">
            <w:pPr>
              <w:pStyle w:val="31"/>
              <w:widowControl w:val="0"/>
              <w:bidi w:val="0"/>
              <w:jc w:val="center"/>
              <w:rPr>
                <w:color w:val="auto"/>
                <w:lang w:eastAsia="en-US"/>
              </w:rPr>
            </w:pPr>
            <w:r>
              <w:rPr>
                <w:color w:val="auto"/>
                <w:lang w:eastAsia="en-US"/>
              </w:rPr>
              <w:t>0.08</w:t>
            </w:r>
          </w:p>
        </w:tc>
        <w:tc>
          <w:tcPr>
            <w:tcW w:w="1328" w:type="dxa"/>
            <w:vAlign w:val="center"/>
          </w:tcPr>
          <w:p w14:paraId="04FED177">
            <w:pPr>
              <w:pStyle w:val="31"/>
              <w:widowControl w:val="0"/>
              <w:bidi w:val="0"/>
              <w:jc w:val="center"/>
              <w:rPr>
                <w:color w:val="auto"/>
                <w:lang w:eastAsia="en-US"/>
              </w:rPr>
            </w:pPr>
            <w:r>
              <w:rPr>
                <w:color w:val="auto"/>
                <w:lang w:eastAsia="en-US"/>
              </w:rPr>
              <w:t>0.1</w:t>
            </w:r>
          </w:p>
        </w:tc>
        <w:tc>
          <w:tcPr>
            <w:tcW w:w="783" w:type="dxa"/>
            <w:vAlign w:val="center"/>
          </w:tcPr>
          <w:p w14:paraId="54356733">
            <w:pPr>
              <w:pStyle w:val="31"/>
              <w:widowControl w:val="0"/>
              <w:bidi w:val="0"/>
              <w:jc w:val="center"/>
              <w:rPr>
                <w:color w:val="auto"/>
                <w:lang w:eastAsia="en-US"/>
              </w:rPr>
            </w:pPr>
            <w:r>
              <w:rPr>
                <w:color w:val="auto"/>
                <w:lang w:eastAsia="en-US"/>
              </w:rPr>
              <w:t>达标</w:t>
            </w:r>
          </w:p>
        </w:tc>
      </w:tr>
      <w:tr w14:paraId="32B06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37350A47">
            <w:pPr>
              <w:pStyle w:val="31"/>
              <w:widowControl w:val="0"/>
              <w:bidi w:val="0"/>
              <w:jc w:val="center"/>
              <w:rPr>
                <w:color w:val="auto"/>
                <w:lang w:eastAsia="en-US"/>
              </w:rPr>
            </w:pPr>
            <w:r>
              <w:rPr>
                <w:color w:val="auto"/>
                <w:lang w:eastAsia="en-US"/>
              </w:rPr>
              <w:t>化学需氧量（mg/L）</w:t>
            </w:r>
          </w:p>
        </w:tc>
        <w:tc>
          <w:tcPr>
            <w:tcW w:w="1661" w:type="dxa"/>
            <w:vAlign w:val="center"/>
          </w:tcPr>
          <w:p w14:paraId="09940303">
            <w:pPr>
              <w:pStyle w:val="31"/>
              <w:widowControl w:val="0"/>
              <w:bidi w:val="0"/>
              <w:jc w:val="center"/>
              <w:rPr>
                <w:color w:val="auto"/>
                <w:lang w:eastAsia="en-US"/>
              </w:rPr>
            </w:pPr>
            <w:r>
              <w:rPr>
                <w:color w:val="auto"/>
                <w:lang w:eastAsia="en-US"/>
              </w:rPr>
              <w:t>11</w:t>
            </w:r>
          </w:p>
        </w:tc>
        <w:tc>
          <w:tcPr>
            <w:tcW w:w="1662" w:type="dxa"/>
            <w:vAlign w:val="center"/>
          </w:tcPr>
          <w:p w14:paraId="6648C0AC">
            <w:pPr>
              <w:pStyle w:val="31"/>
              <w:widowControl w:val="0"/>
              <w:bidi w:val="0"/>
              <w:jc w:val="center"/>
              <w:rPr>
                <w:color w:val="auto"/>
                <w:lang w:eastAsia="en-US"/>
              </w:rPr>
            </w:pPr>
            <w:r>
              <w:rPr>
                <w:color w:val="auto"/>
                <w:lang w:eastAsia="en-US"/>
              </w:rPr>
              <w:t>8</w:t>
            </w:r>
          </w:p>
        </w:tc>
        <w:tc>
          <w:tcPr>
            <w:tcW w:w="1618" w:type="dxa"/>
            <w:vAlign w:val="center"/>
          </w:tcPr>
          <w:p w14:paraId="13E35CA0">
            <w:pPr>
              <w:pStyle w:val="31"/>
              <w:widowControl w:val="0"/>
              <w:bidi w:val="0"/>
              <w:jc w:val="center"/>
              <w:rPr>
                <w:color w:val="auto"/>
                <w:lang w:eastAsia="en-US"/>
              </w:rPr>
            </w:pPr>
            <w:r>
              <w:rPr>
                <w:color w:val="auto"/>
                <w:lang w:eastAsia="en-US"/>
              </w:rPr>
              <w:t>14</w:t>
            </w:r>
          </w:p>
        </w:tc>
        <w:tc>
          <w:tcPr>
            <w:tcW w:w="1328" w:type="dxa"/>
            <w:vAlign w:val="center"/>
          </w:tcPr>
          <w:p w14:paraId="0B6B9B3C">
            <w:pPr>
              <w:pStyle w:val="31"/>
              <w:widowControl w:val="0"/>
              <w:bidi w:val="0"/>
              <w:jc w:val="center"/>
              <w:rPr>
                <w:color w:val="auto"/>
                <w:lang w:eastAsia="en-US"/>
              </w:rPr>
            </w:pPr>
            <w:r>
              <w:rPr>
                <w:color w:val="auto"/>
                <w:lang w:eastAsia="en-US"/>
              </w:rPr>
              <w:t>15</w:t>
            </w:r>
          </w:p>
        </w:tc>
        <w:tc>
          <w:tcPr>
            <w:tcW w:w="783" w:type="dxa"/>
            <w:vAlign w:val="center"/>
          </w:tcPr>
          <w:p w14:paraId="4706E632">
            <w:pPr>
              <w:pStyle w:val="31"/>
              <w:widowControl w:val="0"/>
              <w:bidi w:val="0"/>
              <w:jc w:val="center"/>
              <w:rPr>
                <w:color w:val="auto"/>
                <w:lang w:eastAsia="en-US"/>
              </w:rPr>
            </w:pPr>
            <w:r>
              <w:rPr>
                <w:color w:val="auto"/>
                <w:lang w:eastAsia="en-US"/>
              </w:rPr>
              <w:t>达标</w:t>
            </w:r>
          </w:p>
        </w:tc>
      </w:tr>
      <w:tr w14:paraId="6C281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64B5804F">
            <w:pPr>
              <w:pStyle w:val="31"/>
              <w:widowControl w:val="0"/>
              <w:bidi w:val="0"/>
              <w:jc w:val="center"/>
              <w:rPr>
                <w:color w:val="auto"/>
                <w:lang w:eastAsia="en-US"/>
              </w:rPr>
            </w:pPr>
            <w:r>
              <w:rPr>
                <w:color w:val="auto"/>
                <w:lang w:eastAsia="en-US"/>
              </w:rPr>
              <w:t>五日生化需氧量（mg/L）</w:t>
            </w:r>
          </w:p>
        </w:tc>
        <w:tc>
          <w:tcPr>
            <w:tcW w:w="1661" w:type="dxa"/>
            <w:vAlign w:val="center"/>
          </w:tcPr>
          <w:p w14:paraId="1DA58722">
            <w:pPr>
              <w:pStyle w:val="31"/>
              <w:widowControl w:val="0"/>
              <w:bidi w:val="0"/>
              <w:jc w:val="center"/>
              <w:rPr>
                <w:color w:val="auto"/>
                <w:lang w:eastAsia="en-US"/>
              </w:rPr>
            </w:pPr>
            <w:r>
              <w:rPr>
                <w:color w:val="auto"/>
                <w:lang w:eastAsia="en-US"/>
              </w:rPr>
              <w:t>2.4</w:t>
            </w:r>
          </w:p>
        </w:tc>
        <w:tc>
          <w:tcPr>
            <w:tcW w:w="1662" w:type="dxa"/>
            <w:vAlign w:val="center"/>
          </w:tcPr>
          <w:p w14:paraId="088FC389">
            <w:pPr>
              <w:pStyle w:val="31"/>
              <w:widowControl w:val="0"/>
              <w:bidi w:val="0"/>
              <w:jc w:val="center"/>
              <w:rPr>
                <w:color w:val="auto"/>
                <w:lang w:eastAsia="en-US"/>
              </w:rPr>
            </w:pPr>
            <w:r>
              <w:rPr>
                <w:color w:val="auto"/>
                <w:lang w:eastAsia="en-US"/>
              </w:rPr>
              <w:t>2.1</w:t>
            </w:r>
          </w:p>
        </w:tc>
        <w:tc>
          <w:tcPr>
            <w:tcW w:w="1618" w:type="dxa"/>
            <w:vAlign w:val="center"/>
          </w:tcPr>
          <w:p w14:paraId="22B0C60E">
            <w:pPr>
              <w:pStyle w:val="31"/>
              <w:widowControl w:val="0"/>
              <w:bidi w:val="0"/>
              <w:jc w:val="center"/>
              <w:rPr>
                <w:color w:val="auto"/>
                <w:lang w:eastAsia="en-US"/>
              </w:rPr>
            </w:pPr>
            <w:r>
              <w:rPr>
                <w:color w:val="auto"/>
                <w:lang w:eastAsia="en-US"/>
              </w:rPr>
              <w:t>2.8</w:t>
            </w:r>
          </w:p>
        </w:tc>
        <w:tc>
          <w:tcPr>
            <w:tcW w:w="1328" w:type="dxa"/>
            <w:vAlign w:val="center"/>
          </w:tcPr>
          <w:p w14:paraId="461E9A34">
            <w:pPr>
              <w:pStyle w:val="31"/>
              <w:widowControl w:val="0"/>
              <w:bidi w:val="0"/>
              <w:jc w:val="center"/>
              <w:rPr>
                <w:color w:val="auto"/>
                <w:lang w:eastAsia="en-US"/>
              </w:rPr>
            </w:pPr>
            <w:r>
              <w:rPr>
                <w:color w:val="auto"/>
                <w:lang w:eastAsia="en-US"/>
              </w:rPr>
              <w:t>3</w:t>
            </w:r>
          </w:p>
        </w:tc>
        <w:tc>
          <w:tcPr>
            <w:tcW w:w="783" w:type="dxa"/>
            <w:vAlign w:val="center"/>
          </w:tcPr>
          <w:p w14:paraId="5862742F">
            <w:pPr>
              <w:pStyle w:val="31"/>
              <w:widowControl w:val="0"/>
              <w:bidi w:val="0"/>
              <w:jc w:val="center"/>
              <w:rPr>
                <w:color w:val="auto"/>
                <w:lang w:eastAsia="en-US"/>
              </w:rPr>
            </w:pPr>
            <w:r>
              <w:rPr>
                <w:color w:val="auto"/>
                <w:lang w:eastAsia="en-US"/>
              </w:rPr>
              <w:t>达标</w:t>
            </w:r>
          </w:p>
        </w:tc>
      </w:tr>
      <w:tr w14:paraId="0662F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6E212579">
            <w:pPr>
              <w:pStyle w:val="31"/>
              <w:widowControl w:val="0"/>
              <w:bidi w:val="0"/>
              <w:jc w:val="center"/>
              <w:rPr>
                <w:color w:val="auto"/>
                <w:lang w:eastAsia="en-US"/>
              </w:rPr>
            </w:pPr>
            <w:r>
              <w:rPr>
                <w:color w:val="auto"/>
                <w:lang w:eastAsia="en-US"/>
              </w:rPr>
              <w:t>石油类（mg/L）</w:t>
            </w:r>
          </w:p>
        </w:tc>
        <w:tc>
          <w:tcPr>
            <w:tcW w:w="1661" w:type="dxa"/>
            <w:vAlign w:val="center"/>
          </w:tcPr>
          <w:p w14:paraId="51176B90">
            <w:pPr>
              <w:pStyle w:val="31"/>
              <w:widowControl w:val="0"/>
              <w:bidi w:val="0"/>
              <w:jc w:val="center"/>
              <w:rPr>
                <w:color w:val="auto"/>
                <w:lang w:eastAsia="en-US"/>
              </w:rPr>
            </w:pPr>
            <w:r>
              <w:rPr>
                <w:color w:val="auto"/>
                <w:lang w:eastAsia="en-US"/>
              </w:rPr>
              <w:t>ND</w:t>
            </w:r>
          </w:p>
        </w:tc>
        <w:tc>
          <w:tcPr>
            <w:tcW w:w="1662" w:type="dxa"/>
            <w:vAlign w:val="center"/>
          </w:tcPr>
          <w:p w14:paraId="3E317C80">
            <w:pPr>
              <w:pStyle w:val="31"/>
              <w:widowControl w:val="0"/>
              <w:bidi w:val="0"/>
              <w:jc w:val="center"/>
              <w:rPr>
                <w:color w:val="auto"/>
                <w:lang w:eastAsia="en-US"/>
              </w:rPr>
            </w:pPr>
            <w:r>
              <w:rPr>
                <w:color w:val="auto"/>
                <w:lang w:eastAsia="en-US"/>
              </w:rPr>
              <w:t>ND</w:t>
            </w:r>
          </w:p>
        </w:tc>
        <w:tc>
          <w:tcPr>
            <w:tcW w:w="1618" w:type="dxa"/>
            <w:vAlign w:val="center"/>
          </w:tcPr>
          <w:p w14:paraId="1E3B3ABE">
            <w:pPr>
              <w:pStyle w:val="31"/>
              <w:widowControl w:val="0"/>
              <w:bidi w:val="0"/>
              <w:jc w:val="center"/>
              <w:rPr>
                <w:color w:val="auto"/>
                <w:lang w:eastAsia="en-US"/>
              </w:rPr>
            </w:pPr>
            <w:r>
              <w:rPr>
                <w:color w:val="auto"/>
                <w:lang w:eastAsia="en-US"/>
              </w:rPr>
              <w:t>ND</w:t>
            </w:r>
          </w:p>
        </w:tc>
        <w:tc>
          <w:tcPr>
            <w:tcW w:w="1328" w:type="dxa"/>
            <w:vAlign w:val="center"/>
          </w:tcPr>
          <w:p w14:paraId="1CED9C68">
            <w:pPr>
              <w:pStyle w:val="31"/>
              <w:widowControl w:val="0"/>
              <w:bidi w:val="0"/>
              <w:jc w:val="center"/>
              <w:rPr>
                <w:color w:val="auto"/>
                <w:lang w:eastAsia="en-US"/>
              </w:rPr>
            </w:pPr>
            <w:r>
              <w:rPr>
                <w:color w:val="auto"/>
                <w:lang w:eastAsia="en-US"/>
              </w:rPr>
              <w:t>0.05</w:t>
            </w:r>
          </w:p>
        </w:tc>
        <w:tc>
          <w:tcPr>
            <w:tcW w:w="783" w:type="dxa"/>
            <w:vAlign w:val="center"/>
          </w:tcPr>
          <w:p w14:paraId="79C75E4C">
            <w:pPr>
              <w:pStyle w:val="31"/>
              <w:widowControl w:val="0"/>
              <w:bidi w:val="0"/>
              <w:jc w:val="center"/>
              <w:rPr>
                <w:color w:val="auto"/>
                <w:lang w:eastAsia="en-US"/>
              </w:rPr>
            </w:pPr>
            <w:r>
              <w:rPr>
                <w:color w:val="auto"/>
                <w:lang w:eastAsia="en-US"/>
              </w:rPr>
              <w:t>达标</w:t>
            </w:r>
          </w:p>
        </w:tc>
      </w:tr>
      <w:tr w14:paraId="2ACC60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564" w:type="dxa"/>
            <w:vAlign w:val="center"/>
          </w:tcPr>
          <w:p w14:paraId="1DD3491C">
            <w:pPr>
              <w:pStyle w:val="31"/>
              <w:widowControl w:val="0"/>
              <w:bidi w:val="0"/>
              <w:jc w:val="center"/>
              <w:rPr>
                <w:color w:val="auto"/>
                <w:lang w:eastAsia="en-US"/>
              </w:rPr>
            </w:pPr>
            <w:r>
              <w:rPr>
                <w:color w:val="auto"/>
                <w:lang w:eastAsia="en-US"/>
              </w:rPr>
              <w:t>备注</w:t>
            </w:r>
          </w:p>
        </w:tc>
        <w:tc>
          <w:tcPr>
            <w:tcW w:w="7052" w:type="dxa"/>
            <w:gridSpan w:val="5"/>
            <w:vAlign w:val="center"/>
          </w:tcPr>
          <w:p w14:paraId="3225AF99">
            <w:pPr>
              <w:pStyle w:val="31"/>
              <w:widowControl w:val="0"/>
              <w:bidi w:val="0"/>
              <w:jc w:val="center"/>
              <w:rPr>
                <w:color w:val="auto"/>
                <w:lang w:eastAsia="en-US"/>
              </w:rPr>
            </w:pPr>
            <w:r>
              <w:rPr>
                <w:color w:val="auto"/>
                <w:lang w:eastAsia="en-US"/>
              </w:rPr>
              <w:t>ND表示检测结果低于方法检出限。</w:t>
            </w:r>
          </w:p>
        </w:tc>
      </w:tr>
    </w:tbl>
    <w:p w14:paraId="5BD3227A">
      <w:pPr>
        <w:spacing w:before="125" w:line="361" w:lineRule="auto"/>
        <w:ind w:left="34" w:right="11" w:firstLine="480"/>
        <w:rPr>
          <w:rFonts w:ascii="宋体" w:hAnsi="宋体" w:eastAsia="宋体" w:cs="宋体"/>
          <w:color w:val="auto"/>
          <w:sz w:val="24"/>
          <w:szCs w:val="24"/>
        </w:rPr>
      </w:pPr>
      <w:r>
        <w:rPr>
          <w:rFonts w:ascii="宋体" w:hAnsi="宋体" w:eastAsia="宋体" w:cs="宋体"/>
          <w:color w:val="auto"/>
          <w:spacing w:val="-3"/>
          <w:sz w:val="24"/>
          <w:szCs w:val="24"/>
        </w:rPr>
        <w:t>监测结果表明：本次监测的各监测点位、监测指标均符合《地表水环境</w:t>
      </w:r>
      <w:r>
        <w:rPr>
          <w:rFonts w:ascii="宋体" w:hAnsi="宋体" w:eastAsia="宋体" w:cs="宋体"/>
          <w:color w:val="auto"/>
          <w:spacing w:val="-4"/>
          <w:sz w:val="24"/>
          <w:szCs w:val="24"/>
        </w:rPr>
        <w:t>质量</w:t>
      </w:r>
      <w:r>
        <w:rPr>
          <w:rFonts w:ascii="宋体" w:hAnsi="宋体" w:eastAsia="宋体" w:cs="宋体"/>
          <w:color w:val="auto"/>
          <w:spacing w:val="-1"/>
          <w:sz w:val="24"/>
          <w:szCs w:val="24"/>
        </w:rPr>
        <w:t>标准》（</w:t>
      </w:r>
      <w:r>
        <w:rPr>
          <w:rFonts w:ascii="Times New Roman" w:hAnsi="Times New Roman" w:eastAsia="Times New Roman" w:cs="Times New Roman"/>
          <w:color w:val="auto"/>
          <w:spacing w:val="-1"/>
          <w:sz w:val="24"/>
          <w:szCs w:val="24"/>
        </w:rPr>
        <w:t>GB3838-2002</w:t>
      </w:r>
      <w:r>
        <w:rPr>
          <w:rFonts w:ascii="宋体" w:hAnsi="宋体" w:eastAsia="宋体" w:cs="宋体"/>
          <w:color w:val="auto"/>
          <w:spacing w:val="-1"/>
          <w:sz w:val="24"/>
          <w:szCs w:val="24"/>
        </w:rPr>
        <w:t>）</w:t>
      </w:r>
      <w:r>
        <w:rPr>
          <w:rFonts w:ascii="Times New Roman" w:hAnsi="Times New Roman" w:eastAsia="Times New Roman" w:cs="Times New Roman"/>
          <w:color w:val="auto"/>
          <w:spacing w:val="-1"/>
          <w:sz w:val="24"/>
          <w:szCs w:val="24"/>
        </w:rPr>
        <w:t>II</w:t>
      </w:r>
      <w:r>
        <w:rPr>
          <w:rFonts w:ascii="宋体" w:hAnsi="宋体" w:eastAsia="宋体" w:cs="宋体"/>
          <w:color w:val="auto"/>
          <w:spacing w:val="-1"/>
          <w:sz w:val="24"/>
          <w:szCs w:val="24"/>
        </w:rPr>
        <w:t>类标准限值。</w:t>
      </w:r>
    </w:p>
    <w:p w14:paraId="61AE2543">
      <w:pPr>
        <w:pStyle w:val="4"/>
        <w:bidi w:val="0"/>
        <w:rPr>
          <w:rFonts w:hint="eastAsia"/>
          <w:color w:val="auto"/>
          <w:lang w:val="zh-CN" w:eastAsia="zh-CN"/>
        </w:rPr>
      </w:pPr>
      <w:bookmarkStart w:id="125" w:name="_Toc21823"/>
      <w:r>
        <w:rPr>
          <w:rFonts w:hint="eastAsia"/>
          <w:color w:val="auto"/>
          <w:lang w:val="zh-CN" w:eastAsia="zh-CN"/>
        </w:rPr>
        <w:t>声环境质量现状调查与评价</w:t>
      </w:r>
      <w:bookmarkEnd w:id="125"/>
    </w:p>
    <w:p w14:paraId="13ACDE00">
      <w:pPr>
        <w:pStyle w:val="5"/>
        <w:bidi w:val="0"/>
        <w:rPr>
          <w:rFonts w:hint="eastAsia"/>
          <w:color w:val="auto"/>
        </w:rPr>
      </w:pPr>
      <w:r>
        <w:rPr>
          <w:rFonts w:hint="eastAsia"/>
          <w:color w:val="auto"/>
          <w:lang w:val="en-US" w:eastAsia="zh-CN"/>
        </w:rPr>
        <w:t>声</w:t>
      </w:r>
      <w:r>
        <w:rPr>
          <w:rFonts w:hint="eastAsia"/>
          <w:color w:val="auto"/>
        </w:rPr>
        <w:t>环境质量现状调查</w:t>
      </w:r>
    </w:p>
    <w:p w14:paraId="01740A11">
      <w:pPr>
        <w:bidi w:val="0"/>
        <w:rPr>
          <w:rFonts w:hAnsi="宋体"/>
          <w:color w:val="auto"/>
          <w:sz w:val="24"/>
        </w:rPr>
      </w:pPr>
      <w:r>
        <w:rPr>
          <w:rFonts w:hint="eastAsia"/>
          <w:color w:val="auto"/>
          <w:sz w:val="24"/>
        </w:rPr>
        <w:t>（1）</w:t>
      </w:r>
      <w:r>
        <w:rPr>
          <w:rFonts w:hAnsi="宋体"/>
          <w:color w:val="auto"/>
          <w:sz w:val="24"/>
        </w:rPr>
        <w:t>监测</w:t>
      </w:r>
      <w:r>
        <w:rPr>
          <w:rFonts w:hint="eastAsia" w:hAnsi="宋体"/>
          <w:color w:val="auto"/>
          <w:sz w:val="24"/>
        </w:rPr>
        <w:t>点位</w:t>
      </w:r>
    </w:p>
    <w:p w14:paraId="665C89A2">
      <w:pPr>
        <w:autoSpaceDE w:val="0"/>
        <w:spacing w:line="360" w:lineRule="auto"/>
        <w:ind w:firstLine="480" w:firstLineChars="200"/>
        <w:rPr>
          <w:rFonts w:hint="eastAsia" w:hAnsi="宋体"/>
          <w:color w:val="auto"/>
          <w:sz w:val="24"/>
        </w:rPr>
      </w:pPr>
      <w:r>
        <w:rPr>
          <w:rFonts w:hint="eastAsia" w:hAnsi="宋体"/>
          <w:color w:val="auto"/>
          <w:sz w:val="24"/>
        </w:rPr>
        <w:t>根据《声环境质量标准》（GB3096-2008），本项目属于</w:t>
      </w:r>
      <w:r>
        <w:rPr>
          <w:rFonts w:hint="eastAsia" w:hAnsi="宋体"/>
          <w:color w:val="auto"/>
          <w:sz w:val="24"/>
          <w:lang w:val="en-US" w:eastAsia="zh-CN"/>
        </w:rPr>
        <w:t>2</w:t>
      </w:r>
      <w:r>
        <w:rPr>
          <w:rFonts w:hint="eastAsia" w:hAnsi="宋体"/>
          <w:color w:val="auto"/>
          <w:sz w:val="24"/>
          <w:highlight w:val="none"/>
        </w:rPr>
        <w:t>类</w:t>
      </w:r>
      <w:r>
        <w:rPr>
          <w:rFonts w:hint="eastAsia" w:hAnsi="宋体"/>
          <w:color w:val="auto"/>
          <w:sz w:val="24"/>
        </w:rPr>
        <w:t>声环境功能区。</w:t>
      </w:r>
      <w:r>
        <w:rPr>
          <w:rFonts w:hint="eastAsia" w:hAnsi="宋体"/>
          <w:color w:val="auto"/>
          <w:sz w:val="24"/>
          <w:lang w:val="en-US" w:eastAsia="zh-CN"/>
        </w:rPr>
        <w:t>因此</w:t>
      </w:r>
      <w:r>
        <w:rPr>
          <w:rFonts w:hint="eastAsia" w:hAnsi="宋体"/>
          <w:color w:val="auto"/>
          <w:sz w:val="24"/>
        </w:rPr>
        <w:t>，本项目声环境质量布设</w:t>
      </w:r>
      <w:r>
        <w:rPr>
          <w:rFonts w:hint="eastAsia" w:hAnsi="宋体"/>
          <w:color w:val="auto"/>
          <w:sz w:val="24"/>
          <w:lang w:val="en-US" w:eastAsia="zh-CN"/>
        </w:rPr>
        <w:t>17</w:t>
      </w:r>
      <w:r>
        <w:rPr>
          <w:rFonts w:hint="eastAsia" w:hAnsi="宋体"/>
          <w:color w:val="auto"/>
          <w:sz w:val="24"/>
        </w:rPr>
        <w:t>个监测点，</w:t>
      </w:r>
      <w:r>
        <w:rPr>
          <w:rFonts w:hint="eastAsia" w:hAnsi="宋体"/>
          <w:color w:val="auto"/>
          <w:sz w:val="24"/>
          <w:lang w:val="en-US" w:eastAsia="zh-CN"/>
        </w:rPr>
        <w:t>委托安徽珍晟环保节能检测有限公司于2025年1月16日及1月18日开展区域声环境监测，</w:t>
      </w:r>
      <w:r>
        <w:rPr>
          <w:rFonts w:hint="eastAsia" w:hAnsi="宋体"/>
          <w:color w:val="auto"/>
          <w:sz w:val="24"/>
        </w:rPr>
        <w:t>监测布点如</w:t>
      </w:r>
      <w:r>
        <w:rPr>
          <w:rFonts w:hint="eastAsia" w:hAnsi="宋体"/>
          <w:color w:val="auto"/>
          <w:sz w:val="24"/>
          <w:lang w:val="en-US" w:eastAsia="zh-CN"/>
        </w:rPr>
        <w:t>下表和下图</w:t>
      </w:r>
      <w:r>
        <w:rPr>
          <w:rFonts w:hint="eastAsia" w:hAnsi="宋体"/>
          <w:color w:val="auto"/>
          <w:sz w:val="24"/>
        </w:rPr>
        <w:t>所示：</w:t>
      </w:r>
    </w:p>
    <w:p w14:paraId="29087100">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6</w:t>
      </w:r>
      <w:r>
        <w:rPr>
          <w:color w:val="auto"/>
        </w:rPr>
        <w:fldChar w:fldCharType="end"/>
      </w:r>
      <w:r>
        <w:rPr>
          <w:rFonts w:hint="eastAsia"/>
          <w:color w:val="auto"/>
          <w:lang w:val="en-US" w:eastAsia="zh-CN"/>
        </w:rPr>
        <w:t>声环境质量现状</w:t>
      </w:r>
      <w:r>
        <w:rPr>
          <w:color w:val="auto"/>
        </w:rPr>
        <w:t>监测点位置布设表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2724"/>
        <w:gridCol w:w="4787"/>
      </w:tblGrid>
      <w:tr w14:paraId="3815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4" w:type="pct"/>
            <w:tcBorders>
              <w:tl2br w:val="nil"/>
              <w:tr2bl w:val="nil"/>
            </w:tcBorders>
            <w:vAlign w:val="center"/>
          </w:tcPr>
          <w:p w14:paraId="7FD947A6">
            <w:pPr>
              <w:pStyle w:val="31"/>
              <w:bidi w:val="0"/>
              <w:rPr>
                <w:color w:val="auto"/>
              </w:rPr>
            </w:pPr>
            <w:r>
              <w:rPr>
                <w:rFonts w:hint="eastAsia"/>
                <w:color w:val="auto"/>
              </w:rPr>
              <w:t>序号</w:t>
            </w:r>
          </w:p>
        </w:tc>
        <w:tc>
          <w:tcPr>
            <w:tcW w:w="1601" w:type="pct"/>
            <w:tcBorders>
              <w:tl2br w:val="nil"/>
              <w:tr2bl w:val="nil"/>
            </w:tcBorders>
            <w:vAlign w:val="center"/>
          </w:tcPr>
          <w:p w14:paraId="745ACC16">
            <w:pPr>
              <w:pStyle w:val="31"/>
              <w:bidi w:val="0"/>
              <w:rPr>
                <w:color w:val="auto"/>
              </w:rPr>
            </w:pPr>
            <w:r>
              <w:rPr>
                <w:color w:val="auto"/>
              </w:rPr>
              <w:t>点位</w:t>
            </w:r>
          </w:p>
        </w:tc>
        <w:tc>
          <w:tcPr>
            <w:tcW w:w="2814" w:type="pct"/>
            <w:tcBorders>
              <w:tl2br w:val="nil"/>
              <w:tr2bl w:val="nil"/>
            </w:tcBorders>
            <w:vAlign w:val="center"/>
          </w:tcPr>
          <w:p w14:paraId="38071B7F">
            <w:pPr>
              <w:pStyle w:val="31"/>
              <w:bidi w:val="0"/>
              <w:rPr>
                <w:rFonts w:hint="eastAsia"/>
                <w:color w:val="auto"/>
              </w:rPr>
            </w:pPr>
            <w:r>
              <w:rPr>
                <w:color w:val="auto"/>
              </w:rPr>
              <w:t>名称</w:t>
            </w:r>
          </w:p>
        </w:tc>
      </w:tr>
      <w:tr w14:paraId="7C8D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79732C82">
            <w:pPr>
              <w:pStyle w:val="31"/>
              <w:bidi w:val="0"/>
              <w:rPr>
                <w:color w:val="auto"/>
              </w:rPr>
            </w:pPr>
            <w:r>
              <w:rPr>
                <w:rFonts w:hint="default"/>
                <w:color w:val="auto"/>
              </w:rPr>
              <w:t>1</w:t>
            </w:r>
          </w:p>
        </w:tc>
        <w:tc>
          <w:tcPr>
            <w:tcW w:w="2672" w:type="dxa"/>
            <w:tcBorders>
              <w:tl2br w:val="nil"/>
              <w:tr2bl w:val="nil"/>
            </w:tcBorders>
            <w:vAlign w:val="center"/>
          </w:tcPr>
          <w:p w14:paraId="6A8AC1FE">
            <w:pPr>
              <w:pStyle w:val="31"/>
              <w:bidi w:val="0"/>
              <w:rPr>
                <w:color w:val="auto"/>
              </w:rPr>
            </w:pPr>
            <w:r>
              <w:rPr>
                <w:rFonts w:hint="default"/>
                <w:color w:val="auto"/>
              </w:rPr>
              <w:t>N1</w:t>
            </w:r>
          </w:p>
        </w:tc>
        <w:tc>
          <w:tcPr>
            <w:tcW w:w="4740" w:type="dxa"/>
            <w:tcBorders>
              <w:tl2br w:val="nil"/>
              <w:tr2bl w:val="nil"/>
            </w:tcBorders>
            <w:vAlign w:val="center"/>
          </w:tcPr>
          <w:p w14:paraId="73F27584">
            <w:pPr>
              <w:pStyle w:val="31"/>
              <w:bidi w:val="0"/>
              <w:rPr>
                <w:rFonts w:hint="eastAsia"/>
                <w:color w:val="auto"/>
                <w:lang w:val="en-US" w:eastAsia="zh-CN"/>
              </w:rPr>
            </w:pPr>
            <w:r>
              <w:rPr>
                <w:rFonts w:hint="default"/>
                <w:color w:val="auto"/>
                <w:lang w:val="en-US" w:eastAsia="zh-CN"/>
              </w:rPr>
              <w:t>5号抛泥区北厂界</w:t>
            </w:r>
          </w:p>
        </w:tc>
      </w:tr>
      <w:tr w14:paraId="4D17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0A0A4D87">
            <w:pPr>
              <w:pStyle w:val="31"/>
              <w:bidi w:val="0"/>
              <w:rPr>
                <w:rFonts w:hint="eastAsia"/>
                <w:color w:val="auto"/>
                <w:lang w:val="en-US" w:eastAsia="zh-CN"/>
              </w:rPr>
            </w:pPr>
            <w:r>
              <w:rPr>
                <w:rFonts w:hint="default"/>
                <w:color w:val="auto"/>
              </w:rPr>
              <w:t>2</w:t>
            </w:r>
          </w:p>
        </w:tc>
        <w:tc>
          <w:tcPr>
            <w:tcW w:w="2672" w:type="dxa"/>
            <w:tcBorders>
              <w:tl2br w:val="nil"/>
              <w:tr2bl w:val="nil"/>
            </w:tcBorders>
            <w:vAlign w:val="center"/>
          </w:tcPr>
          <w:p w14:paraId="4F42F671">
            <w:pPr>
              <w:pStyle w:val="31"/>
              <w:bidi w:val="0"/>
              <w:rPr>
                <w:rFonts w:hint="default"/>
                <w:color w:val="auto"/>
                <w:lang w:val="en-US" w:eastAsia="zh-CN"/>
              </w:rPr>
            </w:pPr>
            <w:r>
              <w:rPr>
                <w:rFonts w:hint="default"/>
                <w:color w:val="auto"/>
              </w:rPr>
              <w:t>N2</w:t>
            </w:r>
          </w:p>
        </w:tc>
        <w:tc>
          <w:tcPr>
            <w:tcW w:w="4740" w:type="dxa"/>
            <w:tcBorders>
              <w:tl2br w:val="nil"/>
              <w:tr2bl w:val="nil"/>
            </w:tcBorders>
            <w:vAlign w:val="center"/>
          </w:tcPr>
          <w:p w14:paraId="09A23CAE">
            <w:pPr>
              <w:pStyle w:val="31"/>
              <w:bidi w:val="0"/>
              <w:rPr>
                <w:rFonts w:hint="eastAsia"/>
                <w:color w:val="auto"/>
                <w:lang w:val="en-US" w:eastAsia="zh-CN"/>
              </w:rPr>
            </w:pPr>
            <w:r>
              <w:rPr>
                <w:rFonts w:hint="default"/>
                <w:color w:val="auto"/>
                <w:lang w:val="en-US" w:eastAsia="zh-CN"/>
              </w:rPr>
              <w:t>5号抛泥区西厂界</w:t>
            </w:r>
          </w:p>
        </w:tc>
      </w:tr>
      <w:tr w14:paraId="02CD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787405E3">
            <w:pPr>
              <w:pStyle w:val="31"/>
              <w:bidi w:val="0"/>
              <w:rPr>
                <w:rFonts w:hint="default"/>
                <w:color w:val="auto"/>
                <w:lang w:val="en-US" w:eastAsia="zh-CN"/>
              </w:rPr>
            </w:pPr>
            <w:r>
              <w:rPr>
                <w:rFonts w:hint="default"/>
                <w:color w:val="auto"/>
              </w:rPr>
              <w:t>3</w:t>
            </w:r>
          </w:p>
        </w:tc>
        <w:tc>
          <w:tcPr>
            <w:tcW w:w="2672" w:type="dxa"/>
            <w:tcBorders>
              <w:tl2br w:val="nil"/>
              <w:tr2bl w:val="nil"/>
            </w:tcBorders>
            <w:vAlign w:val="center"/>
          </w:tcPr>
          <w:p w14:paraId="24F757AD">
            <w:pPr>
              <w:pStyle w:val="31"/>
              <w:bidi w:val="0"/>
              <w:rPr>
                <w:rFonts w:hint="default"/>
                <w:color w:val="auto"/>
                <w:lang w:val="en-US" w:eastAsia="zh-CN"/>
              </w:rPr>
            </w:pPr>
            <w:r>
              <w:rPr>
                <w:rFonts w:hint="default"/>
                <w:color w:val="auto"/>
              </w:rPr>
              <w:t>N3</w:t>
            </w:r>
          </w:p>
        </w:tc>
        <w:tc>
          <w:tcPr>
            <w:tcW w:w="4740" w:type="dxa"/>
            <w:tcBorders>
              <w:tl2br w:val="nil"/>
              <w:tr2bl w:val="nil"/>
            </w:tcBorders>
            <w:vAlign w:val="center"/>
          </w:tcPr>
          <w:p w14:paraId="5EC32881">
            <w:pPr>
              <w:pStyle w:val="31"/>
              <w:bidi w:val="0"/>
              <w:rPr>
                <w:rFonts w:hint="eastAsia"/>
                <w:color w:val="auto"/>
                <w:lang w:val="en-US" w:eastAsia="zh-CN"/>
              </w:rPr>
            </w:pPr>
            <w:r>
              <w:rPr>
                <w:rFonts w:hint="default"/>
                <w:color w:val="auto"/>
                <w:lang w:val="en-US" w:eastAsia="zh-CN"/>
              </w:rPr>
              <w:t>5号抛泥区南厂界</w:t>
            </w:r>
          </w:p>
        </w:tc>
      </w:tr>
      <w:tr w14:paraId="2F4D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495E59F3">
            <w:pPr>
              <w:pStyle w:val="31"/>
              <w:bidi w:val="0"/>
              <w:rPr>
                <w:rFonts w:hint="default"/>
                <w:color w:val="auto"/>
                <w:lang w:val="en-US" w:eastAsia="zh-CN"/>
              </w:rPr>
            </w:pPr>
            <w:r>
              <w:rPr>
                <w:rFonts w:hint="default"/>
                <w:color w:val="auto"/>
              </w:rPr>
              <w:t>4</w:t>
            </w:r>
          </w:p>
        </w:tc>
        <w:tc>
          <w:tcPr>
            <w:tcW w:w="2672" w:type="dxa"/>
            <w:tcBorders>
              <w:tl2br w:val="nil"/>
              <w:tr2bl w:val="nil"/>
            </w:tcBorders>
            <w:vAlign w:val="center"/>
          </w:tcPr>
          <w:p w14:paraId="723B615F">
            <w:pPr>
              <w:pStyle w:val="31"/>
              <w:bidi w:val="0"/>
              <w:rPr>
                <w:rFonts w:hint="default"/>
                <w:color w:val="auto"/>
                <w:lang w:val="en-US" w:eastAsia="zh-CN"/>
              </w:rPr>
            </w:pPr>
            <w:r>
              <w:rPr>
                <w:rFonts w:hint="default"/>
                <w:color w:val="auto"/>
              </w:rPr>
              <w:t>N4</w:t>
            </w:r>
          </w:p>
        </w:tc>
        <w:tc>
          <w:tcPr>
            <w:tcW w:w="4740" w:type="dxa"/>
            <w:tcBorders>
              <w:tl2br w:val="nil"/>
              <w:tr2bl w:val="nil"/>
            </w:tcBorders>
            <w:vAlign w:val="center"/>
          </w:tcPr>
          <w:p w14:paraId="0556DA71">
            <w:pPr>
              <w:pStyle w:val="31"/>
              <w:bidi w:val="0"/>
              <w:rPr>
                <w:rFonts w:hint="eastAsia"/>
                <w:color w:val="auto"/>
                <w:lang w:val="en-US" w:eastAsia="zh-CN"/>
              </w:rPr>
            </w:pPr>
            <w:r>
              <w:rPr>
                <w:rFonts w:hint="default"/>
                <w:color w:val="auto"/>
                <w:lang w:val="en-US" w:eastAsia="zh-CN"/>
              </w:rPr>
              <w:t>5号抛泥区东厂界</w:t>
            </w:r>
          </w:p>
        </w:tc>
      </w:tr>
      <w:tr w14:paraId="1136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4FA73766">
            <w:pPr>
              <w:pStyle w:val="31"/>
              <w:bidi w:val="0"/>
              <w:rPr>
                <w:rFonts w:hint="default"/>
                <w:color w:val="auto"/>
                <w:lang w:val="en-US" w:eastAsia="zh-CN"/>
              </w:rPr>
            </w:pPr>
            <w:r>
              <w:rPr>
                <w:rFonts w:hint="eastAsia"/>
                <w:color w:val="auto"/>
                <w:lang w:val="en-US" w:eastAsia="zh-CN"/>
              </w:rPr>
              <w:t>5</w:t>
            </w:r>
          </w:p>
        </w:tc>
        <w:tc>
          <w:tcPr>
            <w:tcW w:w="2672" w:type="dxa"/>
            <w:tcBorders>
              <w:tl2br w:val="nil"/>
              <w:tr2bl w:val="nil"/>
            </w:tcBorders>
            <w:vAlign w:val="center"/>
          </w:tcPr>
          <w:p w14:paraId="24E299B4">
            <w:pPr>
              <w:pStyle w:val="31"/>
              <w:bidi w:val="0"/>
              <w:rPr>
                <w:rFonts w:hint="default"/>
                <w:color w:val="auto"/>
                <w:lang w:val="en-US" w:eastAsia="zh-CN"/>
              </w:rPr>
            </w:pPr>
            <w:r>
              <w:rPr>
                <w:rFonts w:hint="default"/>
                <w:color w:val="auto"/>
              </w:rPr>
              <w:t>N</w:t>
            </w:r>
            <w:r>
              <w:rPr>
                <w:rFonts w:hint="eastAsia"/>
                <w:color w:val="auto"/>
                <w:lang w:val="en-US" w:eastAsia="zh-CN"/>
              </w:rPr>
              <w:t>5</w:t>
            </w:r>
          </w:p>
        </w:tc>
        <w:tc>
          <w:tcPr>
            <w:tcW w:w="4740" w:type="dxa"/>
            <w:tcBorders>
              <w:tl2br w:val="nil"/>
              <w:tr2bl w:val="nil"/>
            </w:tcBorders>
            <w:vAlign w:val="center"/>
          </w:tcPr>
          <w:p w14:paraId="54E61FF3">
            <w:pPr>
              <w:pStyle w:val="31"/>
              <w:bidi w:val="0"/>
              <w:rPr>
                <w:rFonts w:hint="eastAsia"/>
                <w:color w:val="auto"/>
                <w:lang w:val="en-US" w:eastAsia="zh-CN"/>
              </w:rPr>
            </w:pPr>
            <w:r>
              <w:rPr>
                <w:rFonts w:hint="eastAsia"/>
                <w:color w:val="auto"/>
                <w:lang w:val="en-US" w:eastAsia="zh-CN"/>
              </w:rPr>
              <w:t>6</w:t>
            </w:r>
            <w:r>
              <w:rPr>
                <w:rFonts w:hint="default"/>
                <w:color w:val="auto"/>
                <w:lang w:val="en-US" w:eastAsia="zh-CN"/>
              </w:rPr>
              <w:t>号抛泥区北厂界</w:t>
            </w:r>
          </w:p>
        </w:tc>
      </w:tr>
      <w:tr w14:paraId="33A2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0FDE6E42">
            <w:pPr>
              <w:pStyle w:val="31"/>
              <w:bidi w:val="0"/>
              <w:rPr>
                <w:rFonts w:hint="eastAsia"/>
                <w:color w:val="auto"/>
                <w:lang w:val="en-US" w:eastAsia="zh-CN"/>
              </w:rPr>
            </w:pPr>
            <w:r>
              <w:rPr>
                <w:rFonts w:hint="eastAsia"/>
                <w:color w:val="auto"/>
                <w:lang w:val="en-US" w:eastAsia="zh-CN"/>
              </w:rPr>
              <w:t>6</w:t>
            </w:r>
          </w:p>
        </w:tc>
        <w:tc>
          <w:tcPr>
            <w:tcW w:w="2672" w:type="dxa"/>
            <w:tcBorders>
              <w:tl2br w:val="nil"/>
              <w:tr2bl w:val="nil"/>
            </w:tcBorders>
            <w:vAlign w:val="center"/>
          </w:tcPr>
          <w:p w14:paraId="63D96F05">
            <w:pPr>
              <w:pStyle w:val="31"/>
              <w:bidi w:val="0"/>
              <w:rPr>
                <w:rFonts w:hint="eastAsia"/>
                <w:color w:val="auto"/>
                <w:lang w:val="en-US" w:eastAsia="zh-CN"/>
              </w:rPr>
            </w:pPr>
            <w:r>
              <w:rPr>
                <w:rFonts w:hint="default"/>
                <w:color w:val="auto"/>
              </w:rPr>
              <w:t>N</w:t>
            </w:r>
            <w:r>
              <w:rPr>
                <w:rFonts w:hint="eastAsia"/>
                <w:color w:val="auto"/>
                <w:lang w:val="en-US" w:eastAsia="zh-CN"/>
              </w:rPr>
              <w:t>6</w:t>
            </w:r>
          </w:p>
        </w:tc>
        <w:tc>
          <w:tcPr>
            <w:tcW w:w="4740" w:type="dxa"/>
            <w:tcBorders>
              <w:tl2br w:val="nil"/>
              <w:tr2bl w:val="nil"/>
            </w:tcBorders>
            <w:vAlign w:val="center"/>
          </w:tcPr>
          <w:p w14:paraId="7C6AB51E">
            <w:pPr>
              <w:pStyle w:val="31"/>
              <w:bidi w:val="0"/>
              <w:rPr>
                <w:rFonts w:hint="eastAsia"/>
                <w:color w:val="auto"/>
                <w:lang w:val="en-US" w:eastAsia="zh-CN"/>
              </w:rPr>
            </w:pPr>
            <w:r>
              <w:rPr>
                <w:rFonts w:hint="eastAsia"/>
                <w:color w:val="auto"/>
                <w:lang w:val="en-US" w:eastAsia="zh-CN"/>
              </w:rPr>
              <w:t>6</w:t>
            </w:r>
            <w:r>
              <w:rPr>
                <w:rFonts w:hint="default"/>
                <w:color w:val="auto"/>
                <w:lang w:val="en-US" w:eastAsia="zh-CN"/>
              </w:rPr>
              <w:t>号抛泥区西厂界</w:t>
            </w:r>
          </w:p>
        </w:tc>
      </w:tr>
      <w:tr w14:paraId="6ACB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3F21B9AC">
            <w:pPr>
              <w:pStyle w:val="31"/>
              <w:bidi w:val="0"/>
              <w:rPr>
                <w:rFonts w:hint="eastAsia"/>
                <w:color w:val="auto"/>
                <w:lang w:val="en-US" w:eastAsia="zh-CN"/>
              </w:rPr>
            </w:pPr>
            <w:r>
              <w:rPr>
                <w:rFonts w:hint="eastAsia"/>
                <w:color w:val="auto"/>
                <w:lang w:val="en-US" w:eastAsia="zh-CN"/>
              </w:rPr>
              <w:t>7</w:t>
            </w:r>
          </w:p>
        </w:tc>
        <w:tc>
          <w:tcPr>
            <w:tcW w:w="2672" w:type="dxa"/>
            <w:tcBorders>
              <w:tl2br w:val="nil"/>
              <w:tr2bl w:val="nil"/>
            </w:tcBorders>
            <w:vAlign w:val="center"/>
          </w:tcPr>
          <w:p w14:paraId="60FD0429">
            <w:pPr>
              <w:pStyle w:val="31"/>
              <w:bidi w:val="0"/>
              <w:rPr>
                <w:rFonts w:hint="eastAsia"/>
                <w:color w:val="auto"/>
                <w:lang w:val="en-US" w:eastAsia="zh-CN"/>
              </w:rPr>
            </w:pPr>
            <w:r>
              <w:rPr>
                <w:rFonts w:hint="default"/>
                <w:color w:val="auto"/>
              </w:rPr>
              <w:t>N</w:t>
            </w:r>
            <w:r>
              <w:rPr>
                <w:rFonts w:hint="eastAsia"/>
                <w:color w:val="auto"/>
                <w:lang w:val="en-US" w:eastAsia="zh-CN"/>
              </w:rPr>
              <w:t>7</w:t>
            </w:r>
          </w:p>
        </w:tc>
        <w:tc>
          <w:tcPr>
            <w:tcW w:w="4740" w:type="dxa"/>
            <w:tcBorders>
              <w:tl2br w:val="nil"/>
              <w:tr2bl w:val="nil"/>
            </w:tcBorders>
            <w:vAlign w:val="center"/>
          </w:tcPr>
          <w:p w14:paraId="39EE1078">
            <w:pPr>
              <w:pStyle w:val="31"/>
              <w:bidi w:val="0"/>
              <w:rPr>
                <w:rFonts w:hint="eastAsia"/>
                <w:color w:val="auto"/>
                <w:lang w:val="en-US" w:eastAsia="zh-CN"/>
              </w:rPr>
            </w:pPr>
            <w:r>
              <w:rPr>
                <w:rFonts w:hint="eastAsia"/>
                <w:color w:val="auto"/>
                <w:lang w:val="en-US" w:eastAsia="zh-CN"/>
              </w:rPr>
              <w:t>6</w:t>
            </w:r>
            <w:r>
              <w:rPr>
                <w:rFonts w:hint="default"/>
                <w:color w:val="auto"/>
                <w:lang w:val="en-US" w:eastAsia="zh-CN"/>
              </w:rPr>
              <w:t>号抛泥区南厂界</w:t>
            </w:r>
          </w:p>
        </w:tc>
      </w:tr>
      <w:tr w14:paraId="574A6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6F5671EF">
            <w:pPr>
              <w:pStyle w:val="31"/>
              <w:bidi w:val="0"/>
              <w:rPr>
                <w:rFonts w:hint="eastAsia"/>
                <w:color w:val="auto"/>
                <w:lang w:val="en-US" w:eastAsia="zh-CN"/>
              </w:rPr>
            </w:pPr>
            <w:r>
              <w:rPr>
                <w:rFonts w:hint="eastAsia"/>
                <w:color w:val="auto"/>
                <w:lang w:val="en-US" w:eastAsia="zh-CN"/>
              </w:rPr>
              <w:t>8</w:t>
            </w:r>
          </w:p>
        </w:tc>
        <w:tc>
          <w:tcPr>
            <w:tcW w:w="2672" w:type="dxa"/>
            <w:tcBorders>
              <w:tl2br w:val="nil"/>
              <w:tr2bl w:val="nil"/>
            </w:tcBorders>
            <w:vAlign w:val="center"/>
          </w:tcPr>
          <w:p w14:paraId="7B07578C">
            <w:pPr>
              <w:pStyle w:val="31"/>
              <w:bidi w:val="0"/>
              <w:rPr>
                <w:rFonts w:hint="eastAsia"/>
                <w:color w:val="auto"/>
                <w:lang w:val="en-US" w:eastAsia="zh-CN"/>
              </w:rPr>
            </w:pPr>
            <w:r>
              <w:rPr>
                <w:rFonts w:hint="default"/>
                <w:color w:val="auto"/>
              </w:rPr>
              <w:t>N</w:t>
            </w:r>
            <w:r>
              <w:rPr>
                <w:rFonts w:hint="eastAsia"/>
                <w:color w:val="auto"/>
                <w:lang w:val="en-US" w:eastAsia="zh-CN"/>
              </w:rPr>
              <w:t>8</w:t>
            </w:r>
          </w:p>
        </w:tc>
        <w:tc>
          <w:tcPr>
            <w:tcW w:w="4740" w:type="dxa"/>
            <w:tcBorders>
              <w:tl2br w:val="nil"/>
              <w:tr2bl w:val="nil"/>
            </w:tcBorders>
            <w:vAlign w:val="center"/>
          </w:tcPr>
          <w:p w14:paraId="274BDF02">
            <w:pPr>
              <w:pStyle w:val="31"/>
              <w:bidi w:val="0"/>
              <w:rPr>
                <w:rFonts w:hint="eastAsia"/>
                <w:color w:val="auto"/>
                <w:lang w:val="en-US" w:eastAsia="zh-CN"/>
              </w:rPr>
            </w:pPr>
            <w:r>
              <w:rPr>
                <w:rFonts w:hint="eastAsia"/>
                <w:color w:val="auto"/>
                <w:lang w:val="en-US" w:eastAsia="zh-CN"/>
              </w:rPr>
              <w:t>6</w:t>
            </w:r>
            <w:r>
              <w:rPr>
                <w:rFonts w:hint="default"/>
                <w:color w:val="auto"/>
                <w:lang w:val="en-US" w:eastAsia="zh-CN"/>
              </w:rPr>
              <w:t>号抛泥区东厂界</w:t>
            </w:r>
          </w:p>
        </w:tc>
      </w:tr>
      <w:tr w14:paraId="1D7F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398819B1">
            <w:pPr>
              <w:pStyle w:val="31"/>
              <w:bidi w:val="0"/>
              <w:rPr>
                <w:rFonts w:hint="eastAsia"/>
                <w:color w:val="auto"/>
                <w:lang w:val="en-US" w:eastAsia="zh-CN"/>
              </w:rPr>
            </w:pPr>
            <w:r>
              <w:rPr>
                <w:rFonts w:hint="eastAsia"/>
                <w:color w:val="auto"/>
                <w:lang w:val="en-US" w:eastAsia="zh-CN"/>
              </w:rPr>
              <w:t>9</w:t>
            </w:r>
          </w:p>
        </w:tc>
        <w:tc>
          <w:tcPr>
            <w:tcW w:w="2672" w:type="dxa"/>
            <w:tcBorders>
              <w:tl2br w:val="nil"/>
              <w:tr2bl w:val="nil"/>
            </w:tcBorders>
            <w:vAlign w:val="center"/>
          </w:tcPr>
          <w:p w14:paraId="23B2F82E">
            <w:pPr>
              <w:pStyle w:val="31"/>
              <w:bidi w:val="0"/>
              <w:rPr>
                <w:rFonts w:hint="eastAsia"/>
                <w:color w:val="auto"/>
                <w:lang w:val="en-US" w:eastAsia="zh-CN"/>
              </w:rPr>
            </w:pPr>
            <w:r>
              <w:rPr>
                <w:rFonts w:hint="default"/>
                <w:color w:val="auto"/>
              </w:rPr>
              <w:t>N</w:t>
            </w:r>
            <w:r>
              <w:rPr>
                <w:rFonts w:hint="eastAsia"/>
                <w:color w:val="auto"/>
                <w:lang w:val="en-US" w:eastAsia="zh-CN"/>
              </w:rPr>
              <w:t>9</w:t>
            </w:r>
          </w:p>
        </w:tc>
        <w:tc>
          <w:tcPr>
            <w:tcW w:w="4740" w:type="dxa"/>
            <w:tcBorders>
              <w:tl2br w:val="nil"/>
              <w:tr2bl w:val="nil"/>
            </w:tcBorders>
            <w:vAlign w:val="center"/>
          </w:tcPr>
          <w:p w14:paraId="399C5169">
            <w:pPr>
              <w:pStyle w:val="31"/>
              <w:bidi w:val="0"/>
              <w:rPr>
                <w:rFonts w:hint="eastAsia"/>
                <w:color w:val="auto"/>
                <w:lang w:val="en-US" w:eastAsia="zh-CN"/>
              </w:rPr>
            </w:pPr>
            <w:r>
              <w:rPr>
                <w:rFonts w:hint="default"/>
                <w:color w:val="auto"/>
                <w:lang w:val="en-US" w:eastAsia="zh-CN"/>
              </w:rPr>
              <w:t>1号弃土区</w:t>
            </w:r>
            <w:r>
              <w:rPr>
                <w:rFonts w:hint="eastAsia"/>
                <w:color w:val="auto"/>
                <w:lang w:val="en-US" w:eastAsia="zh-CN"/>
              </w:rPr>
              <w:t>北</w:t>
            </w:r>
            <w:r>
              <w:rPr>
                <w:rFonts w:hint="default"/>
                <w:color w:val="auto"/>
                <w:lang w:val="en-US" w:eastAsia="zh-CN"/>
              </w:rPr>
              <w:t>厂界</w:t>
            </w:r>
          </w:p>
        </w:tc>
      </w:tr>
      <w:tr w14:paraId="3CF0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4AF3F9CC">
            <w:pPr>
              <w:pStyle w:val="31"/>
              <w:bidi w:val="0"/>
              <w:rPr>
                <w:rFonts w:hint="eastAsia"/>
                <w:color w:val="auto"/>
                <w:lang w:val="en-US" w:eastAsia="zh-CN"/>
              </w:rPr>
            </w:pPr>
            <w:r>
              <w:rPr>
                <w:rFonts w:hint="eastAsia"/>
                <w:color w:val="auto"/>
                <w:lang w:val="en-US" w:eastAsia="zh-CN"/>
              </w:rPr>
              <w:t>10</w:t>
            </w:r>
          </w:p>
        </w:tc>
        <w:tc>
          <w:tcPr>
            <w:tcW w:w="2672" w:type="dxa"/>
            <w:tcBorders>
              <w:tl2br w:val="nil"/>
              <w:tr2bl w:val="nil"/>
            </w:tcBorders>
            <w:vAlign w:val="center"/>
          </w:tcPr>
          <w:p w14:paraId="2BC1E8E0">
            <w:pPr>
              <w:pStyle w:val="31"/>
              <w:bidi w:val="0"/>
              <w:rPr>
                <w:rFonts w:hint="eastAsia"/>
                <w:color w:val="auto"/>
                <w:lang w:val="en-US" w:eastAsia="zh-CN"/>
              </w:rPr>
            </w:pPr>
            <w:r>
              <w:rPr>
                <w:rFonts w:hint="default"/>
                <w:color w:val="auto"/>
              </w:rPr>
              <w:t>N</w:t>
            </w:r>
            <w:r>
              <w:rPr>
                <w:rFonts w:hint="eastAsia"/>
                <w:color w:val="auto"/>
                <w:lang w:val="en-US" w:eastAsia="zh-CN"/>
              </w:rPr>
              <w:t>10</w:t>
            </w:r>
          </w:p>
        </w:tc>
        <w:tc>
          <w:tcPr>
            <w:tcW w:w="4740" w:type="dxa"/>
            <w:tcBorders>
              <w:tl2br w:val="nil"/>
              <w:tr2bl w:val="nil"/>
            </w:tcBorders>
            <w:vAlign w:val="center"/>
          </w:tcPr>
          <w:p w14:paraId="4ED62552">
            <w:pPr>
              <w:pStyle w:val="31"/>
              <w:bidi w:val="0"/>
              <w:rPr>
                <w:rFonts w:hint="eastAsia"/>
                <w:color w:val="auto"/>
                <w:lang w:val="en-US" w:eastAsia="zh-CN"/>
              </w:rPr>
            </w:pPr>
            <w:r>
              <w:rPr>
                <w:rFonts w:hint="default"/>
                <w:color w:val="auto"/>
                <w:lang w:val="en-US" w:eastAsia="zh-CN"/>
              </w:rPr>
              <w:t>1号弃土区</w:t>
            </w:r>
            <w:r>
              <w:rPr>
                <w:rFonts w:hint="eastAsia"/>
                <w:color w:val="auto"/>
                <w:lang w:val="en-US" w:eastAsia="zh-CN"/>
              </w:rPr>
              <w:t>西</w:t>
            </w:r>
            <w:r>
              <w:rPr>
                <w:rFonts w:hint="default"/>
                <w:color w:val="auto"/>
                <w:lang w:val="en-US" w:eastAsia="zh-CN"/>
              </w:rPr>
              <w:t>厂界</w:t>
            </w:r>
          </w:p>
        </w:tc>
      </w:tr>
      <w:tr w14:paraId="040F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3B8ABCB3">
            <w:pPr>
              <w:pStyle w:val="31"/>
              <w:bidi w:val="0"/>
              <w:rPr>
                <w:rFonts w:hint="eastAsia"/>
                <w:color w:val="auto"/>
                <w:lang w:val="en-US" w:eastAsia="zh-CN"/>
              </w:rPr>
            </w:pPr>
            <w:r>
              <w:rPr>
                <w:rFonts w:hint="eastAsia"/>
                <w:color w:val="auto"/>
                <w:lang w:val="en-US" w:eastAsia="zh-CN"/>
              </w:rPr>
              <w:t>11</w:t>
            </w:r>
          </w:p>
        </w:tc>
        <w:tc>
          <w:tcPr>
            <w:tcW w:w="2672" w:type="dxa"/>
            <w:tcBorders>
              <w:tl2br w:val="nil"/>
              <w:tr2bl w:val="nil"/>
            </w:tcBorders>
            <w:vAlign w:val="center"/>
          </w:tcPr>
          <w:p w14:paraId="441A4A56">
            <w:pPr>
              <w:pStyle w:val="31"/>
              <w:bidi w:val="0"/>
              <w:rPr>
                <w:rFonts w:hint="eastAsia"/>
                <w:color w:val="auto"/>
                <w:lang w:val="en-US" w:eastAsia="zh-CN"/>
              </w:rPr>
            </w:pPr>
            <w:r>
              <w:rPr>
                <w:rFonts w:hint="default"/>
                <w:color w:val="auto"/>
              </w:rPr>
              <w:t>N</w:t>
            </w:r>
            <w:r>
              <w:rPr>
                <w:rFonts w:hint="eastAsia"/>
                <w:color w:val="auto"/>
                <w:lang w:val="en-US" w:eastAsia="zh-CN"/>
              </w:rPr>
              <w:t>11</w:t>
            </w:r>
          </w:p>
        </w:tc>
        <w:tc>
          <w:tcPr>
            <w:tcW w:w="4740" w:type="dxa"/>
            <w:tcBorders>
              <w:tl2br w:val="nil"/>
              <w:tr2bl w:val="nil"/>
            </w:tcBorders>
            <w:vAlign w:val="center"/>
          </w:tcPr>
          <w:p w14:paraId="5C95C777">
            <w:pPr>
              <w:pStyle w:val="31"/>
              <w:bidi w:val="0"/>
              <w:rPr>
                <w:rFonts w:hint="eastAsia"/>
                <w:color w:val="auto"/>
                <w:lang w:val="en-US" w:eastAsia="zh-CN"/>
              </w:rPr>
            </w:pPr>
            <w:r>
              <w:rPr>
                <w:rFonts w:hint="default"/>
                <w:color w:val="auto"/>
                <w:lang w:val="en-US" w:eastAsia="zh-CN"/>
              </w:rPr>
              <w:t>1号弃土区</w:t>
            </w:r>
            <w:r>
              <w:rPr>
                <w:rFonts w:hint="eastAsia"/>
                <w:color w:val="auto"/>
                <w:lang w:val="en-US" w:eastAsia="zh-CN"/>
              </w:rPr>
              <w:t>南</w:t>
            </w:r>
            <w:r>
              <w:rPr>
                <w:rFonts w:hint="default"/>
                <w:color w:val="auto"/>
                <w:lang w:val="en-US" w:eastAsia="zh-CN"/>
              </w:rPr>
              <w:t>厂界</w:t>
            </w:r>
          </w:p>
        </w:tc>
      </w:tr>
      <w:tr w14:paraId="02B78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111C5608">
            <w:pPr>
              <w:pStyle w:val="31"/>
              <w:bidi w:val="0"/>
              <w:rPr>
                <w:rFonts w:hint="eastAsia"/>
                <w:color w:val="auto"/>
                <w:lang w:val="en-US" w:eastAsia="zh-CN"/>
              </w:rPr>
            </w:pPr>
            <w:r>
              <w:rPr>
                <w:rFonts w:hint="eastAsia"/>
                <w:color w:val="auto"/>
                <w:lang w:val="en-US" w:eastAsia="zh-CN"/>
              </w:rPr>
              <w:t>12</w:t>
            </w:r>
          </w:p>
        </w:tc>
        <w:tc>
          <w:tcPr>
            <w:tcW w:w="2672" w:type="dxa"/>
            <w:tcBorders>
              <w:tl2br w:val="nil"/>
              <w:tr2bl w:val="nil"/>
            </w:tcBorders>
            <w:vAlign w:val="center"/>
          </w:tcPr>
          <w:p w14:paraId="3498CCED">
            <w:pPr>
              <w:pStyle w:val="31"/>
              <w:bidi w:val="0"/>
              <w:rPr>
                <w:rFonts w:hint="eastAsia"/>
                <w:color w:val="auto"/>
                <w:lang w:val="en-US" w:eastAsia="zh-CN"/>
              </w:rPr>
            </w:pPr>
            <w:r>
              <w:rPr>
                <w:rFonts w:hint="default"/>
                <w:color w:val="auto"/>
              </w:rPr>
              <w:t>N</w:t>
            </w:r>
            <w:r>
              <w:rPr>
                <w:rFonts w:hint="eastAsia"/>
                <w:color w:val="auto"/>
                <w:lang w:val="en-US" w:eastAsia="zh-CN"/>
              </w:rPr>
              <w:t>12</w:t>
            </w:r>
          </w:p>
        </w:tc>
        <w:tc>
          <w:tcPr>
            <w:tcW w:w="4740" w:type="dxa"/>
            <w:tcBorders>
              <w:tl2br w:val="nil"/>
              <w:tr2bl w:val="nil"/>
            </w:tcBorders>
            <w:vAlign w:val="center"/>
          </w:tcPr>
          <w:p w14:paraId="069CDB2C">
            <w:pPr>
              <w:pStyle w:val="31"/>
              <w:bidi w:val="0"/>
              <w:rPr>
                <w:rFonts w:hint="eastAsia"/>
                <w:color w:val="auto"/>
                <w:lang w:val="en-US" w:eastAsia="zh-CN"/>
              </w:rPr>
            </w:pPr>
            <w:r>
              <w:rPr>
                <w:rFonts w:hint="default"/>
                <w:color w:val="auto"/>
                <w:lang w:val="en-US" w:eastAsia="zh-CN"/>
              </w:rPr>
              <w:t>1号弃土区</w:t>
            </w:r>
            <w:r>
              <w:rPr>
                <w:rFonts w:hint="eastAsia"/>
                <w:color w:val="auto"/>
                <w:lang w:val="en-US" w:eastAsia="zh-CN"/>
              </w:rPr>
              <w:t>东</w:t>
            </w:r>
            <w:r>
              <w:rPr>
                <w:rFonts w:hint="default"/>
                <w:color w:val="auto"/>
                <w:lang w:val="en-US" w:eastAsia="zh-CN"/>
              </w:rPr>
              <w:t>厂界</w:t>
            </w:r>
          </w:p>
        </w:tc>
      </w:tr>
      <w:tr w14:paraId="2AA6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1F704BE1">
            <w:pPr>
              <w:pStyle w:val="31"/>
              <w:bidi w:val="0"/>
              <w:rPr>
                <w:rFonts w:hint="eastAsia"/>
                <w:color w:val="auto"/>
                <w:lang w:val="en-US" w:eastAsia="zh-CN"/>
              </w:rPr>
            </w:pPr>
            <w:r>
              <w:rPr>
                <w:rFonts w:hint="eastAsia"/>
                <w:color w:val="auto"/>
                <w:lang w:val="en-US" w:eastAsia="zh-CN"/>
              </w:rPr>
              <w:t>13</w:t>
            </w:r>
          </w:p>
        </w:tc>
        <w:tc>
          <w:tcPr>
            <w:tcW w:w="2672" w:type="dxa"/>
            <w:tcBorders>
              <w:tl2br w:val="nil"/>
              <w:tr2bl w:val="nil"/>
            </w:tcBorders>
            <w:vAlign w:val="center"/>
          </w:tcPr>
          <w:p w14:paraId="39DEE00B">
            <w:pPr>
              <w:pStyle w:val="31"/>
              <w:bidi w:val="0"/>
              <w:rPr>
                <w:rFonts w:hint="eastAsia"/>
                <w:color w:val="auto"/>
                <w:lang w:val="en-US" w:eastAsia="zh-CN"/>
              </w:rPr>
            </w:pPr>
            <w:r>
              <w:rPr>
                <w:rFonts w:hint="default"/>
                <w:color w:val="auto"/>
              </w:rPr>
              <w:t>N</w:t>
            </w:r>
            <w:r>
              <w:rPr>
                <w:rFonts w:hint="eastAsia"/>
                <w:color w:val="auto"/>
                <w:lang w:val="en-US" w:eastAsia="zh-CN"/>
              </w:rPr>
              <w:t>13</w:t>
            </w:r>
          </w:p>
        </w:tc>
        <w:tc>
          <w:tcPr>
            <w:tcW w:w="4740" w:type="dxa"/>
            <w:tcBorders>
              <w:tl2br w:val="nil"/>
              <w:tr2bl w:val="nil"/>
            </w:tcBorders>
            <w:vAlign w:val="center"/>
          </w:tcPr>
          <w:p w14:paraId="6F3D749D">
            <w:pPr>
              <w:pStyle w:val="31"/>
              <w:bidi w:val="0"/>
              <w:rPr>
                <w:rFonts w:hint="eastAsia"/>
                <w:color w:val="auto"/>
                <w:lang w:val="en-US" w:eastAsia="zh-CN"/>
              </w:rPr>
            </w:pPr>
            <w:r>
              <w:rPr>
                <w:rFonts w:hint="default"/>
                <w:color w:val="auto"/>
                <w:lang w:val="en-US" w:eastAsia="zh-CN"/>
              </w:rPr>
              <w:t>2号弃土区</w:t>
            </w:r>
            <w:r>
              <w:rPr>
                <w:rFonts w:hint="eastAsia"/>
                <w:color w:val="auto"/>
                <w:lang w:val="en-US" w:eastAsia="zh-CN"/>
              </w:rPr>
              <w:t>北</w:t>
            </w:r>
            <w:r>
              <w:rPr>
                <w:rFonts w:hint="default"/>
                <w:color w:val="auto"/>
                <w:lang w:val="en-US" w:eastAsia="zh-CN"/>
              </w:rPr>
              <w:t>厂界</w:t>
            </w:r>
          </w:p>
        </w:tc>
      </w:tr>
      <w:tr w14:paraId="28D01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57D31995">
            <w:pPr>
              <w:pStyle w:val="31"/>
              <w:bidi w:val="0"/>
              <w:rPr>
                <w:rFonts w:hint="eastAsia"/>
                <w:color w:val="auto"/>
                <w:lang w:val="en-US" w:eastAsia="zh-CN"/>
              </w:rPr>
            </w:pPr>
            <w:r>
              <w:rPr>
                <w:rFonts w:hint="eastAsia"/>
                <w:color w:val="auto"/>
                <w:lang w:val="en-US" w:eastAsia="zh-CN"/>
              </w:rPr>
              <w:t>14</w:t>
            </w:r>
          </w:p>
        </w:tc>
        <w:tc>
          <w:tcPr>
            <w:tcW w:w="2672" w:type="dxa"/>
            <w:tcBorders>
              <w:tl2br w:val="nil"/>
              <w:tr2bl w:val="nil"/>
            </w:tcBorders>
            <w:vAlign w:val="center"/>
          </w:tcPr>
          <w:p w14:paraId="1DCF4791">
            <w:pPr>
              <w:pStyle w:val="31"/>
              <w:bidi w:val="0"/>
              <w:rPr>
                <w:rFonts w:hint="eastAsia"/>
                <w:color w:val="auto"/>
                <w:lang w:val="en-US" w:eastAsia="zh-CN"/>
              </w:rPr>
            </w:pPr>
            <w:r>
              <w:rPr>
                <w:rFonts w:hint="default"/>
                <w:color w:val="auto"/>
              </w:rPr>
              <w:t>N</w:t>
            </w:r>
            <w:r>
              <w:rPr>
                <w:rFonts w:hint="eastAsia"/>
                <w:color w:val="auto"/>
                <w:lang w:val="en-US" w:eastAsia="zh-CN"/>
              </w:rPr>
              <w:t>14</w:t>
            </w:r>
          </w:p>
        </w:tc>
        <w:tc>
          <w:tcPr>
            <w:tcW w:w="4740" w:type="dxa"/>
            <w:tcBorders>
              <w:tl2br w:val="nil"/>
              <w:tr2bl w:val="nil"/>
            </w:tcBorders>
            <w:vAlign w:val="center"/>
          </w:tcPr>
          <w:p w14:paraId="76E1EC10">
            <w:pPr>
              <w:pStyle w:val="31"/>
              <w:bidi w:val="0"/>
              <w:rPr>
                <w:rFonts w:hint="eastAsia"/>
                <w:color w:val="auto"/>
                <w:lang w:val="en-US" w:eastAsia="zh-CN"/>
              </w:rPr>
            </w:pPr>
            <w:r>
              <w:rPr>
                <w:rFonts w:hint="default"/>
                <w:color w:val="auto"/>
                <w:lang w:val="en-US" w:eastAsia="zh-CN"/>
              </w:rPr>
              <w:t>2号弃土区</w:t>
            </w:r>
            <w:r>
              <w:rPr>
                <w:rFonts w:hint="eastAsia"/>
                <w:color w:val="auto"/>
                <w:lang w:val="en-US" w:eastAsia="zh-CN"/>
              </w:rPr>
              <w:t>西</w:t>
            </w:r>
            <w:r>
              <w:rPr>
                <w:rFonts w:hint="default"/>
                <w:color w:val="auto"/>
                <w:lang w:val="en-US" w:eastAsia="zh-CN"/>
              </w:rPr>
              <w:t>厂界</w:t>
            </w:r>
          </w:p>
        </w:tc>
      </w:tr>
      <w:tr w14:paraId="6A395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1FD01DD9">
            <w:pPr>
              <w:pStyle w:val="31"/>
              <w:bidi w:val="0"/>
              <w:rPr>
                <w:rFonts w:hint="eastAsia"/>
                <w:color w:val="auto"/>
                <w:lang w:val="en-US" w:eastAsia="zh-CN"/>
              </w:rPr>
            </w:pPr>
            <w:r>
              <w:rPr>
                <w:rFonts w:hint="eastAsia"/>
                <w:color w:val="auto"/>
                <w:lang w:val="en-US" w:eastAsia="zh-CN"/>
              </w:rPr>
              <w:t>15</w:t>
            </w:r>
          </w:p>
        </w:tc>
        <w:tc>
          <w:tcPr>
            <w:tcW w:w="2672" w:type="dxa"/>
            <w:tcBorders>
              <w:tl2br w:val="nil"/>
              <w:tr2bl w:val="nil"/>
            </w:tcBorders>
            <w:vAlign w:val="center"/>
          </w:tcPr>
          <w:p w14:paraId="78452197">
            <w:pPr>
              <w:pStyle w:val="31"/>
              <w:bidi w:val="0"/>
              <w:rPr>
                <w:rFonts w:hint="eastAsia"/>
                <w:color w:val="auto"/>
                <w:lang w:val="en-US" w:eastAsia="zh-CN"/>
              </w:rPr>
            </w:pPr>
            <w:r>
              <w:rPr>
                <w:rFonts w:hint="default"/>
                <w:color w:val="auto"/>
              </w:rPr>
              <w:t>N</w:t>
            </w:r>
            <w:r>
              <w:rPr>
                <w:rFonts w:hint="eastAsia"/>
                <w:color w:val="auto"/>
                <w:lang w:val="en-US" w:eastAsia="zh-CN"/>
              </w:rPr>
              <w:t>15</w:t>
            </w:r>
          </w:p>
        </w:tc>
        <w:tc>
          <w:tcPr>
            <w:tcW w:w="4740" w:type="dxa"/>
            <w:tcBorders>
              <w:tl2br w:val="nil"/>
              <w:tr2bl w:val="nil"/>
            </w:tcBorders>
            <w:vAlign w:val="center"/>
          </w:tcPr>
          <w:p w14:paraId="4A4DA344">
            <w:pPr>
              <w:pStyle w:val="31"/>
              <w:bidi w:val="0"/>
              <w:rPr>
                <w:rFonts w:hint="eastAsia"/>
                <w:color w:val="auto"/>
                <w:lang w:val="en-US" w:eastAsia="zh-CN"/>
              </w:rPr>
            </w:pPr>
            <w:r>
              <w:rPr>
                <w:rFonts w:hint="default"/>
                <w:color w:val="auto"/>
                <w:lang w:val="en-US" w:eastAsia="zh-CN"/>
              </w:rPr>
              <w:t>2号弃土区</w:t>
            </w:r>
            <w:r>
              <w:rPr>
                <w:rFonts w:hint="eastAsia"/>
                <w:color w:val="auto"/>
                <w:lang w:val="en-US" w:eastAsia="zh-CN"/>
              </w:rPr>
              <w:t>南</w:t>
            </w:r>
            <w:r>
              <w:rPr>
                <w:rFonts w:hint="default"/>
                <w:color w:val="auto"/>
                <w:lang w:val="en-US" w:eastAsia="zh-CN"/>
              </w:rPr>
              <w:t>厂界</w:t>
            </w:r>
          </w:p>
        </w:tc>
      </w:tr>
      <w:tr w14:paraId="4501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0C8F43C7">
            <w:pPr>
              <w:pStyle w:val="31"/>
              <w:bidi w:val="0"/>
              <w:rPr>
                <w:rFonts w:hint="eastAsia"/>
                <w:color w:val="auto"/>
                <w:lang w:val="en-US" w:eastAsia="zh-CN"/>
              </w:rPr>
            </w:pPr>
            <w:r>
              <w:rPr>
                <w:rFonts w:hint="eastAsia"/>
                <w:color w:val="auto"/>
                <w:lang w:val="en-US" w:eastAsia="zh-CN"/>
              </w:rPr>
              <w:t>16</w:t>
            </w:r>
          </w:p>
        </w:tc>
        <w:tc>
          <w:tcPr>
            <w:tcW w:w="2672" w:type="dxa"/>
            <w:tcBorders>
              <w:tl2br w:val="nil"/>
              <w:tr2bl w:val="nil"/>
            </w:tcBorders>
            <w:vAlign w:val="center"/>
          </w:tcPr>
          <w:p w14:paraId="57FA7132">
            <w:pPr>
              <w:pStyle w:val="31"/>
              <w:bidi w:val="0"/>
              <w:rPr>
                <w:rFonts w:hint="eastAsia"/>
                <w:color w:val="auto"/>
                <w:lang w:val="en-US" w:eastAsia="zh-CN"/>
              </w:rPr>
            </w:pPr>
            <w:r>
              <w:rPr>
                <w:rFonts w:hint="default"/>
                <w:color w:val="auto"/>
              </w:rPr>
              <w:t>N</w:t>
            </w:r>
            <w:r>
              <w:rPr>
                <w:rFonts w:hint="eastAsia"/>
                <w:color w:val="auto"/>
                <w:lang w:val="en-US" w:eastAsia="zh-CN"/>
              </w:rPr>
              <w:t>16</w:t>
            </w:r>
          </w:p>
        </w:tc>
        <w:tc>
          <w:tcPr>
            <w:tcW w:w="4740" w:type="dxa"/>
            <w:tcBorders>
              <w:tl2br w:val="nil"/>
              <w:tr2bl w:val="nil"/>
            </w:tcBorders>
            <w:vAlign w:val="center"/>
          </w:tcPr>
          <w:p w14:paraId="59135EAB">
            <w:pPr>
              <w:pStyle w:val="31"/>
              <w:bidi w:val="0"/>
              <w:rPr>
                <w:rFonts w:hint="eastAsia"/>
                <w:color w:val="auto"/>
                <w:lang w:val="en-US" w:eastAsia="zh-CN"/>
              </w:rPr>
            </w:pPr>
            <w:r>
              <w:rPr>
                <w:rFonts w:hint="default"/>
                <w:color w:val="auto"/>
                <w:lang w:val="en-US" w:eastAsia="zh-CN"/>
              </w:rPr>
              <w:t>2号弃土区</w:t>
            </w:r>
            <w:r>
              <w:rPr>
                <w:rFonts w:hint="eastAsia"/>
                <w:color w:val="auto"/>
                <w:lang w:val="en-US" w:eastAsia="zh-CN"/>
              </w:rPr>
              <w:t>东</w:t>
            </w:r>
            <w:r>
              <w:rPr>
                <w:rFonts w:hint="default"/>
                <w:color w:val="auto"/>
                <w:lang w:val="en-US" w:eastAsia="zh-CN"/>
              </w:rPr>
              <w:t>厂界</w:t>
            </w:r>
          </w:p>
        </w:tc>
      </w:tr>
      <w:tr w14:paraId="2A32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6" w:type="dxa"/>
            <w:tcBorders>
              <w:tl2br w:val="nil"/>
              <w:tr2bl w:val="nil"/>
            </w:tcBorders>
            <w:vAlign w:val="center"/>
          </w:tcPr>
          <w:p w14:paraId="044F3D26">
            <w:pPr>
              <w:pStyle w:val="31"/>
              <w:bidi w:val="0"/>
              <w:rPr>
                <w:rFonts w:hint="eastAsia"/>
                <w:color w:val="auto"/>
                <w:lang w:val="en-US" w:eastAsia="zh-CN"/>
              </w:rPr>
            </w:pPr>
            <w:r>
              <w:rPr>
                <w:rFonts w:hint="eastAsia"/>
                <w:color w:val="auto"/>
                <w:lang w:val="en-US" w:eastAsia="zh-CN"/>
              </w:rPr>
              <w:t>17</w:t>
            </w:r>
          </w:p>
        </w:tc>
        <w:tc>
          <w:tcPr>
            <w:tcW w:w="2672" w:type="dxa"/>
            <w:tcBorders>
              <w:tl2br w:val="nil"/>
              <w:tr2bl w:val="nil"/>
            </w:tcBorders>
            <w:vAlign w:val="center"/>
          </w:tcPr>
          <w:p w14:paraId="7A895EE3">
            <w:pPr>
              <w:pStyle w:val="31"/>
              <w:bidi w:val="0"/>
              <w:rPr>
                <w:rFonts w:hint="eastAsia"/>
                <w:color w:val="auto"/>
                <w:lang w:val="en-US" w:eastAsia="zh-CN"/>
              </w:rPr>
            </w:pPr>
            <w:r>
              <w:rPr>
                <w:rFonts w:hint="default"/>
                <w:color w:val="auto"/>
              </w:rPr>
              <w:t>N</w:t>
            </w:r>
            <w:r>
              <w:rPr>
                <w:rFonts w:hint="eastAsia"/>
                <w:color w:val="auto"/>
                <w:lang w:val="en-US" w:eastAsia="zh-CN"/>
              </w:rPr>
              <w:t>17</w:t>
            </w:r>
          </w:p>
        </w:tc>
        <w:tc>
          <w:tcPr>
            <w:tcW w:w="4740" w:type="dxa"/>
            <w:tcBorders>
              <w:tl2br w:val="nil"/>
              <w:tr2bl w:val="nil"/>
            </w:tcBorders>
            <w:vAlign w:val="center"/>
          </w:tcPr>
          <w:p w14:paraId="3560AE59">
            <w:pPr>
              <w:pStyle w:val="31"/>
              <w:bidi w:val="0"/>
              <w:rPr>
                <w:rFonts w:hint="eastAsia"/>
                <w:color w:val="auto"/>
                <w:lang w:val="en-US" w:eastAsia="zh-CN"/>
              </w:rPr>
            </w:pPr>
            <w:r>
              <w:rPr>
                <w:rFonts w:hint="eastAsia"/>
                <w:color w:val="auto"/>
                <w:lang w:val="en-US" w:eastAsia="zh-CN"/>
              </w:rPr>
              <w:t>芦冲居民点</w:t>
            </w:r>
          </w:p>
        </w:tc>
      </w:tr>
    </w:tbl>
    <w:p w14:paraId="010BA97E">
      <w:pPr>
        <w:pStyle w:val="31"/>
        <w:bidi w:val="0"/>
        <w:jc w:val="center"/>
        <w:rPr>
          <w:rFonts w:hint="eastAsia" w:eastAsia="宋体"/>
          <w:color w:val="auto"/>
          <w:lang w:eastAsia="zh-CN"/>
        </w:rPr>
      </w:pPr>
      <w:r>
        <w:rPr>
          <w:rFonts w:hint="eastAsia" w:eastAsia="宋体"/>
          <w:color w:val="auto"/>
          <w:lang w:eastAsia="zh-CN"/>
        </w:rPr>
        <w:drawing>
          <wp:inline distT="0" distB="0" distL="114300" distR="114300">
            <wp:extent cx="5400040" cy="3133725"/>
            <wp:effectExtent l="0" t="0" r="10160" b="9525"/>
            <wp:docPr id="26" name="图片 26" descr="噪声监测点位图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噪声监测点位图1_00"/>
                    <pic:cNvPicPr>
                      <a:picLocks noChangeAspect="1"/>
                    </pic:cNvPicPr>
                  </pic:nvPicPr>
                  <pic:blipFill>
                    <a:blip r:embed="rId33"/>
                    <a:stretch>
                      <a:fillRect/>
                    </a:stretch>
                  </pic:blipFill>
                  <pic:spPr>
                    <a:xfrm>
                      <a:off x="0" y="0"/>
                      <a:ext cx="5400040" cy="3133725"/>
                    </a:xfrm>
                    <a:prstGeom prst="rect">
                      <a:avLst/>
                    </a:prstGeom>
                  </pic:spPr>
                </pic:pic>
              </a:graphicData>
            </a:graphic>
          </wp:inline>
        </w:drawing>
      </w:r>
    </w:p>
    <w:p w14:paraId="5163F5FB">
      <w:pPr>
        <w:pStyle w:val="11"/>
        <w:bidi w:val="0"/>
        <w:jc w:val="center"/>
        <w:rPr>
          <w:rFonts w:hint="eastAsia"/>
          <w:b w:val="0"/>
          <w:bCs/>
          <w:color w:val="auto"/>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2</w:t>
      </w:r>
      <w:r>
        <w:rPr>
          <w:color w:val="auto"/>
        </w:rPr>
        <w:fldChar w:fldCharType="end"/>
      </w:r>
      <w:r>
        <w:rPr>
          <w:rFonts w:hint="eastAsia"/>
          <w:color w:val="auto"/>
          <w:lang w:val="en-US" w:eastAsia="zh-CN"/>
        </w:rPr>
        <w:t>抛泥区声环境监测点位</w:t>
      </w:r>
      <w:r>
        <w:rPr>
          <w:rFonts w:hint="default"/>
          <w:b w:val="0"/>
          <w:bCs/>
          <w:color w:val="auto"/>
          <w:lang w:val="en-US" w:eastAsia="zh-CN"/>
        </w:rPr>
        <w:drawing>
          <wp:inline distT="0" distB="0" distL="114300" distR="114300">
            <wp:extent cx="5400040" cy="6630670"/>
            <wp:effectExtent l="0" t="0" r="10160" b="17780"/>
            <wp:docPr id="30" name="图片 30" descr="噪声监测点位图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噪声监测点位图2_00"/>
                    <pic:cNvPicPr>
                      <a:picLocks noChangeAspect="1"/>
                    </pic:cNvPicPr>
                  </pic:nvPicPr>
                  <pic:blipFill>
                    <a:blip r:embed="rId34"/>
                    <a:stretch>
                      <a:fillRect/>
                    </a:stretch>
                  </pic:blipFill>
                  <pic:spPr>
                    <a:xfrm>
                      <a:off x="0" y="0"/>
                      <a:ext cx="5400040" cy="6630670"/>
                    </a:xfrm>
                    <a:prstGeom prst="rect">
                      <a:avLst/>
                    </a:prstGeom>
                  </pic:spPr>
                </pic:pic>
              </a:graphicData>
            </a:graphic>
          </wp:inline>
        </w:drawing>
      </w:r>
    </w:p>
    <w:p w14:paraId="0376A9B4">
      <w:pPr>
        <w:pStyle w:val="11"/>
        <w:bidi w:val="0"/>
        <w:rPr>
          <w:rFonts w:hint="default"/>
          <w:color w:val="auto"/>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3</w:t>
      </w:r>
      <w:r>
        <w:rPr>
          <w:color w:val="auto"/>
        </w:rPr>
        <w:fldChar w:fldCharType="end"/>
      </w:r>
      <w:r>
        <w:rPr>
          <w:rFonts w:hint="eastAsia"/>
          <w:color w:val="auto"/>
          <w:lang w:val="en-US" w:eastAsia="zh-CN"/>
        </w:rPr>
        <w:t>弃土区声环境监测点位</w:t>
      </w:r>
    </w:p>
    <w:p w14:paraId="41065A20">
      <w:pPr>
        <w:bidi w:val="0"/>
        <w:rPr>
          <w:color w:val="auto"/>
          <w:sz w:val="24"/>
        </w:rPr>
      </w:pPr>
      <w:r>
        <w:rPr>
          <w:rFonts w:hint="eastAsia"/>
          <w:color w:val="auto"/>
          <w:sz w:val="24"/>
        </w:rPr>
        <w:t>（2）</w:t>
      </w:r>
      <w:r>
        <w:rPr>
          <w:rFonts w:hAnsi="宋体"/>
          <w:color w:val="auto"/>
          <w:sz w:val="24"/>
        </w:rPr>
        <w:t>监测项目</w:t>
      </w:r>
    </w:p>
    <w:p w14:paraId="5DE7CA16">
      <w:pPr>
        <w:spacing w:line="360" w:lineRule="auto"/>
        <w:ind w:firstLine="480"/>
        <w:rPr>
          <w:rFonts w:hint="eastAsia" w:ascii="Times New Roman" w:hAnsi="宋体" w:eastAsia="宋体"/>
          <w:color w:val="auto"/>
          <w:sz w:val="24"/>
        </w:rPr>
      </w:pPr>
      <w:r>
        <w:rPr>
          <w:rFonts w:hint="eastAsia" w:ascii="Times New Roman" w:hAnsi="宋体" w:eastAsia="宋体"/>
          <w:color w:val="auto"/>
          <w:sz w:val="24"/>
        </w:rPr>
        <w:t>监测点位监测等效连续A声级。</w:t>
      </w:r>
    </w:p>
    <w:p w14:paraId="7ED39FD7">
      <w:pPr>
        <w:bidi w:val="0"/>
        <w:rPr>
          <w:rFonts w:hAnsi="宋体"/>
          <w:color w:val="auto"/>
          <w:sz w:val="24"/>
        </w:rPr>
      </w:pPr>
      <w:r>
        <w:rPr>
          <w:rFonts w:hint="eastAsia"/>
          <w:color w:val="auto"/>
          <w:sz w:val="24"/>
        </w:rPr>
        <w:t>（</w:t>
      </w:r>
      <w:r>
        <w:rPr>
          <w:rFonts w:hint="eastAsia"/>
          <w:color w:val="auto"/>
          <w:sz w:val="24"/>
          <w:lang w:val="en-US" w:eastAsia="zh-CN"/>
        </w:rPr>
        <w:t>3</w:t>
      </w:r>
      <w:r>
        <w:rPr>
          <w:rFonts w:hint="eastAsia"/>
          <w:color w:val="auto"/>
          <w:sz w:val="24"/>
        </w:rPr>
        <w:t>）</w:t>
      </w:r>
      <w:r>
        <w:rPr>
          <w:rFonts w:hAnsi="宋体"/>
          <w:color w:val="auto"/>
          <w:sz w:val="24"/>
        </w:rPr>
        <w:t>监测时间和频次</w:t>
      </w:r>
    </w:p>
    <w:p w14:paraId="6AFBD78D">
      <w:pPr>
        <w:spacing w:line="360" w:lineRule="auto"/>
        <w:ind w:firstLine="480"/>
        <w:rPr>
          <w:rFonts w:hint="eastAsia" w:ascii="Times New Roman" w:hAnsi="宋体" w:eastAsia="宋体"/>
          <w:color w:val="auto"/>
          <w:sz w:val="24"/>
        </w:rPr>
      </w:pPr>
      <w:r>
        <w:rPr>
          <w:rFonts w:hint="eastAsia" w:ascii="Times New Roman" w:hAnsi="宋体" w:eastAsia="宋体"/>
          <w:color w:val="auto"/>
          <w:sz w:val="24"/>
        </w:rPr>
        <w:t>对区域噪声监测点位，按《声环境质量标准》（GB3096-2008）进行监测，连续监测</w:t>
      </w:r>
      <w:r>
        <w:rPr>
          <w:rFonts w:hint="eastAsia" w:hAnsi="宋体"/>
          <w:color w:val="auto"/>
          <w:sz w:val="24"/>
          <w:lang w:val="en-US" w:eastAsia="zh-CN"/>
        </w:rPr>
        <w:t>2</w:t>
      </w:r>
      <w:r>
        <w:rPr>
          <w:rFonts w:hint="eastAsia" w:ascii="Times New Roman" w:hAnsi="宋体" w:eastAsia="宋体"/>
          <w:color w:val="auto"/>
          <w:sz w:val="24"/>
        </w:rPr>
        <w:t>天，昼夜各测一次。</w:t>
      </w:r>
    </w:p>
    <w:p w14:paraId="2DEA551B">
      <w:pPr>
        <w:bidi w:val="0"/>
        <w:rPr>
          <w:color w:val="auto"/>
          <w:sz w:val="24"/>
        </w:rPr>
      </w:pPr>
      <w:r>
        <w:rPr>
          <w:rFonts w:hint="eastAsia"/>
          <w:color w:val="auto"/>
          <w:sz w:val="24"/>
        </w:rPr>
        <w:t>（</w:t>
      </w:r>
      <w:r>
        <w:rPr>
          <w:rFonts w:hint="eastAsia"/>
          <w:color w:val="auto"/>
          <w:sz w:val="24"/>
          <w:lang w:val="en-US" w:eastAsia="zh-CN"/>
        </w:rPr>
        <w:t>4</w:t>
      </w:r>
      <w:r>
        <w:rPr>
          <w:rFonts w:hint="eastAsia"/>
          <w:color w:val="auto"/>
          <w:sz w:val="24"/>
        </w:rPr>
        <w:t>）</w:t>
      </w:r>
      <w:r>
        <w:rPr>
          <w:rFonts w:hAnsi="宋体"/>
          <w:color w:val="auto"/>
          <w:sz w:val="24"/>
        </w:rPr>
        <w:t>监测方法</w:t>
      </w:r>
    </w:p>
    <w:p w14:paraId="064DBDFC">
      <w:pPr>
        <w:bidi w:val="0"/>
        <w:rPr>
          <w:rFonts w:hint="eastAsia"/>
          <w:color w:val="auto"/>
          <w:lang w:val="zh-CN" w:eastAsia="zh-CN"/>
        </w:rPr>
      </w:pPr>
      <w:r>
        <w:rPr>
          <w:rFonts w:hint="eastAsia" w:hAnsi="宋体"/>
          <w:color w:val="auto"/>
          <w:sz w:val="24"/>
        </w:rPr>
        <w:t>区域噪声监测参照《声环境质量标准》（GB3096-2008）中有关监测方法。</w:t>
      </w:r>
    </w:p>
    <w:p w14:paraId="22393E83">
      <w:pPr>
        <w:ind w:firstLine="472"/>
        <w:rPr>
          <w:rFonts w:cs="Times New Roman"/>
          <w:color w:val="auto"/>
        </w:rPr>
      </w:pPr>
      <w:r>
        <w:rPr>
          <w:rFonts w:hint="eastAsia" w:cs="Times New Roman"/>
          <w:color w:val="auto"/>
        </w:rPr>
        <w:t>（</w:t>
      </w:r>
      <w:r>
        <w:rPr>
          <w:rFonts w:cs="Times New Roman"/>
          <w:color w:val="auto"/>
        </w:rPr>
        <w:t>5</w:t>
      </w:r>
      <w:r>
        <w:rPr>
          <w:rFonts w:hint="eastAsia" w:cs="Times New Roman"/>
          <w:color w:val="auto"/>
        </w:rPr>
        <w:t>）监测结果</w:t>
      </w:r>
    </w:p>
    <w:p w14:paraId="61FB0F58">
      <w:pPr>
        <w:ind w:firstLine="472"/>
        <w:rPr>
          <w:rFonts w:cs="Times New Roman"/>
          <w:color w:val="auto"/>
        </w:rPr>
      </w:pPr>
      <w:r>
        <w:rPr>
          <w:rFonts w:hint="eastAsia" w:cs="Times New Roman"/>
          <w:color w:val="auto"/>
        </w:rPr>
        <w:t>本</w:t>
      </w:r>
      <w:r>
        <w:rPr>
          <w:rFonts w:hint="eastAsia" w:cs="Times New Roman"/>
          <w:color w:val="auto"/>
          <w:lang w:val="en-US" w:eastAsia="zh-CN"/>
        </w:rPr>
        <w:t>项目声环境质量</w:t>
      </w:r>
      <w:r>
        <w:rPr>
          <w:rFonts w:hint="eastAsia" w:cs="Times New Roman"/>
          <w:color w:val="auto"/>
        </w:rPr>
        <w:t>监测结果</w:t>
      </w:r>
      <w:r>
        <w:rPr>
          <w:rFonts w:hint="eastAsia" w:cs="Times New Roman"/>
          <w:color w:val="auto"/>
          <w:lang w:val="en-US" w:eastAsia="zh-CN"/>
        </w:rPr>
        <w:t>及达标情况见下表</w:t>
      </w:r>
      <w:r>
        <w:rPr>
          <w:rFonts w:hint="eastAsia" w:cs="Times New Roman"/>
          <w:color w:val="auto"/>
        </w:rPr>
        <w:t>。</w:t>
      </w:r>
    </w:p>
    <w:p w14:paraId="30BF0A2D">
      <w:pPr>
        <w:pStyle w:val="11"/>
        <w:rPr>
          <w:rFonts w:hint="eastAsia"/>
          <w:color w:val="auto"/>
          <w:lang w:eastAsia="zh-CN"/>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7</w:t>
      </w:r>
      <w:r>
        <w:rPr>
          <w:color w:val="auto"/>
        </w:rPr>
        <w:fldChar w:fldCharType="end"/>
      </w:r>
      <w:r>
        <w:rPr>
          <w:rFonts w:hint="eastAsia"/>
          <w:color w:val="auto"/>
        </w:rPr>
        <w:t>声环境现状监测结果单位：</w:t>
      </w:r>
      <w:r>
        <w:rPr>
          <w:color w:val="auto"/>
        </w:rPr>
        <w:t>dB</w:t>
      </w:r>
      <w:r>
        <w:rPr>
          <w:rFonts w:hint="eastAsia"/>
          <w:color w:val="auto"/>
          <w:lang w:eastAsia="zh-CN"/>
        </w:rPr>
        <w:t>（</w:t>
      </w:r>
      <w:r>
        <w:rPr>
          <w:color w:val="auto"/>
        </w:rPr>
        <w:t>A</w:t>
      </w:r>
      <w:r>
        <w:rPr>
          <w:rFonts w:hint="eastAsia"/>
          <w:color w:val="auto"/>
          <w:lang w:eastAsia="zh-CN"/>
        </w:rPr>
        <w:t>）</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58"/>
        <w:gridCol w:w="1841"/>
        <w:gridCol w:w="1252"/>
        <w:gridCol w:w="1120"/>
        <w:gridCol w:w="1896"/>
        <w:gridCol w:w="1237"/>
      </w:tblGrid>
      <w:tr w14:paraId="642D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2C190E6A">
            <w:pPr>
              <w:pStyle w:val="31"/>
              <w:bidi w:val="0"/>
              <w:rPr>
                <w:rFonts w:hint="eastAsia"/>
                <w:color w:val="auto"/>
              </w:rPr>
            </w:pPr>
            <w:r>
              <w:rPr>
                <w:rFonts w:hint="eastAsia"/>
                <w:color w:val="auto"/>
                <w:lang w:val="en-US" w:eastAsia="zh-CN"/>
              </w:rPr>
              <w:t>监测日期</w:t>
            </w:r>
          </w:p>
        </w:tc>
        <w:tc>
          <w:tcPr>
            <w:tcW w:w="3093" w:type="dxa"/>
            <w:gridSpan w:val="2"/>
            <w:shd w:val="clear" w:color="auto" w:fill="auto"/>
            <w:vAlign w:val="center"/>
          </w:tcPr>
          <w:p w14:paraId="2C3CB571">
            <w:pPr>
              <w:pStyle w:val="31"/>
              <w:bidi w:val="0"/>
              <w:rPr>
                <w:rFonts w:hint="default"/>
                <w:color w:val="auto"/>
              </w:rPr>
            </w:pPr>
            <w:r>
              <w:rPr>
                <w:rFonts w:hint="default"/>
                <w:color w:val="auto"/>
                <w:lang w:val="en-US" w:eastAsia="zh-CN"/>
              </w:rPr>
              <w:t>2025.01.16</w:t>
            </w:r>
          </w:p>
        </w:tc>
        <w:tc>
          <w:tcPr>
            <w:tcW w:w="1120" w:type="dxa"/>
            <w:shd w:val="clear" w:color="auto" w:fill="auto"/>
            <w:vAlign w:val="center"/>
          </w:tcPr>
          <w:p w14:paraId="38D31861">
            <w:pPr>
              <w:pStyle w:val="31"/>
              <w:bidi w:val="0"/>
              <w:rPr>
                <w:rFonts w:hint="eastAsia"/>
                <w:color w:val="auto"/>
              </w:rPr>
            </w:pPr>
            <w:r>
              <w:rPr>
                <w:rFonts w:hint="eastAsia"/>
                <w:color w:val="auto"/>
                <w:lang w:val="en-US" w:eastAsia="zh-CN"/>
              </w:rPr>
              <w:t>监测日期</w:t>
            </w:r>
          </w:p>
        </w:tc>
        <w:tc>
          <w:tcPr>
            <w:tcW w:w="3133" w:type="dxa"/>
            <w:gridSpan w:val="2"/>
            <w:shd w:val="clear" w:color="auto" w:fill="auto"/>
            <w:vAlign w:val="center"/>
          </w:tcPr>
          <w:p w14:paraId="7E315888">
            <w:pPr>
              <w:pStyle w:val="31"/>
              <w:bidi w:val="0"/>
              <w:rPr>
                <w:rFonts w:hint="default"/>
                <w:color w:val="auto"/>
              </w:rPr>
            </w:pPr>
            <w:r>
              <w:rPr>
                <w:rFonts w:hint="default"/>
                <w:color w:val="auto"/>
                <w:lang w:val="en-US" w:eastAsia="zh-CN"/>
              </w:rPr>
              <w:t>2025.01.18</w:t>
            </w:r>
          </w:p>
        </w:tc>
      </w:tr>
      <w:tr w14:paraId="0325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4" w:type="dxa"/>
            <w:gridSpan w:val="6"/>
            <w:shd w:val="clear" w:color="auto" w:fill="auto"/>
            <w:vAlign w:val="center"/>
          </w:tcPr>
          <w:p w14:paraId="4ED56C2D">
            <w:pPr>
              <w:pStyle w:val="31"/>
              <w:bidi w:val="0"/>
              <w:rPr>
                <w:rFonts w:hint="eastAsia"/>
                <w:color w:val="auto"/>
              </w:rPr>
            </w:pPr>
            <w:r>
              <w:rPr>
                <w:rFonts w:hint="eastAsia"/>
                <w:color w:val="auto"/>
                <w:lang w:val="en-US" w:eastAsia="zh-CN"/>
              </w:rPr>
              <w:t>检测结果</w:t>
            </w:r>
          </w:p>
        </w:tc>
      </w:tr>
      <w:tr w14:paraId="5E69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vMerge w:val="restart"/>
            <w:shd w:val="clear" w:color="auto" w:fill="auto"/>
            <w:vAlign w:val="center"/>
          </w:tcPr>
          <w:p w14:paraId="29070C33">
            <w:pPr>
              <w:pStyle w:val="31"/>
              <w:bidi w:val="0"/>
              <w:rPr>
                <w:rFonts w:hint="eastAsia"/>
                <w:color w:val="auto"/>
              </w:rPr>
            </w:pPr>
            <w:r>
              <w:rPr>
                <w:rFonts w:hint="eastAsia"/>
                <w:color w:val="auto"/>
                <w:lang w:val="en-US" w:eastAsia="zh-CN"/>
              </w:rPr>
              <w:t>编号</w:t>
            </w:r>
          </w:p>
        </w:tc>
        <w:tc>
          <w:tcPr>
            <w:tcW w:w="1841" w:type="dxa"/>
            <w:vMerge w:val="restart"/>
            <w:shd w:val="clear" w:color="auto" w:fill="auto"/>
            <w:vAlign w:val="center"/>
          </w:tcPr>
          <w:p w14:paraId="2CAE8BEC">
            <w:pPr>
              <w:pStyle w:val="31"/>
              <w:bidi w:val="0"/>
              <w:rPr>
                <w:rFonts w:hint="eastAsia"/>
                <w:color w:val="auto"/>
              </w:rPr>
            </w:pPr>
            <w:r>
              <w:rPr>
                <w:rFonts w:hint="eastAsia"/>
                <w:color w:val="auto"/>
                <w:lang w:val="en-US" w:eastAsia="zh-CN"/>
              </w:rPr>
              <w:t>监测点位</w:t>
            </w:r>
          </w:p>
        </w:tc>
        <w:tc>
          <w:tcPr>
            <w:tcW w:w="1252" w:type="dxa"/>
            <w:shd w:val="clear" w:color="auto" w:fill="auto"/>
            <w:vAlign w:val="center"/>
          </w:tcPr>
          <w:p w14:paraId="45C96023">
            <w:pPr>
              <w:pStyle w:val="31"/>
              <w:bidi w:val="0"/>
              <w:rPr>
                <w:rFonts w:hint="eastAsia"/>
                <w:color w:val="auto"/>
              </w:rPr>
            </w:pPr>
            <w:r>
              <w:rPr>
                <w:rFonts w:hint="eastAsia"/>
                <w:color w:val="auto"/>
                <w:lang w:val="en-US" w:eastAsia="zh-CN"/>
              </w:rPr>
              <w:t>监测结果</w:t>
            </w:r>
            <w:r>
              <w:rPr>
                <w:color w:val="auto"/>
                <w:lang w:val="en-US" w:eastAsia="zh-CN"/>
              </w:rPr>
              <w:t>[dB(A)]</w:t>
            </w:r>
          </w:p>
        </w:tc>
        <w:tc>
          <w:tcPr>
            <w:tcW w:w="1120" w:type="dxa"/>
            <w:vMerge w:val="restart"/>
            <w:shd w:val="clear" w:color="auto" w:fill="auto"/>
            <w:vAlign w:val="center"/>
          </w:tcPr>
          <w:p w14:paraId="2A47D3BE">
            <w:pPr>
              <w:pStyle w:val="31"/>
              <w:bidi w:val="0"/>
              <w:rPr>
                <w:rFonts w:hint="eastAsia"/>
                <w:color w:val="auto"/>
              </w:rPr>
            </w:pPr>
            <w:r>
              <w:rPr>
                <w:rFonts w:hint="eastAsia"/>
                <w:color w:val="auto"/>
                <w:lang w:val="en-US" w:eastAsia="zh-CN"/>
              </w:rPr>
              <w:t>编号</w:t>
            </w:r>
          </w:p>
        </w:tc>
        <w:tc>
          <w:tcPr>
            <w:tcW w:w="1896" w:type="dxa"/>
            <w:vMerge w:val="restart"/>
            <w:shd w:val="clear" w:color="auto" w:fill="auto"/>
            <w:vAlign w:val="center"/>
          </w:tcPr>
          <w:p w14:paraId="6663D5BD">
            <w:pPr>
              <w:pStyle w:val="31"/>
              <w:bidi w:val="0"/>
              <w:rPr>
                <w:rFonts w:hint="eastAsia"/>
                <w:color w:val="auto"/>
              </w:rPr>
            </w:pPr>
            <w:r>
              <w:rPr>
                <w:rFonts w:hint="eastAsia"/>
                <w:color w:val="auto"/>
                <w:lang w:val="en-US" w:eastAsia="zh-CN"/>
              </w:rPr>
              <w:t>监测点位</w:t>
            </w:r>
          </w:p>
        </w:tc>
        <w:tc>
          <w:tcPr>
            <w:tcW w:w="1237" w:type="dxa"/>
            <w:shd w:val="clear" w:color="auto" w:fill="auto"/>
            <w:vAlign w:val="center"/>
          </w:tcPr>
          <w:p w14:paraId="01453797">
            <w:pPr>
              <w:pStyle w:val="31"/>
              <w:bidi w:val="0"/>
              <w:rPr>
                <w:rFonts w:hint="eastAsia"/>
                <w:color w:val="auto"/>
              </w:rPr>
            </w:pPr>
            <w:r>
              <w:rPr>
                <w:rFonts w:hint="eastAsia"/>
                <w:color w:val="auto"/>
                <w:lang w:val="en-US" w:eastAsia="zh-CN"/>
              </w:rPr>
              <w:t>监测结果</w:t>
            </w:r>
            <w:r>
              <w:rPr>
                <w:color w:val="auto"/>
                <w:lang w:val="en-US" w:eastAsia="zh-CN"/>
              </w:rPr>
              <w:t>[dB(A)]</w:t>
            </w:r>
          </w:p>
        </w:tc>
      </w:tr>
      <w:tr w14:paraId="26DC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vMerge w:val="continue"/>
            <w:shd w:val="clear" w:color="auto" w:fill="auto"/>
            <w:vAlign w:val="center"/>
          </w:tcPr>
          <w:p w14:paraId="3764E35A">
            <w:pPr>
              <w:pStyle w:val="31"/>
              <w:bidi w:val="0"/>
              <w:rPr>
                <w:rFonts w:hint="eastAsia"/>
                <w:color w:val="auto"/>
              </w:rPr>
            </w:pPr>
          </w:p>
        </w:tc>
        <w:tc>
          <w:tcPr>
            <w:tcW w:w="1841" w:type="dxa"/>
            <w:vMerge w:val="continue"/>
            <w:shd w:val="clear" w:color="auto" w:fill="auto"/>
            <w:vAlign w:val="center"/>
          </w:tcPr>
          <w:p w14:paraId="68D653EC">
            <w:pPr>
              <w:pStyle w:val="31"/>
              <w:bidi w:val="0"/>
              <w:rPr>
                <w:rFonts w:hint="eastAsia"/>
                <w:color w:val="auto"/>
              </w:rPr>
            </w:pPr>
          </w:p>
        </w:tc>
        <w:tc>
          <w:tcPr>
            <w:tcW w:w="1252" w:type="dxa"/>
            <w:shd w:val="clear" w:color="auto" w:fill="auto"/>
            <w:vAlign w:val="center"/>
          </w:tcPr>
          <w:p w14:paraId="2AA9E77A">
            <w:pPr>
              <w:pStyle w:val="31"/>
              <w:bidi w:val="0"/>
              <w:rPr>
                <w:rFonts w:hint="eastAsia"/>
                <w:color w:val="auto"/>
              </w:rPr>
            </w:pPr>
            <w:r>
              <w:rPr>
                <w:rFonts w:hint="eastAsia"/>
                <w:color w:val="auto"/>
                <w:lang w:val="en-US" w:eastAsia="zh-CN"/>
              </w:rPr>
              <w:t>昼间</w:t>
            </w:r>
            <w:r>
              <w:rPr>
                <w:color w:val="auto"/>
                <w:lang w:val="en-US" w:eastAsia="zh-CN"/>
              </w:rPr>
              <w:t>Leq</w:t>
            </w:r>
          </w:p>
        </w:tc>
        <w:tc>
          <w:tcPr>
            <w:tcW w:w="1120" w:type="dxa"/>
            <w:vMerge w:val="continue"/>
            <w:shd w:val="clear" w:color="auto" w:fill="auto"/>
            <w:vAlign w:val="center"/>
          </w:tcPr>
          <w:p w14:paraId="08FD8712">
            <w:pPr>
              <w:pStyle w:val="31"/>
              <w:bidi w:val="0"/>
              <w:rPr>
                <w:rFonts w:hint="eastAsia"/>
                <w:color w:val="auto"/>
              </w:rPr>
            </w:pPr>
          </w:p>
        </w:tc>
        <w:tc>
          <w:tcPr>
            <w:tcW w:w="1896" w:type="dxa"/>
            <w:vMerge w:val="continue"/>
            <w:shd w:val="clear" w:color="auto" w:fill="auto"/>
            <w:vAlign w:val="center"/>
          </w:tcPr>
          <w:p w14:paraId="007DB85E">
            <w:pPr>
              <w:pStyle w:val="31"/>
              <w:bidi w:val="0"/>
              <w:rPr>
                <w:rFonts w:hint="eastAsia"/>
                <w:color w:val="auto"/>
              </w:rPr>
            </w:pPr>
          </w:p>
        </w:tc>
        <w:tc>
          <w:tcPr>
            <w:tcW w:w="1237" w:type="dxa"/>
            <w:shd w:val="clear" w:color="auto" w:fill="auto"/>
            <w:vAlign w:val="center"/>
          </w:tcPr>
          <w:p w14:paraId="17AB65B4">
            <w:pPr>
              <w:pStyle w:val="31"/>
              <w:bidi w:val="0"/>
              <w:rPr>
                <w:rFonts w:hint="eastAsia"/>
                <w:color w:val="auto"/>
              </w:rPr>
            </w:pPr>
            <w:r>
              <w:rPr>
                <w:rFonts w:hint="eastAsia"/>
                <w:color w:val="auto"/>
                <w:lang w:val="en-US" w:eastAsia="zh-CN"/>
              </w:rPr>
              <w:t>昼间</w:t>
            </w:r>
            <w:r>
              <w:rPr>
                <w:color w:val="auto"/>
                <w:lang w:val="en-US" w:eastAsia="zh-CN"/>
              </w:rPr>
              <w:t>Leq</w:t>
            </w:r>
          </w:p>
        </w:tc>
      </w:tr>
      <w:tr w14:paraId="7076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4546663F">
            <w:pPr>
              <w:pStyle w:val="31"/>
              <w:bidi w:val="0"/>
              <w:rPr>
                <w:rFonts w:hint="default"/>
                <w:color w:val="auto"/>
              </w:rPr>
            </w:pPr>
            <w:r>
              <w:rPr>
                <w:rFonts w:hint="default"/>
                <w:color w:val="auto"/>
                <w:lang w:val="en-US" w:eastAsia="zh-CN"/>
              </w:rPr>
              <w:t>N1</w:t>
            </w:r>
          </w:p>
        </w:tc>
        <w:tc>
          <w:tcPr>
            <w:tcW w:w="1841" w:type="dxa"/>
            <w:shd w:val="clear" w:color="auto" w:fill="auto"/>
            <w:vAlign w:val="center"/>
          </w:tcPr>
          <w:p w14:paraId="6214A72C">
            <w:pPr>
              <w:pStyle w:val="31"/>
              <w:bidi w:val="0"/>
              <w:rPr>
                <w:rFonts w:hint="default"/>
                <w:color w:val="auto"/>
              </w:rPr>
            </w:pPr>
            <w:r>
              <w:rPr>
                <w:rFonts w:hint="default"/>
                <w:color w:val="auto"/>
                <w:lang w:val="en-US" w:eastAsia="zh-CN"/>
              </w:rPr>
              <w:t>5</w:t>
            </w:r>
            <w:r>
              <w:rPr>
                <w:color w:val="auto"/>
                <w:lang w:val="en-US" w:eastAsia="zh-CN"/>
              </w:rPr>
              <w:t>号抛泥区北厂界</w:t>
            </w:r>
          </w:p>
        </w:tc>
        <w:tc>
          <w:tcPr>
            <w:tcW w:w="1252" w:type="dxa"/>
            <w:shd w:val="clear" w:color="auto" w:fill="auto"/>
            <w:vAlign w:val="center"/>
          </w:tcPr>
          <w:p w14:paraId="502EA1CC">
            <w:pPr>
              <w:pStyle w:val="31"/>
              <w:bidi w:val="0"/>
              <w:rPr>
                <w:rFonts w:hint="default"/>
                <w:color w:val="auto"/>
              </w:rPr>
            </w:pPr>
            <w:r>
              <w:rPr>
                <w:rFonts w:hint="default"/>
                <w:color w:val="auto"/>
                <w:lang w:val="en-US" w:eastAsia="zh-CN"/>
              </w:rPr>
              <w:t>47</w:t>
            </w:r>
          </w:p>
        </w:tc>
        <w:tc>
          <w:tcPr>
            <w:tcW w:w="1120" w:type="dxa"/>
            <w:shd w:val="clear" w:color="auto" w:fill="auto"/>
            <w:vAlign w:val="center"/>
          </w:tcPr>
          <w:p w14:paraId="3BE3DA7A">
            <w:pPr>
              <w:pStyle w:val="31"/>
              <w:bidi w:val="0"/>
              <w:rPr>
                <w:rFonts w:hint="default"/>
                <w:color w:val="auto"/>
              </w:rPr>
            </w:pPr>
            <w:r>
              <w:rPr>
                <w:rFonts w:hint="default"/>
                <w:color w:val="auto"/>
                <w:lang w:val="en-US" w:eastAsia="zh-CN"/>
              </w:rPr>
              <w:t>N1</w:t>
            </w:r>
          </w:p>
        </w:tc>
        <w:tc>
          <w:tcPr>
            <w:tcW w:w="1896" w:type="dxa"/>
            <w:shd w:val="clear" w:color="auto" w:fill="auto"/>
            <w:vAlign w:val="center"/>
          </w:tcPr>
          <w:p w14:paraId="4B0F2466">
            <w:pPr>
              <w:pStyle w:val="31"/>
              <w:bidi w:val="0"/>
              <w:rPr>
                <w:rFonts w:hint="default"/>
                <w:color w:val="auto"/>
              </w:rPr>
            </w:pPr>
            <w:r>
              <w:rPr>
                <w:rFonts w:hint="default"/>
                <w:color w:val="auto"/>
                <w:lang w:val="en-US" w:eastAsia="zh-CN"/>
              </w:rPr>
              <w:t>5</w:t>
            </w:r>
            <w:r>
              <w:rPr>
                <w:color w:val="auto"/>
                <w:lang w:val="en-US" w:eastAsia="zh-CN"/>
              </w:rPr>
              <w:t>号抛泥区北厂界</w:t>
            </w:r>
          </w:p>
        </w:tc>
        <w:tc>
          <w:tcPr>
            <w:tcW w:w="1237" w:type="dxa"/>
            <w:shd w:val="clear" w:color="auto" w:fill="auto"/>
            <w:vAlign w:val="center"/>
          </w:tcPr>
          <w:p w14:paraId="5168D1AA">
            <w:pPr>
              <w:pStyle w:val="31"/>
              <w:bidi w:val="0"/>
              <w:rPr>
                <w:rFonts w:hint="default"/>
                <w:color w:val="auto"/>
              </w:rPr>
            </w:pPr>
            <w:r>
              <w:rPr>
                <w:rFonts w:hint="default"/>
                <w:color w:val="auto"/>
                <w:lang w:val="en-US" w:eastAsia="zh-CN"/>
              </w:rPr>
              <w:t>47.4</w:t>
            </w:r>
          </w:p>
        </w:tc>
      </w:tr>
      <w:tr w14:paraId="132C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158" w:type="dxa"/>
            <w:shd w:val="clear" w:color="auto" w:fill="auto"/>
            <w:vAlign w:val="center"/>
          </w:tcPr>
          <w:p w14:paraId="312A988A">
            <w:pPr>
              <w:pStyle w:val="31"/>
              <w:bidi w:val="0"/>
              <w:rPr>
                <w:rFonts w:hint="default"/>
                <w:color w:val="auto"/>
              </w:rPr>
            </w:pPr>
            <w:r>
              <w:rPr>
                <w:rFonts w:hint="default"/>
                <w:color w:val="auto"/>
                <w:lang w:val="en-US" w:eastAsia="zh-CN"/>
              </w:rPr>
              <w:t>N2</w:t>
            </w:r>
          </w:p>
        </w:tc>
        <w:tc>
          <w:tcPr>
            <w:tcW w:w="1841" w:type="dxa"/>
            <w:shd w:val="clear" w:color="auto" w:fill="auto"/>
            <w:vAlign w:val="center"/>
          </w:tcPr>
          <w:p w14:paraId="7B062DB3">
            <w:pPr>
              <w:pStyle w:val="31"/>
              <w:bidi w:val="0"/>
              <w:rPr>
                <w:rFonts w:hint="default"/>
                <w:color w:val="auto"/>
              </w:rPr>
            </w:pPr>
            <w:r>
              <w:rPr>
                <w:rFonts w:hint="default"/>
                <w:color w:val="auto"/>
                <w:lang w:val="en-US" w:eastAsia="zh-CN"/>
              </w:rPr>
              <w:t>5</w:t>
            </w:r>
            <w:r>
              <w:rPr>
                <w:color w:val="auto"/>
                <w:lang w:val="en-US" w:eastAsia="zh-CN"/>
              </w:rPr>
              <w:t>号抛泥区西厂界</w:t>
            </w:r>
          </w:p>
        </w:tc>
        <w:tc>
          <w:tcPr>
            <w:tcW w:w="1252" w:type="dxa"/>
            <w:shd w:val="clear" w:color="auto" w:fill="auto"/>
            <w:vAlign w:val="center"/>
          </w:tcPr>
          <w:p w14:paraId="0524B025">
            <w:pPr>
              <w:pStyle w:val="31"/>
              <w:bidi w:val="0"/>
              <w:rPr>
                <w:rFonts w:hint="default"/>
                <w:color w:val="auto"/>
              </w:rPr>
            </w:pPr>
            <w:r>
              <w:rPr>
                <w:rFonts w:hint="default"/>
                <w:color w:val="auto"/>
                <w:lang w:val="en-US" w:eastAsia="zh-CN"/>
              </w:rPr>
              <w:t>40.4</w:t>
            </w:r>
          </w:p>
        </w:tc>
        <w:tc>
          <w:tcPr>
            <w:tcW w:w="1120" w:type="dxa"/>
            <w:shd w:val="clear" w:color="auto" w:fill="auto"/>
            <w:vAlign w:val="center"/>
          </w:tcPr>
          <w:p w14:paraId="61DBB065">
            <w:pPr>
              <w:pStyle w:val="31"/>
              <w:bidi w:val="0"/>
              <w:rPr>
                <w:rFonts w:hint="default"/>
                <w:color w:val="auto"/>
              </w:rPr>
            </w:pPr>
            <w:r>
              <w:rPr>
                <w:rFonts w:hint="default"/>
                <w:color w:val="auto"/>
                <w:lang w:val="en-US" w:eastAsia="zh-CN"/>
              </w:rPr>
              <w:t>N2</w:t>
            </w:r>
          </w:p>
        </w:tc>
        <w:tc>
          <w:tcPr>
            <w:tcW w:w="1896" w:type="dxa"/>
            <w:shd w:val="clear" w:color="auto" w:fill="auto"/>
            <w:vAlign w:val="center"/>
          </w:tcPr>
          <w:p w14:paraId="700CBD33">
            <w:pPr>
              <w:pStyle w:val="31"/>
              <w:bidi w:val="0"/>
              <w:rPr>
                <w:rFonts w:hint="default"/>
                <w:color w:val="auto"/>
              </w:rPr>
            </w:pPr>
            <w:r>
              <w:rPr>
                <w:rFonts w:hint="default"/>
                <w:color w:val="auto"/>
                <w:lang w:val="en-US" w:eastAsia="zh-CN"/>
              </w:rPr>
              <w:t>5</w:t>
            </w:r>
            <w:r>
              <w:rPr>
                <w:color w:val="auto"/>
                <w:lang w:val="en-US" w:eastAsia="zh-CN"/>
              </w:rPr>
              <w:t>号抛泥区西厂界</w:t>
            </w:r>
          </w:p>
        </w:tc>
        <w:tc>
          <w:tcPr>
            <w:tcW w:w="1237" w:type="dxa"/>
            <w:shd w:val="clear" w:color="auto" w:fill="auto"/>
            <w:vAlign w:val="center"/>
          </w:tcPr>
          <w:p w14:paraId="7DC4FA67">
            <w:pPr>
              <w:pStyle w:val="31"/>
              <w:bidi w:val="0"/>
              <w:rPr>
                <w:rFonts w:hint="default"/>
                <w:color w:val="auto"/>
              </w:rPr>
            </w:pPr>
            <w:r>
              <w:rPr>
                <w:rFonts w:hint="default"/>
                <w:color w:val="auto"/>
                <w:lang w:val="en-US" w:eastAsia="zh-CN"/>
              </w:rPr>
              <w:t>42</w:t>
            </w:r>
          </w:p>
        </w:tc>
      </w:tr>
      <w:tr w14:paraId="0506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6FF0C620">
            <w:pPr>
              <w:pStyle w:val="31"/>
              <w:bidi w:val="0"/>
              <w:rPr>
                <w:rFonts w:hint="default"/>
                <w:color w:val="auto"/>
              </w:rPr>
            </w:pPr>
            <w:r>
              <w:rPr>
                <w:rFonts w:hint="default"/>
                <w:color w:val="auto"/>
                <w:lang w:val="en-US" w:eastAsia="zh-CN"/>
              </w:rPr>
              <w:t>N3</w:t>
            </w:r>
          </w:p>
        </w:tc>
        <w:tc>
          <w:tcPr>
            <w:tcW w:w="1841" w:type="dxa"/>
            <w:shd w:val="clear" w:color="auto" w:fill="auto"/>
            <w:vAlign w:val="center"/>
          </w:tcPr>
          <w:p w14:paraId="15C8507C">
            <w:pPr>
              <w:pStyle w:val="31"/>
              <w:bidi w:val="0"/>
              <w:rPr>
                <w:rFonts w:hint="default"/>
                <w:color w:val="auto"/>
              </w:rPr>
            </w:pPr>
            <w:r>
              <w:rPr>
                <w:rFonts w:hint="default"/>
                <w:color w:val="auto"/>
                <w:lang w:val="en-US" w:eastAsia="zh-CN"/>
              </w:rPr>
              <w:t>5</w:t>
            </w:r>
            <w:r>
              <w:rPr>
                <w:color w:val="auto"/>
                <w:lang w:val="en-US" w:eastAsia="zh-CN"/>
              </w:rPr>
              <w:t>号抛泥区南厂界</w:t>
            </w:r>
          </w:p>
        </w:tc>
        <w:tc>
          <w:tcPr>
            <w:tcW w:w="1252" w:type="dxa"/>
            <w:shd w:val="clear" w:color="auto" w:fill="auto"/>
            <w:vAlign w:val="center"/>
          </w:tcPr>
          <w:p w14:paraId="4F413B6A">
            <w:pPr>
              <w:pStyle w:val="31"/>
              <w:bidi w:val="0"/>
              <w:rPr>
                <w:rFonts w:hint="default"/>
                <w:color w:val="auto"/>
              </w:rPr>
            </w:pPr>
            <w:r>
              <w:rPr>
                <w:rFonts w:hint="default"/>
                <w:color w:val="auto"/>
                <w:lang w:val="en-US" w:eastAsia="zh-CN"/>
              </w:rPr>
              <w:t>42.2</w:t>
            </w:r>
          </w:p>
        </w:tc>
        <w:tc>
          <w:tcPr>
            <w:tcW w:w="1120" w:type="dxa"/>
            <w:shd w:val="clear" w:color="auto" w:fill="auto"/>
            <w:vAlign w:val="center"/>
          </w:tcPr>
          <w:p w14:paraId="708DB641">
            <w:pPr>
              <w:pStyle w:val="31"/>
              <w:bidi w:val="0"/>
              <w:rPr>
                <w:rFonts w:hint="default"/>
                <w:color w:val="auto"/>
              </w:rPr>
            </w:pPr>
            <w:r>
              <w:rPr>
                <w:rFonts w:hint="default"/>
                <w:color w:val="auto"/>
                <w:lang w:val="en-US" w:eastAsia="zh-CN"/>
              </w:rPr>
              <w:t>N3</w:t>
            </w:r>
          </w:p>
        </w:tc>
        <w:tc>
          <w:tcPr>
            <w:tcW w:w="1896" w:type="dxa"/>
            <w:shd w:val="clear" w:color="auto" w:fill="auto"/>
            <w:vAlign w:val="center"/>
          </w:tcPr>
          <w:p w14:paraId="1E3D5886">
            <w:pPr>
              <w:pStyle w:val="31"/>
              <w:bidi w:val="0"/>
              <w:rPr>
                <w:rFonts w:hint="default"/>
                <w:color w:val="auto"/>
              </w:rPr>
            </w:pPr>
            <w:r>
              <w:rPr>
                <w:rFonts w:hint="default"/>
                <w:color w:val="auto"/>
                <w:lang w:val="en-US" w:eastAsia="zh-CN"/>
              </w:rPr>
              <w:t>5</w:t>
            </w:r>
            <w:r>
              <w:rPr>
                <w:color w:val="auto"/>
                <w:lang w:val="en-US" w:eastAsia="zh-CN"/>
              </w:rPr>
              <w:t>号抛泥区南厂界</w:t>
            </w:r>
          </w:p>
        </w:tc>
        <w:tc>
          <w:tcPr>
            <w:tcW w:w="1237" w:type="dxa"/>
            <w:shd w:val="clear" w:color="auto" w:fill="auto"/>
            <w:vAlign w:val="center"/>
          </w:tcPr>
          <w:p w14:paraId="04ACE4DC">
            <w:pPr>
              <w:pStyle w:val="31"/>
              <w:bidi w:val="0"/>
              <w:rPr>
                <w:rFonts w:hint="default"/>
                <w:color w:val="auto"/>
              </w:rPr>
            </w:pPr>
            <w:r>
              <w:rPr>
                <w:rFonts w:hint="default"/>
                <w:color w:val="auto"/>
                <w:lang w:val="en-US" w:eastAsia="zh-CN"/>
              </w:rPr>
              <w:t>39.5</w:t>
            </w:r>
          </w:p>
        </w:tc>
      </w:tr>
      <w:tr w14:paraId="134D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54808574">
            <w:pPr>
              <w:pStyle w:val="31"/>
              <w:bidi w:val="0"/>
              <w:rPr>
                <w:rFonts w:hint="default"/>
                <w:color w:val="auto"/>
              </w:rPr>
            </w:pPr>
            <w:r>
              <w:rPr>
                <w:rFonts w:hint="default"/>
                <w:color w:val="auto"/>
                <w:lang w:val="en-US" w:eastAsia="zh-CN"/>
              </w:rPr>
              <w:t>N4</w:t>
            </w:r>
          </w:p>
        </w:tc>
        <w:tc>
          <w:tcPr>
            <w:tcW w:w="1841" w:type="dxa"/>
            <w:shd w:val="clear" w:color="auto" w:fill="auto"/>
            <w:vAlign w:val="center"/>
          </w:tcPr>
          <w:p w14:paraId="687CA0B4">
            <w:pPr>
              <w:pStyle w:val="31"/>
              <w:bidi w:val="0"/>
              <w:rPr>
                <w:rFonts w:hint="default"/>
                <w:color w:val="auto"/>
              </w:rPr>
            </w:pPr>
            <w:r>
              <w:rPr>
                <w:rFonts w:hint="default"/>
                <w:color w:val="auto"/>
                <w:lang w:val="en-US" w:eastAsia="zh-CN"/>
              </w:rPr>
              <w:t>5</w:t>
            </w:r>
            <w:r>
              <w:rPr>
                <w:color w:val="auto"/>
                <w:lang w:val="en-US" w:eastAsia="zh-CN"/>
              </w:rPr>
              <w:t>号抛泥区东厂界</w:t>
            </w:r>
          </w:p>
        </w:tc>
        <w:tc>
          <w:tcPr>
            <w:tcW w:w="1252" w:type="dxa"/>
            <w:shd w:val="clear" w:color="auto" w:fill="auto"/>
            <w:vAlign w:val="center"/>
          </w:tcPr>
          <w:p w14:paraId="42FC5F4F">
            <w:pPr>
              <w:pStyle w:val="31"/>
              <w:bidi w:val="0"/>
              <w:rPr>
                <w:rFonts w:hint="default"/>
                <w:color w:val="auto"/>
              </w:rPr>
            </w:pPr>
            <w:r>
              <w:rPr>
                <w:rFonts w:hint="default"/>
                <w:color w:val="auto"/>
                <w:lang w:val="en-US" w:eastAsia="zh-CN"/>
              </w:rPr>
              <w:t>43</w:t>
            </w:r>
          </w:p>
        </w:tc>
        <w:tc>
          <w:tcPr>
            <w:tcW w:w="1120" w:type="dxa"/>
            <w:shd w:val="clear" w:color="auto" w:fill="auto"/>
            <w:vAlign w:val="center"/>
          </w:tcPr>
          <w:p w14:paraId="564CA3F4">
            <w:pPr>
              <w:pStyle w:val="31"/>
              <w:bidi w:val="0"/>
              <w:rPr>
                <w:rFonts w:hint="default"/>
                <w:color w:val="auto"/>
              </w:rPr>
            </w:pPr>
            <w:r>
              <w:rPr>
                <w:rFonts w:hint="default"/>
                <w:color w:val="auto"/>
                <w:lang w:val="en-US" w:eastAsia="zh-CN"/>
              </w:rPr>
              <w:t>N4</w:t>
            </w:r>
          </w:p>
        </w:tc>
        <w:tc>
          <w:tcPr>
            <w:tcW w:w="1896" w:type="dxa"/>
            <w:shd w:val="clear" w:color="auto" w:fill="auto"/>
            <w:vAlign w:val="center"/>
          </w:tcPr>
          <w:p w14:paraId="49932954">
            <w:pPr>
              <w:pStyle w:val="31"/>
              <w:bidi w:val="0"/>
              <w:rPr>
                <w:rFonts w:hint="default"/>
                <w:color w:val="auto"/>
              </w:rPr>
            </w:pPr>
            <w:r>
              <w:rPr>
                <w:rFonts w:hint="default"/>
                <w:color w:val="auto"/>
                <w:lang w:val="en-US" w:eastAsia="zh-CN"/>
              </w:rPr>
              <w:t>5</w:t>
            </w:r>
            <w:r>
              <w:rPr>
                <w:color w:val="auto"/>
                <w:lang w:val="en-US" w:eastAsia="zh-CN"/>
              </w:rPr>
              <w:t>号抛泥区东厂界</w:t>
            </w:r>
          </w:p>
        </w:tc>
        <w:tc>
          <w:tcPr>
            <w:tcW w:w="1237" w:type="dxa"/>
            <w:shd w:val="clear" w:color="auto" w:fill="auto"/>
            <w:vAlign w:val="center"/>
          </w:tcPr>
          <w:p w14:paraId="58B47C1F">
            <w:pPr>
              <w:pStyle w:val="31"/>
              <w:bidi w:val="0"/>
              <w:rPr>
                <w:rFonts w:hint="default"/>
                <w:color w:val="auto"/>
              </w:rPr>
            </w:pPr>
            <w:r>
              <w:rPr>
                <w:rFonts w:hint="default"/>
                <w:color w:val="auto"/>
                <w:lang w:val="en-US" w:eastAsia="zh-CN"/>
              </w:rPr>
              <w:t>45</w:t>
            </w:r>
          </w:p>
        </w:tc>
      </w:tr>
      <w:tr w14:paraId="3166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3C206979">
            <w:pPr>
              <w:pStyle w:val="31"/>
              <w:bidi w:val="0"/>
              <w:rPr>
                <w:rFonts w:hint="default"/>
                <w:color w:val="auto"/>
              </w:rPr>
            </w:pPr>
            <w:r>
              <w:rPr>
                <w:rFonts w:hint="default"/>
                <w:color w:val="auto"/>
                <w:lang w:val="en-US" w:eastAsia="zh-CN"/>
              </w:rPr>
              <w:t>N</w:t>
            </w:r>
            <w:r>
              <w:rPr>
                <w:color w:val="auto"/>
                <w:lang w:val="en-US" w:eastAsia="zh-CN"/>
              </w:rPr>
              <w:t>5</w:t>
            </w:r>
          </w:p>
        </w:tc>
        <w:tc>
          <w:tcPr>
            <w:tcW w:w="1841" w:type="dxa"/>
            <w:shd w:val="clear" w:color="auto" w:fill="auto"/>
            <w:vAlign w:val="center"/>
          </w:tcPr>
          <w:p w14:paraId="3B3AB63E">
            <w:pPr>
              <w:pStyle w:val="31"/>
              <w:bidi w:val="0"/>
              <w:rPr>
                <w:rFonts w:hint="default"/>
                <w:color w:val="auto"/>
              </w:rPr>
            </w:pPr>
            <w:r>
              <w:rPr>
                <w:rFonts w:hint="default"/>
                <w:color w:val="auto"/>
                <w:lang w:val="en-US" w:eastAsia="zh-CN"/>
              </w:rPr>
              <w:t>6</w:t>
            </w:r>
            <w:r>
              <w:rPr>
                <w:color w:val="auto"/>
                <w:lang w:val="en-US" w:eastAsia="zh-CN"/>
              </w:rPr>
              <w:t>号抛泥区北厂界</w:t>
            </w:r>
          </w:p>
        </w:tc>
        <w:tc>
          <w:tcPr>
            <w:tcW w:w="1252" w:type="dxa"/>
            <w:shd w:val="clear" w:color="auto" w:fill="auto"/>
            <w:vAlign w:val="center"/>
          </w:tcPr>
          <w:p w14:paraId="5189474D">
            <w:pPr>
              <w:pStyle w:val="31"/>
              <w:bidi w:val="0"/>
              <w:rPr>
                <w:rFonts w:hint="default"/>
                <w:color w:val="auto"/>
              </w:rPr>
            </w:pPr>
            <w:r>
              <w:rPr>
                <w:rFonts w:hint="default"/>
                <w:color w:val="auto"/>
                <w:lang w:val="en-US" w:eastAsia="zh-CN"/>
              </w:rPr>
              <w:t>38.1</w:t>
            </w:r>
          </w:p>
        </w:tc>
        <w:tc>
          <w:tcPr>
            <w:tcW w:w="1120" w:type="dxa"/>
            <w:shd w:val="clear" w:color="auto" w:fill="auto"/>
            <w:vAlign w:val="center"/>
          </w:tcPr>
          <w:p w14:paraId="57E3D8F9">
            <w:pPr>
              <w:pStyle w:val="31"/>
              <w:bidi w:val="0"/>
              <w:rPr>
                <w:rFonts w:hint="default"/>
                <w:color w:val="auto"/>
              </w:rPr>
            </w:pPr>
            <w:r>
              <w:rPr>
                <w:rFonts w:hint="default"/>
                <w:color w:val="auto"/>
                <w:lang w:val="en-US" w:eastAsia="zh-CN"/>
              </w:rPr>
              <w:t>N</w:t>
            </w:r>
            <w:r>
              <w:rPr>
                <w:color w:val="auto"/>
                <w:lang w:val="en-US" w:eastAsia="zh-CN"/>
              </w:rPr>
              <w:t>5</w:t>
            </w:r>
          </w:p>
        </w:tc>
        <w:tc>
          <w:tcPr>
            <w:tcW w:w="1896" w:type="dxa"/>
            <w:shd w:val="clear" w:color="auto" w:fill="auto"/>
            <w:vAlign w:val="center"/>
          </w:tcPr>
          <w:p w14:paraId="0CA7600F">
            <w:pPr>
              <w:pStyle w:val="31"/>
              <w:bidi w:val="0"/>
              <w:rPr>
                <w:rFonts w:hint="default"/>
                <w:color w:val="auto"/>
              </w:rPr>
            </w:pPr>
            <w:r>
              <w:rPr>
                <w:rFonts w:hint="default"/>
                <w:color w:val="auto"/>
                <w:lang w:val="en-US" w:eastAsia="zh-CN"/>
              </w:rPr>
              <w:t>6</w:t>
            </w:r>
            <w:r>
              <w:rPr>
                <w:color w:val="auto"/>
                <w:lang w:val="en-US" w:eastAsia="zh-CN"/>
              </w:rPr>
              <w:t>号抛泥区北厂界</w:t>
            </w:r>
          </w:p>
        </w:tc>
        <w:tc>
          <w:tcPr>
            <w:tcW w:w="1237" w:type="dxa"/>
            <w:shd w:val="clear" w:color="auto" w:fill="auto"/>
            <w:vAlign w:val="center"/>
          </w:tcPr>
          <w:p w14:paraId="3D4A887C">
            <w:pPr>
              <w:pStyle w:val="31"/>
              <w:bidi w:val="0"/>
              <w:rPr>
                <w:rFonts w:hint="default"/>
                <w:color w:val="auto"/>
              </w:rPr>
            </w:pPr>
            <w:r>
              <w:rPr>
                <w:rFonts w:hint="default"/>
                <w:color w:val="auto"/>
                <w:lang w:val="en-US" w:eastAsia="zh-CN"/>
              </w:rPr>
              <w:t>40.2</w:t>
            </w:r>
          </w:p>
        </w:tc>
      </w:tr>
      <w:tr w14:paraId="1615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66BCCBB3">
            <w:pPr>
              <w:pStyle w:val="31"/>
              <w:bidi w:val="0"/>
              <w:rPr>
                <w:rFonts w:hint="default"/>
                <w:color w:val="auto"/>
              </w:rPr>
            </w:pPr>
            <w:r>
              <w:rPr>
                <w:rFonts w:hint="default"/>
                <w:color w:val="auto"/>
                <w:lang w:val="en-US" w:eastAsia="zh-CN"/>
              </w:rPr>
              <w:t>N</w:t>
            </w:r>
            <w:r>
              <w:rPr>
                <w:color w:val="auto"/>
                <w:lang w:val="en-US" w:eastAsia="zh-CN"/>
              </w:rPr>
              <w:t>6</w:t>
            </w:r>
          </w:p>
        </w:tc>
        <w:tc>
          <w:tcPr>
            <w:tcW w:w="1841" w:type="dxa"/>
            <w:shd w:val="clear" w:color="auto" w:fill="auto"/>
            <w:vAlign w:val="center"/>
          </w:tcPr>
          <w:p w14:paraId="43B7BE59">
            <w:pPr>
              <w:pStyle w:val="31"/>
              <w:bidi w:val="0"/>
              <w:rPr>
                <w:rFonts w:hint="default"/>
                <w:color w:val="auto"/>
              </w:rPr>
            </w:pPr>
            <w:r>
              <w:rPr>
                <w:rFonts w:hint="default"/>
                <w:color w:val="auto"/>
                <w:lang w:val="en-US" w:eastAsia="zh-CN"/>
              </w:rPr>
              <w:t>6</w:t>
            </w:r>
            <w:r>
              <w:rPr>
                <w:color w:val="auto"/>
                <w:lang w:val="en-US" w:eastAsia="zh-CN"/>
              </w:rPr>
              <w:t>号抛泥区西厂界</w:t>
            </w:r>
          </w:p>
        </w:tc>
        <w:tc>
          <w:tcPr>
            <w:tcW w:w="1252" w:type="dxa"/>
            <w:shd w:val="clear" w:color="auto" w:fill="auto"/>
            <w:vAlign w:val="center"/>
          </w:tcPr>
          <w:p w14:paraId="3EC9376A">
            <w:pPr>
              <w:pStyle w:val="31"/>
              <w:bidi w:val="0"/>
              <w:rPr>
                <w:rFonts w:hint="default"/>
                <w:color w:val="auto"/>
              </w:rPr>
            </w:pPr>
            <w:r>
              <w:rPr>
                <w:rFonts w:hint="default"/>
                <w:color w:val="auto"/>
                <w:lang w:val="en-US" w:eastAsia="zh-CN"/>
              </w:rPr>
              <w:t>34.5</w:t>
            </w:r>
          </w:p>
        </w:tc>
        <w:tc>
          <w:tcPr>
            <w:tcW w:w="1120" w:type="dxa"/>
            <w:shd w:val="clear" w:color="auto" w:fill="auto"/>
            <w:vAlign w:val="center"/>
          </w:tcPr>
          <w:p w14:paraId="6C03A864">
            <w:pPr>
              <w:pStyle w:val="31"/>
              <w:bidi w:val="0"/>
              <w:rPr>
                <w:rFonts w:hint="default"/>
                <w:color w:val="auto"/>
              </w:rPr>
            </w:pPr>
            <w:r>
              <w:rPr>
                <w:rFonts w:hint="default"/>
                <w:color w:val="auto"/>
                <w:lang w:val="en-US" w:eastAsia="zh-CN"/>
              </w:rPr>
              <w:t>N</w:t>
            </w:r>
            <w:r>
              <w:rPr>
                <w:color w:val="auto"/>
                <w:lang w:val="en-US" w:eastAsia="zh-CN"/>
              </w:rPr>
              <w:t>6</w:t>
            </w:r>
          </w:p>
        </w:tc>
        <w:tc>
          <w:tcPr>
            <w:tcW w:w="1896" w:type="dxa"/>
            <w:shd w:val="clear" w:color="auto" w:fill="auto"/>
            <w:vAlign w:val="center"/>
          </w:tcPr>
          <w:p w14:paraId="39A8C797">
            <w:pPr>
              <w:pStyle w:val="31"/>
              <w:bidi w:val="0"/>
              <w:rPr>
                <w:rFonts w:hint="default"/>
                <w:color w:val="auto"/>
              </w:rPr>
            </w:pPr>
            <w:r>
              <w:rPr>
                <w:rFonts w:hint="default"/>
                <w:color w:val="auto"/>
                <w:lang w:val="en-US" w:eastAsia="zh-CN"/>
              </w:rPr>
              <w:t>6</w:t>
            </w:r>
            <w:r>
              <w:rPr>
                <w:color w:val="auto"/>
                <w:lang w:val="en-US" w:eastAsia="zh-CN"/>
              </w:rPr>
              <w:t>号抛泥区西厂界</w:t>
            </w:r>
          </w:p>
        </w:tc>
        <w:tc>
          <w:tcPr>
            <w:tcW w:w="1237" w:type="dxa"/>
            <w:shd w:val="clear" w:color="auto" w:fill="auto"/>
            <w:vAlign w:val="center"/>
          </w:tcPr>
          <w:p w14:paraId="40B8CAE7">
            <w:pPr>
              <w:pStyle w:val="31"/>
              <w:bidi w:val="0"/>
              <w:rPr>
                <w:rFonts w:hint="default"/>
                <w:color w:val="auto"/>
              </w:rPr>
            </w:pPr>
            <w:r>
              <w:rPr>
                <w:rFonts w:hint="default"/>
                <w:color w:val="auto"/>
                <w:lang w:val="en-US" w:eastAsia="zh-CN"/>
              </w:rPr>
              <w:t>37.9</w:t>
            </w:r>
          </w:p>
        </w:tc>
      </w:tr>
      <w:tr w14:paraId="303B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0DF2ED2A">
            <w:pPr>
              <w:pStyle w:val="31"/>
              <w:bidi w:val="0"/>
              <w:rPr>
                <w:rFonts w:hint="default"/>
                <w:color w:val="auto"/>
              </w:rPr>
            </w:pPr>
            <w:r>
              <w:rPr>
                <w:rFonts w:hint="default"/>
                <w:color w:val="auto"/>
                <w:lang w:val="en-US" w:eastAsia="zh-CN"/>
              </w:rPr>
              <w:t>N</w:t>
            </w:r>
            <w:r>
              <w:rPr>
                <w:color w:val="auto"/>
                <w:lang w:val="en-US" w:eastAsia="zh-CN"/>
              </w:rPr>
              <w:t>7</w:t>
            </w:r>
          </w:p>
        </w:tc>
        <w:tc>
          <w:tcPr>
            <w:tcW w:w="1841" w:type="dxa"/>
            <w:shd w:val="clear" w:color="auto" w:fill="auto"/>
            <w:vAlign w:val="center"/>
          </w:tcPr>
          <w:p w14:paraId="1C693301">
            <w:pPr>
              <w:pStyle w:val="31"/>
              <w:bidi w:val="0"/>
              <w:rPr>
                <w:rFonts w:hint="default"/>
                <w:color w:val="auto"/>
              </w:rPr>
            </w:pPr>
            <w:r>
              <w:rPr>
                <w:rFonts w:hint="default"/>
                <w:color w:val="auto"/>
                <w:lang w:val="en-US" w:eastAsia="zh-CN"/>
              </w:rPr>
              <w:t>6</w:t>
            </w:r>
            <w:r>
              <w:rPr>
                <w:color w:val="auto"/>
                <w:lang w:val="en-US" w:eastAsia="zh-CN"/>
              </w:rPr>
              <w:t>号抛泥区南厂界</w:t>
            </w:r>
          </w:p>
        </w:tc>
        <w:tc>
          <w:tcPr>
            <w:tcW w:w="1252" w:type="dxa"/>
            <w:shd w:val="clear" w:color="auto" w:fill="auto"/>
            <w:vAlign w:val="center"/>
          </w:tcPr>
          <w:p w14:paraId="6E06B3DE">
            <w:pPr>
              <w:pStyle w:val="31"/>
              <w:bidi w:val="0"/>
              <w:rPr>
                <w:rFonts w:hint="default"/>
                <w:color w:val="auto"/>
              </w:rPr>
            </w:pPr>
            <w:r>
              <w:rPr>
                <w:rFonts w:hint="default"/>
                <w:color w:val="auto"/>
                <w:lang w:val="en-US" w:eastAsia="zh-CN"/>
              </w:rPr>
              <w:t>39.1</w:t>
            </w:r>
          </w:p>
        </w:tc>
        <w:tc>
          <w:tcPr>
            <w:tcW w:w="1120" w:type="dxa"/>
            <w:shd w:val="clear" w:color="auto" w:fill="auto"/>
            <w:vAlign w:val="center"/>
          </w:tcPr>
          <w:p w14:paraId="18F8A893">
            <w:pPr>
              <w:pStyle w:val="31"/>
              <w:bidi w:val="0"/>
              <w:rPr>
                <w:rFonts w:hint="default"/>
                <w:color w:val="auto"/>
              </w:rPr>
            </w:pPr>
            <w:r>
              <w:rPr>
                <w:rFonts w:hint="default"/>
                <w:color w:val="auto"/>
                <w:lang w:val="en-US" w:eastAsia="zh-CN"/>
              </w:rPr>
              <w:t>N</w:t>
            </w:r>
            <w:r>
              <w:rPr>
                <w:color w:val="auto"/>
                <w:lang w:val="en-US" w:eastAsia="zh-CN"/>
              </w:rPr>
              <w:t>7</w:t>
            </w:r>
          </w:p>
        </w:tc>
        <w:tc>
          <w:tcPr>
            <w:tcW w:w="1896" w:type="dxa"/>
            <w:shd w:val="clear" w:color="auto" w:fill="auto"/>
            <w:vAlign w:val="center"/>
          </w:tcPr>
          <w:p w14:paraId="13D2043F">
            <w:pPr>
              <w:pStyle w:val="31"/>
              <w:bidi w:val="0"/>
              <w:rPr>
                <w:rFonts w:hint="default"/>
                <w:color w:val="auto"/>
              </w:rPr>
            </w:pPr>
            <w:r>
              <w:rPr>
                <w:rFonts w:hint="default"/>
                <w:color w:val="auto"/>
                <w:lang w:val="en-US" w:eastAsia="zh-CN"/>
              </w:rPr>
              <w:t>6</w:t>
            </w:r>
            <w:r>
              <w:rPr>
                <w:color w:val="auto"/>
                <w:lang w:val="en-US" w:eastAsia="zh-CN"/>
              </w:rPr>
              <w:t>号抛泥区南厂界</w:t>
            </w:r>
          </w:p>
        </w:tc>
        <w:tc>
          <w:tcPr>
            <w:tcW w:w="1237" w:type="dxa"/>
            <w:shd w:val="clear" w:color="auto" w:fill="auto"/>
            <w:vAlign w:val="center"/>
          </w:tcPr>
          <w:p w14:paraId="4BDDCFAD">
            <w:pPr>
              <w:pStyle w:val="31"/>
              <w:bidi w:val="0"/>
              <w:rPr>
                <w:rFonts w:hint="default"/>
                <w:color w:val="auto"/>
              </w:rPr>
            </w:pPr>
            <w:r>
              <w:rPr>
                <w:rFonts w:hint="default"/>
                <w:color w:val="auto"/>
                <w:lang w:val="en-US" w:eastAsia="zh-CN"/>
              </w:rPr>
              <w:t>40.3</w:t>
            </w:r>
          </w:p>
        </w:tc>
      </w:tr>
      <w:tr w14:paraId="2837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01579866">
            <w:pPr>
              <w:pStyle w:val="31"/>
              <w:bidi w:val="0"/>
              <w:rPr>
                <w:rFonts w:hint="default"/>
                <w:color w:val="auto"/>
              </w:rPr>
            </w:pPr>
            <w:r>
              <w:rPr>
                <w:rFonts w:hint="default"/>
                <w:color w:val="auto"/>
                <w:lang w:val="en-US" w:eastAsia="zh-CN"/>
              </w:rPr>
              <w:t>N</w:t>
            </w:r>
            <w:r>
              <w:rPr>
                <w:color w:val="auto"/>
                <w:lang w:val="en-US" w:eastAsia="zh-CN"/>
              </w:rPr>
              <w:t>8</w:t>
            </w:r>
          </w:p>
        </w:tc>
        <w:tc>
          <w:tcPr>
            <w:tcW w:w="1841" w:type="dxa"/>
            <w:shd w:val="clear" w:color="auto" w:fill="auto"/>
            <w:vAlign w:val="center"/>
          </w:tcPr>
          <w:p w14:paraId="307385D4">
            <w:pPr>
              <w:pStyle w:val="31"/>
              <w:bidi w:val="0"/>
              <w:rPr>
                <w:rFonts w:hint="default"/>
                <w:color w:val="auto"/>
              </w:rPr>
            </w:pPr>
            <w:r>
              <w:rPr>
                <w:rFonts w:hint="default"/>
                <w:color w:val="auto"/>
                <w:lang w:val="en-US" w:eastAsia="zh-CN"/>
              </w:rPr>
              <w:t>6</w:t>
            </w:r>
            <w:r>
              <w:rPr>
                <w:color w:val="auto"/>
                <w:lang w:val="en-US" w:eastAsia="zh-CN"/>
              </w:rPr>
              <w:t>号抛泥区东厂界</w:t>
            </w:r>
          </w:p>
        </w:tc>
        <w:tc>
          <w:tcPr>
            <w:tcW w:w="1252" w:type="dxa"/>
            <w:shd w:val="clear" w:color="auto" w:fill="auto"/>
            <w:vAlign w:val="center"/>
          </w:tcPr>
          <w:p w14:paraId="3EACF244">
            <w:pPr>
              <w:pStyle w:val="31"/>
              <w:bidi w:val="0"/>
              <w:rPr>
                <w:rFonts w:hint="default"/>
                <w:color w:val="auto"/>
              </w:rPr>
            </w:pPr>
            <w:r>
              <w:rPr>
                <w:rFonts w:hint="default"/>
                <w:color w:val="auto"/>
                <w:lang w:val="en-US" w:eastAsia="zh-CN"/>
              </w:rPr>
              <w:t>39.4</w:t>
            </w:r>
          </w:p>
        </w:tc>
        <w:tc>
          <w:tcPr>
            <w:tcW w:w="1120" w:type="dxa"/>
            <w:shd w:val="clear" w:color="auto" w:fill="auto"/>
            <w:vAlign w:val="center"/>
          </w:tcPr>
          <w:p w14:paraId="1D7CFB77">
            <w:pPr>
              <w:pStyle w:val="31"/>
              <w:bidi w:val="0"/>
              <w:rPr>
                <w:rFonts w:hint="default"/>
                <w:color w:val="auto"/>
              </w:rPr>
            </w:pPr>
            <w:r>
              <w:rPr>
                <w:rFonts w:hint="default"/>
                <w:color w:val="auto"/>
                <w:lang w:val="en-US" w:eastAsia="zh-CN"/>
              </w:rPr>
              <w:t>N</w:t>
            </w:r>
            <w:r>
              <w:rPr>
                <w:color w:val="auto"/>
                <w:lang w:val="en-US" w:eastAsia="zh-CN"/>
              </w:rPr>
              <w:t>8</w:t>
            </w:r>
          </w:p>
        </w:tc>
        <w:tc>
          <w:tcPr>
            <w:tcW w:w="1896" w:type="dxa"/>
            <w:shd w:val="clear" w:color="auto" w:fill="auto"/>
            <w:vAlign w:val="center"/>
          </w:tcPr>
          <w:p w14:paraId="6F1AC52E">
            <w:pPr>
              <w:pStyle w:val="31"/>
              <w:bidi w:val="0"/>
              <w:rPr>
                <w:rFonts w:hint="default"/>
                <w:color w:val="auto"/>
              </w:rPr>
            </w:pPr>
            <w:r>
              <w:rPr>
                <w:rFonts w:hint="default"/>
                <w:color w:val="auto"/>
                <w:lang w:val="en-US" w:eastAsia="zh-CN"/>
              </w:rPr>
              <w:t>6</w:t>
            </w:r>
            <w:r>
              <w:rPr>
                <w:color w:val="auto"/>
                <w:lang w:val="en-US" w:eastAsia="zh-CN"/>
              </w:rPr>
              <w:t>号抛泥区东厂界</w:t>
            </w:r>
          </w:p>
        </w:tc>
        <w:tc>
          <w:tcPr>
            <w:tcW w:w="1237" w:type="dxa"/>
            <w:shd w:val="clear" w:color="auto" w:fill="auto"/>
            <w:vAlign w:val="center"/>
          </w:tcPr>
          <w:p w14:paraId="2D440F3E">
            <w:pPr>
              <w:pStyle w:val="31"/>
              <w:bidi w:val="0"/>
              <w:rPr>
                <w:rFonts w:hint="default"/>
                <w:color w:val="auto"/>
              </w:rPr>
            </w:pPr>
            <w:r>
              <w:rPr>
                <w:rFonts w:hint="default"/>
                <w:color w:val="auto"/>
                <w:lang w:val="en-US" w:eastAsia="zh-CN"/>
              </w:rPr>
              <w:t>39.8</w:t>
            </w:r>
          </w:p>
        </w:tc>
      </w:tr>
      <w:tr w14:paraId="4438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65E6C941">
            <w:pPr>
              <w:pStyle w:val="31"/>
              <w:bidi w:val="0"/>
              <w:rPr>
                <w:rFonts w:hint="default"/>
                <w:color w:val="auto"/>
              </w:rPr>
            </w:pPr>
            <w:r>
              <w:rPr>
                <w:rFonts w:hint="default"/>
                <w:color w:val="auto"/>
                <w:lang w:val="en-US" w:eastAsia="zh-CN"/>
              </w:rPr>
              <w:t>N</w:t>
            </w:r>
            <w:r>
              <w:rPr>
                <w:color w:val="auto"/>
                <w:lang w:val="en-US" w:eastAsia="zh-CN"/>
              </w:rPr>
              <w:t>9</w:t>
            </w:r>
          </w:p>
        </w:tc>
        <w:tc>
          <w:tcPr>
            <w:tcW w:w="1841" w:type="dxa"/>
            <w:shd w:val="clear" w:color="auto" w:fill="auto"/>
            <w:vAlign w:val="center"/>
          </w:tcPr>
          <w:p w14:paraId="11DB77BA">
            <w:pPr>
              <w:pStyle w:val="31"/>
              <w:bidi w:val="0"/>
              <w:rPr>
                <w:rFonts w:hint="default"/>
                <w:color w:val="auto"/>
              </w:rPr>
            </w:pPr>
            <w:r>
              <w:rPr>
                <w:rFonts w:hint="default"/>
                <w:color w:val="auto"/>
                <w:lang w:val="en-US" w:eastAsia="zh-CN"/>
              </w:rPr>
              <w:t>1</w:t>
            </w:r>
            <w:r>
              <w:rPr>
                <w:color w:val="auto"/>
                <w:lang w:val="en-US" w:eastAsia="zh-CN"/>
              </w:rPr>
              <w:t>号弃土区北厂界</w:t>
            </w:r>
          </w:p>
        </w:tc>
        <w:tc>
          <w:tcPr>
            <w:tcW w:w="1252" w:type="dxa"/>
            <w:shd w:val="clear" w:color="auto" w:fill="auto"/>
            <w:vAlign w:val="center"/>
          </w:tcPr>
          <w:p w14:paraId="6C29533F">
            <w:pPr>
              <w:pStyle w:val="31"/>
              <w:bidi w:val="0"/>
              <w:rPr>
                <w:rFonts w:hint="default"/>
                <w:color w:val="auto"/>
              </w:rPr>
            </w:pPr>
            <w:r>
              <w:rPr>
                <w:rFonts w:hint="default"/>
                <w:color w:val="auto"/>
                <w:lang w:val="en-US" w:eastAsia="zh-CN"/>
              </w:rPr>
              <w:t>47.4</w:t>
            </w:r>
          </w:p>
        </w:tc>
        <w:tc>
          <w:tcPr>
            <w:tcW w:w="1120" w:type="dxa"/>
            <w:shd w:val="clear" w:color="auto" w:fill="auto"/>
            <w:vAlign w:val="center"/>
          </w:tcPr>
          <w:p w14:paraId="4E3DC190">
            <w:pPr>
              <w:pStyle w:val="31"/>
              <w:bidi w:val="0"/>
              <w:rPr>
                <w:rFonts w:hint="default"/>
                <w:color w:val="auto"/>
              </w:rPr>
            </w:pPr>
            <w:r>
              <w:rPr>
                <w:rFonts w:hint="default"/>
                <w:color w:val="auto"/>
                <w:lang w:val="en-US" w:eastAsia="zh-CN"/>
              </w:rPr>
              <w:t>N</w:t>
            </w:r>
            <w:r>
              <w:rPr>
                <w:color w:val="auto"/>
                <w:lang w:val="en-US" w:eastAsia="zh-CN"/>
              </w:rPr>
              <w:t>9</w:t>
            </w:r>
          </w:p>
        </w:tc>
        <w:tc>
          <w:tcPr>
            <w:tcW w:w="1896" w:type="dxa"/>
            <w:shd w:val="clear" w:color="auto" w:fill="auto"/>
            <w:vAlign w:val="center"/>
          </w:tcPr>
          <w:p w14:paraId="5FFAA0A4">
            <w:pPr>
              <w:pStyle w:val="31"/>
              <w:bidi w:val="0"/>
              <w:rPr>
                <w:rFonts w:hint="default"/>
                <w:color w:val="auto"/>
              </w:rPr>
            </w:pPr>
            <w:r>
              <w:rPr>
                <w:rFonts w:hint="default"/>
                <w:color w:val="auto"/>
                <w:lang w:val="en-US" w:eastAsia="zh-CN"/>
              </w:rPr>
              <w:t>1</w:t>
            </w:r>
            <w:r>
              <w:rPr>
                <w:color w:val="auto"/>
                <w:lang w:val="en-US" w:eastAsia="zh-CN"/>
              </w:rPr>
              <w:t>号弃土区北厂界</w:t>
            </w:r>
          </w:p>
        </w:tc>
        <w:tc>
          <w:tcPr>
            <w:tcW w:w="1237" w:type="dxa"/>
            <w:shd w:val="clear" w:color="auto" w:fill="auto"/>
            <w:vAlign w:val="center"/>
          </w:tcPr>
          <w:p w14:paraId="1ABAD596">
            <w:pPr>
              <w:pStyle w:val="31"/>
              <w:bidi w:val="0"/>
              <w:rPr>
                <w:rFonts w:hint="default"/>
                <w:color w:val="auto"/>
              </w:rPr>
            </w:pPr>
            <w:r>
              <w:rPr>
                <w:rFonts w:hint="default"/>
                <w:color w:val="auto"/>
                <w:lang w:val="en-US" w:eastAsia="zh-CN"/>
              </w:rPr>
              <w:t>41.8</w:t>
            </w:r>
          </w:p>
        </w:tc>
      </w:tr>
      <w:tr w14:paraId="50E6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0A2BA73C">
            <w:pPr>
              <w:pStyle w:val="31"/>
              <w:bidi w:val="0"/>
              <w:rPr>
                <w:rFonts w:hint="default"/>
                <w:color w:val="auto"/>
              </w:rPr>
            </w:pPr>
            <w:r>
              <w:rPr>
                <w:rFonts w:hint="default"/>
                <w:color w:val="auto"/>
                <w:lang w:val="en-US" w:eastAsia="zh-CN"/>
              </w:rPr>
              <w:t>N</w:t>
            </w:r>
            <w:r>
              <w:rPr>
                <w:color w:val="auto"/>
                <w:lang w:val="en-US" w:eastAsia="zh-CN"/>
              </w:rPr>
              <w:t>10</w:t>
            </w:r>
          </w:p>
        </w:tc>
        <w:tc>
          <w:tcPr>
            <w:tcW w:w="1841" w:type="dxa"/>
            <w:shd w:val="clear" w:color="auto" w:fill="auto"/>
            <w:vAlign w:val="center"/>
          </w:tcPr>
          <w:p w14:paraId="78563AFC">
            <w:pPr>
              <w:pStyle w:val="31"/>
              <w:bidi w:val="0"/>
              <w:rPr>
                <w:rFonts w:hint="default"/>
                <w:color w:val="auto"/>
              </w:rPr>
            </w:pPr>
            <w:r>
              <w:rPr>
                <w:rFonts w:hint="default"/>
                <w:color w:val="auto"/>
                <w:lang w:val="en-US" w:eastAsia="zh-CN"/>
              </w:rPr>
              <w:t>1</w:t>
            </w:r>
            <w:r>
              <w:rPr>
                <w:color w:val="auto"/>
                <w:lang w:val="en-US" w:eastAsia="zh-CN"/>
              </w:rPr>
              <w:t>号弃土区西厂界</w:t>
            </w:r>
          </w:p>
        </w:tc>
        <w:tc>
          <w:tcPr>
            <w:tcW w:w="1252" w:type="dxa"/>
            <w:shd w:val="clear" w:color="auto" w:fill="auto"/>
            <w:vAlign w:val="center"/>
          </w:tcPr>
          <w:p w14:paraId="245FC2D0">
            <w:pPr>
              <w:pStyle w:val="31"/>
              <w:bidi w:val="0"/>
              <w:rPr>
                <w:rFonts w:hint="default"/>
                <w:color w:val="auto"/>
              </w:rPr>
            </w:pPr>
            <w:r>
              <w:rPr>
                <w:rFonts w:hint="default"/>
                <w:color w:val="auto"/>
                <w:lang w:val="en-US" w:eastAsia="zh-CN"/>
              </w:rPr>
              <w:t>43.8</w:t>
            </w:r>
          </w:p>
        </w:tc>
        <w:tc>
          <w:tcPr>
            <w:tcW w:w="1120" w:type="dxa"/>
            <w:shd w:val="clear" w:color="auto" w:fill="auto"/>
            <w:vAlign w:val="center"/>
          </w:tcPr>
          <w:p w14:paraId="7B942103">
            <w:pPr>
              <w:pStyle w:val="31"/>
              <w:bidi w:val="0"/>
              <w:rPr>
                <w:rFonts w:hint="default"/>
                <w:color w:val="auto"/>
              </w:rPr>
            </w:pPr>
            <w:r>
              <w:rPr>
                <w:rFonts w:hint="default"/>
                <w:color w:val="auto"/>
                <w:lang w:val="en-US" w:eastAsia="zh-CN"/>
              </w:rPr>
              <w:t>N</w:t>
            </w:r>
            <w:r>
              <w:rPr>
                <w:color w:val="auto"/>
                <w:lang w:val="en-US" w:eastAsia="zh-CN"/>
              </w:rPr>
              <w:t>10</w:t>
            </w:r>
          </w:p>
        </w:tc>
        <w:tc>
          <w:tcPr>
            <w:tcW w:w="1896" w:type="dxa"/>
            <w:shd w:val="clear" w:color="auto" w:fill="auto"/>
            <w:vAlign w:val="center"/>
          </w:tcPr>
          <w:p w14:paraId="37B416AC">
            <w:pPr>
              <w:pStyle w:val="31"/>
              <w:bidi w:val="0"/>
              <w:rPr>
                <w:rFonts w:hint="default"/>
                <w:color w:val="auto"/>
              </w:rPr>
            </w:pPr>
            <w:r>
              <w:rPr>
                <w:rFonts w:hint="default"/>
                <w:color w:val="auto"/>
                <w:lang w:val="en-US" w:eastAsia="zh-CN"/>
              </w:rPr>
              <w:t>1</w:t>
            </w:r>
            <w:r>
              <w:rPr>
                <w:color w:val="auto"/>
                <w:lang w:val="en-US" w:eastAsia="zh-CN"/>
              </w:rPr>
              <w:t>号弃土区西厂界</w:t>
            </w:r>
          </w:p>
        </w:tc>
        <w:tc>
          <w:tcPr>
            <w:tcW w:w="1237" w:type="dxa"/>
            <w:shd w:val="clear" w:color="auto" w:fill="auto"/>
            <w:vAlign w:val="center"/>
          </w:tcPr>
          <w:p w14:paraId="48471A3D">
            <w:pPr>
              <w:pStyle w:val="31"/>
              <w:bidi w:val="0"/>
              <w:rPr>
                <w:rFonts w:hint="default"/>
                <w:color w:val="auto"/>
              </w:rPr>
            </w:pPr>
            <w:r>
              <w:rPr>
                <w:rFonts w:hint="default"/>
                <w:color w:val="auto"/>
                <w:lang w:val="en-US" w:eastAsia="zh-CN"/>
              </w:rPr>
              <w:t>51</w:t>
            </w:r>
          </w:p>
        </w:tc>
      </w:tr>
      <w:tr w14:paraId="6F452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158" w:type="dxa"/>
            <w:shd w:val="clear" w:color="auto" w:fill="auto"/>
            <w:vAlign w:val="center"/>
          </w:tcPr>
          <w:p w14:paraId="64B5CB0E">
            <w:pPr>
              <w:pStyle w:val="31"/>
              <w:bidi w:val="0"/>
              <w:rPr>
                <w:rFonts w:hint="default"/>
                <w:color w:val="auto"/>
              </w:rPr>
            </w:pPr>
            <w:r>
              <w:rPr>
                <w:rFonts w:hint="default"/>
                <w:color w:val="auto"/>
                <w:lang w:val="en-US" w:eastAsia="zh-CN"/>
              </w:rPr>
              <w:t>N</w:t>
            </w:r>
            <w:r>
              <w:rPr>
                <w:color w:val="auto"/>
                <w:lang w:val="en-US" w:eastAsia="zh-CN"/>
              </w:rPr>
              <w:t>11</w:t>
            </w:r>
          </w:p>
        </w:tc>
        <w:tc>
          <w:tcPr>
            <w:tcW w:w="1841" w:type="dxa"/>
            <w:shd w:val="clear" w:color="auto" w:fill="auto"/>
            <w:vAlign w:val="center"/>
          </w:tcPr>
          <w:p w14:paraId="3E5E7003">
            <w:pPr>
              <w:pStyle w:val="31"/>
              <w:bidi w:val="0"/>
              <w:rPr>
                <w:rFonts w:hint="default"/>
                <w:color w:val="auto"/>
              </w:rPr>
            </w:pPr>
            <w:r>
              <w:rPr>
                <w:rFonts w:hint="default"/>
                <w:color w:val="auto"/>
                <w:lang w:val="en-US" w:eastAsia="zh-CN"/>
              </w:rPr>
              <w:t>1</w:t>
            </w:r>
            <w:r>
              <w:rPr>
                <w:color w:val="auto"/>
                <w:lang w:val="en-US" w:eastAsia="zh-CN"/>
              </w:rPr>
              <w:t>号弃土区南厂界</w:t>
            </w:r>
          </w:p>
        </w:tc>
        <w:tc>
          <w:tcPr>
            <w:tcW w:w="1252" w:type="dxa"/>
            <w:shd w:val="clear" w:color="auto" w:fill="auto"/>
            <w:vAlign w:val="center"/>
          </w:tcPr>
          <w:p w14:paraId="62813A14">
            <w:pPr>
              <w:pStyle w:val="31"/>
              <w:bidi w:val="0"/>
              <w:rPr>
                <w:rFonts w:hint="default"/>
                <w:color w:val="auto"/>
              </w:rPr>
            </w:pPr>
            <w:r>
              <w:rPr>
                <w:rFonts w:hint="default"/>
                <w:color w:val="auto"/>
                <w:lang w:val="en-US" w:eastAsia="zh-CN"/>
              </w:rPr>
              <w:t>42.7</w:t>
            </w:r>
          </w:p>
        </w:tc>
        <w:tc>
          <w:tcPr>
            <w:tcW w:w="1120" w:type="dxa"/>
            <w:shd w:val="clear" w:color="auto" w:fill="auto"/>
            <w:vAlign w:val="center"/>
          </w:tcPr>
          <w:p w14:paraId="57922FC6">
            <w:pPr>
              <w:pStyle w:val="31"/>
              <w:bidi w:val="0"/>
              <w:rPr>
                <w:rFonts w:hint="default"/>
                <w:color w:val="auto"/>
              </w:rPr>
            </w:pPr>
            <w:r>
              <w:rPr>
                <w:rFonts w:hint="default"/>
                <w:color w:val="auto"/>
                <w:lang w:val="en-US" w:eastAsia="zh-CN"/>
              </w:rPr>
              <w:t>N</w:t>
            </w:r>
            <w:r>
              <w:rPr>
                <w:color w:val="auto"/>
                <w:lang w:val="en-US" w:eastAsia="zh-CN"/>
              </w:rPr>
              <w:t>11</w:t>
            </w:r>
          </w:p>
        </w:tc>
        <w:tc>
          <w:tcPr>
            <w:tcW w:w="1896" w:type="dxa"/>
            <w:shd w:val="clear" w:color="auto" w:fill="auto"/>
            <w:vAlign w:val="center"/>
          </w:tcPr>
          <w:p w14:paraId="668B975F">
            <w:pPr>
              <w:pStyle w:val="31"/>
              <w:bidi w:val="0"/>
              <w:rPr>
                <w:rFonts w:hint="default"/>
                <w:color w:val="auto"/>
              </w:rPr>
            </w:pPr>
            <w:r>
              <w:rPr>
                <w:rFonts w:hint="default"/>
                <w:color w:val="auto"/>
                <w:lang w:val="en-US" w:eastAsia="zh-CN"/>
              </w:rPr>
              <w:t>1</w:t>
            </w:r>
            <w:r>
              <w:rPr>
                <w:color w:val="auto"/>
                <w:lang w:val="en-US" w:eastAsia="zh-CN"/>
              </w:rPr>
              <w:t>号弃土区南厂界</w:t>
            </w:r>
          </w:p>
        </w:tc>
        <w:tc>
          <w:tcPr>
            <w:tcW w:w="1237" w:type="dxa"/>
            <w:shd w:val="clear" w:color="auto" w:fill="auto"/>
            <w:vAlign w:val="center"/>
          </w:tcPr>
          <w:p w14:paraId="6B1BAC8B">
            <w:pPr>
              <w:pStyle w:val="31"/>
              <w:bidi w:val="0"/>
              <w:rPr>
                <w:rFonts w:hint="default"/>
                <w:color w:val="auto"/>
              </w:rPr>
            </w:pPr>
            <w:r>
              <w:rPr>
                <w:rFonts w:hint="default"/>
                <w:color w:val="auto"/>
                <w:lang w:val="en-US" w:eastAsia="zh-CN"/>
              </w:rPr>
              <w:t>40.5</w:t>
            </w:r>
          </w:p>
        </w:tc>
      </w:tr>
      <w:tr w14:paraId="41FC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546496C7">
            <w:pPr>
              <w:pStyle w:val="31"/>
              <w:bidi w:val="0"/>
              <w:rPr>
                <w:rFonts w:hint="default"/>
                <w:color w:val="auto"/>
              </w:rPr>
            </w:pPr>
            <w:r>
              <w:rPr>
                <w:rFonts w:hint="default"/>
                <w:color w:val="auto"/>
                <w:lang w:val="en-US" w:eastAsia="zh-CN"/>
              </w:rPr>
              <w:t>N</w:t>
            </w:r>
            <w:r>
              <w:rPr>
                <w:color w:val="auto"/>
                <w:lang w:val="en-US" w:eastAsia="zh-CN"/>
              </w:rPr>
              <w:t>12</w:t>
            </w:r>
          </w:p>
        </w:tc>
        <w:tc>
          <w:tcPr>
            <w:tcW w:w="1841" w:type="dxa"/>
            <w:shd w:val="clear" w:color="auto" w:fill="auto"/>
            <w:vAlign w:val="center"/>
          </w:tcPr>
          <w:p w14:paraId="7C9C9E52">
            <w:pPr>
              <w:pStyle w:val="31"/>
              <w:bidi w:val="0"/>
              <w:rPr>
                <w:rFonts w:hint="default"/>
                <w:color w:val="auto"/>
              </w:rPr>
            </w:pPr>
            <w:r>
              <w:rPr>
                <w:rFonts w:hint="default"/>
                <w:color w:val="auto"/>
                <w:lang w:val="en-US" w:eastAsia="zh-CN"/>
              </w:rPr>
              <w:t>1</w:t>
            </w:r>
            <w:r>
              <w:rPr>
                <w:color w:val="auto"/>
                <w:lang w:val="en-US" w:eastAsia="zh-CN"/>
              </w:rPr>
              <w:t>号弃土区东厂界</w:t>
            </w:r>
          </w:p>
        </w:tc>
        <w:tc>
          <w:tcPr>
            <w:tcW w:w="1252" w:type="dxa"/>
            <w:shd w:val="clear" w:color="auto" w:fill="auto"/>
            <w:vAlign w:val="center"/>
          </w:tcPr>
          <w:p w14:paraId="04342DE9">
            <w:pPr>
              <w:pStyle w:val="31"/>
              <w:bidi w:val="0"/>
              <w:rPr>
                <w:rFonts w:hint="default"/>
                <w:color w:val="auto"/>
              </w:rPr>
            </w:pPr>
            <w:r>
              <w:rPr>
                <w:rFonts w:hint="default"/>
                <w:color w:val="auto"/>
                <w:lang w:val="en-US" w:eastAsia="zh-CN"/>
              </w:rPr>
              <w:t>44.3</w:t>
            </w:r>
          </w:p>
        </w:tc>
        <w:tc>
          <w:tcPr>
            <w:tcW w:w="1120" w:type="dxa"/>
            <w:shd w:val="clear" w:color="auto" w:fill="auto"/>
            <w:vAlign w:val="center"/>
          </w:tcPr>
          <w:p w14:paraId="08D5E16A">
            <w:pPr>
              <w:pStyle w:val="31"/>
              <w:bidi w:val="0"/>
              <w:rPr>
                <w:rFonts w:hint="default"/>
                <w:color w:val="auto"/>
              </w:rPr>
            </w:pPr>
            <w:r>
              <w:rPr>
                <w:rFonts w:hint="default"/>
                <w:color w:val="auto"/>
                <w:lang w:val="en-US" w:eastAsia="zh-CN"/>
              </w:rPr>
              <w:t>N</w:t>
            </w:r>
            <w:r>
              <w:rPr>
                <w:color w:val="auto"/>
                <w:lang w:val="en-US" w:eastAsia="zh-CN"/>
              </w:rPr>
              <w:t>12</w:t>
            </w:r>
          </w:p>
        </w:tc>
        <w:tc>
          <w:tcPr>
            <w:tcW w:w="1896" w:type="dxa"/>
            <w:shd w:val="clear" w:color="auto" w:fill="auto"/>
            <w:vAlign w:val="center"/>
          </w:tcPr>
          <w:p w14:paraId="60C05AE3">
            <w:pPr>
              <w:pStyle w:val="31"/>
              <w:bidi w:val="0"/>
              <w:rPr>
                <w:rFonts w:hint="default"/>
                <w:color w:val="auto"/>
              </w:rPr>
            </w:pPr>
            <w:r>
              <w:rPr>
                <w:rFonts w:hint="default"/>
                <w:color w:val="auto"/>
                <w:lang w:val="en-US" w:eastAsia="zh-CN"/>
              </w:rPr>
              <w:t>1</w:t>
            </w:r>
            <w:r>
              <w:rPr>
                <w:color w:val="auto"/>
                <w:lang w:val="en-US" w:eastAsia="zh-CN"/>
              </w:rPr>
              <w:t>号弃土区东厂界</w:t>
            </w:r>
          </w:p>
        </w:tc>
        <w:tc>
          <w:tcPr>
            <w:tcW w:w="1237" w:type="dxa"/>
            <w:shd w:val="clear" w:color="auto" w:fill="auto"/>
            <w:vAlign w:val="center"/>
          </w:tcPr>
          <w:p w14:paraId="5E174B3B">
            <w:pPr>
              <w:pStyle w:val="31"/>
              <w:bidi w:val="0"/>
              <w:rPr>
                <w:rFonts w:hint="default"/>
                <w:color w:val="auto"/>
              </w:rPr>
            </w:pPr>
            <w:r>
              <w:rPr>
                <w:rFonts w:hint="default"/>
                <w:color w:val="auto"/>
                <w:lang w:val="en-US" w:eastAsia="zh-CN"/>
              </w:rPr>
              <w:t>47.9</w:t>
            </w:r>
          </w:p>
        </w:tc>
      </w:tr>
      <w:tr w14:paraId="7004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158" w:type="dxa"/>
            <w:shd w:val="clear" w:color="auto" w:fill="auto"/>
            <w:vAlign w:val="center"/>
          </w:tcPr>
          <w:p w14:paraId="6D81EEE1">
            <w:pPr>
              <w:pStyle w:val="31"/>
              <w:bidi w:val="0"/>
              <w:rPr>
                <w:rFonts w:hint="default"/>
                <w:color w:val="auto"/>
              </w:rPr>
            </w:pPr>
            <w:r>
              <w:rPr>
                <w:rFonts w:hint="default"/>
                <w:color w:val="auto"/>
                <w:lang w:val="en-US" w:eastAsia="zh-CN"/>
              </w:rPr>
              <w:t>N</w:t>
            </w:r>
            <w:r>
              <w:rPr>
                <w:color w:val="auto"/>
                <w:lang w:val="en-US" w:eastAsia="zh-CN"/>
              </w:rPr>
              <w:t>13</w:t>
            </w:r>
          </w:p>
        </w:tc>
        <w:tc>
          <w:tcPr>
            <w:tcW w:w="1841" w:type="dxa"/>
            <w:shd w:val="clear" w:color="auto" w:fill="auto"/>
            <w:vAlign w:val="center"/>
          </w:tcPr>
          <w:p w14:paraId="4BBA0B13">
            <w:pPr>
              <w:pStyle w:val="31"/>
              <w:bidi w:val="0"/>
              <w:rPr>
                <w:rFonts w:hint="default"/>
                <w:color w:val="auto"/>
              </w:rPr>
            </w:pPr>
            <w:r>
              <w:rPr>
                <w:rFonts w:hint="default"/>
                <w:color w:val="auto"/>
                <w:lang w:val="en-US" w:eastAsia="zh-CN"/>
              </w:rPr>
              <w:t>2</w:t>
            </w:r>
            <w:r>
              <w:rPr>
                <w:color w:val="auto"/>
                <w:lang w:val="en-US" w:eastAsia="zh-CN"/>
              </w:rPr>
              <w:t>号弃土区北厂界</w:t>
            </w:r>
          </w:p>
        </w:tc>
        <w:tc>
          <w:tcPr>
            <w:tcW w:w="1252" w:type="dxa"/>
            <w:shd w:val="clear" w:color="auto" w:fill="auto"/>
            <w:vAlign w:val="center"/>
          </w:tcPr>
          <w:p w14:paraId="4EE4294B">
            <w:pPr>
              <w:pStyle w:val="31"/>
              <w:bidi w:val="0"/>
              <w:rPr>
                <w:rFonts w:hint="default"/>
                <w:color w:val="auto"/>
              </w:rPr>
            </w:pPr>
            <w:r>
              <w:rPr>
                <w:rFonts w:hint="default"/>
                <w:color w:val="auto"/>
                <w:lang w:val="en-US" w:eastAsia="zh-CN"/>
              </w:rPr>
              <w:t>33.3</w:t>
            </w:r>
          </w:p>
        </w:tc>
        <w:tc>
          <w:tcPr>
            <w:tcW w:w="1120" w:type="dxa"/>
            <w:shd w:val="clear" w:color="auto" w:fill="auto"/>
            <w:vAlign w:val="center"/>
          </w:tcPr>
          <w:p w14:paraId="60FF8A6E">
            <w:pPr>
              <w:pStyle w:val="31"/>
              <w:bidi w:val="0"/>
              <w:rPr>
                <w:rFonts w:hint="default"/>
                <w:color w:val="auto"/>
              </w:rPr>
            </w:pPr>
            <w:r>
              <w:rPr>
                <w:rFonts w:hint="default"/>
                <w:color w:val="auto"/>
                <w:lang w:val="en-US" w:eastAsia="zh-CN"/>
              </w:rPr>
              <w:t>N</w:t>
            </w:r>
            <w:r>
              <w:rPr>
                <w:color w:val="auto"/>
                <w:lang w:val="en-US" w:eastAsia="zh-CN"/>
              </w:rPr>
              <w:t>13</w:t>
            </w:r>
          </w:p>
        </w:tc>
        <w:tc>
          <w:tcPr>
            <w:tcW w:w="1896" w:type="dxa"/>
            <w:shd w:val="clear" w:color="auto" w:fill="auto"/>
            <w:vAlign w:val="center"/>
          </w:tcPr>
          <w:p w14:paraId="0B80002B">
            <w:pPr>
              <w:pStyle w:val="31"/>
              <w:bidi w:val="0"/>
              <w:rPr>
                <w:rFonts w:hint="default"/>
                <w:color w:val="auto"/>
              </w:rPr>
            </w:pPr>
            <w:r>
              <w:rPr>
                <w:rFonts w:hint="default"/>
                <w:color w:val="auto"/>
                <w:lang w:val="en-US" w:eastAsia="zh-CN"/>
              </w:rPr>
              <w:t>2</w:t>
            </w:r>
            <w:r>
              <w:rPr>
                <w:color w:val="auto"/>
                <w:lang w:val="en-US" w:eastAsia="zh-CN"/>
              </w:rPr>
              <w:t>号弃土区北厂界</w:t>
            </w:r>
          </w:p>
        </w:tc>
        <w:tc>
          <w:tcPr>
            <w:tcW w:w="1237" w:type="dxa"/>
            <w:shd w:val="clear" w:color="auto" w:fill="auto"/>
            <w:vAlign w:val="center"/>
          </w:tcPr>
          <w:p w14:paraId="50742221">
            <w:pPr>
              <w:pStyle w:val="31"/>
              <w:bidi w:val="0"/>
              <w:rPr>
                <w:rFonts w:hint="default"/>
                <w:color w:val="auto"/>
              </w:rPr>
            </w:pPr>
            <w:r>
              <w:rPr>
                <w:rFonts w:hint="default"/>
                <w:color w:val="auto"/>
                <w:lang w:val="en-US" w:eastAsia="zh-CN"/>
              </w:rPr>
              <w:t>30.3</w:t>
            </w:r>
          </w:p>
        </w:tc>
      </w:tr>
      <w:tr w14:paraId="0B8B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641E644F">
            <w:pPr>
              <w:pStyle w:val="31"/>
              <w:bidi w:val="0"/>
              <w:rPr>
                <w:rFonts w:hint="default"/>
                <w:color w:val="auto"/>
              </w:rPr>
            </w:pPr>
            <w:r>
              <w:rPr>
                <w:rFonts w:hint="default"/>
                <w:color w:val="auto"/>
                <w:lang w:val="en-US" w:eastAsia="zh-CN"/>
              </w:rPr>
              <w:t>N</w:t>
            </w:r>
            <w:r>
              <w:rPr>
                <w:color w:val="auto"/>
                <w:lang w:val="en-US" w:eastAsia="zh-CN"/>
              </w:rPr>
              <w:t>14</w:t>
            </w:r>
          </w:p>
        </w:tc>
        <w:tc>
          <w:tcPr>
            <w:tcW w:w="1841" w:type="dxa"/>
            <w:shd w:val="clear" w:color="auto" w:fill="auto"/>
            <w:vAlign w:val="center"/>
          </w:tcPr>
          <w:p w14:paraId="024276D5">
            <w:pPr>
              <w:pStyle w:val="31"/>
              <w:bidi w:val="0"/>
              <w:rPr>
                <w:rFonts w:hint="default"/>
                <w:color w:val="auto"/>
              </w:rPr>
            </w:pPr>
            <w:r>
              <w:rPr>
                <w:rFonts w:hint="default"/>
                <w:color w:val="auto"/>
                <w:lang w:val="en-US" w:eastAsia="zh-CN"/>
              </w:rPr>
              <w:t>2</w:t>
            </w:r>
            <w:r>
              <w:rPr>
                <w:color w:val="auto"/>
                <w:lang w:val="en-US" w:eastAsia="zh-CN"/>
              </w:rPr>
              <w:t>号弃土区西厂界</w:t>
            </w:r>
          </w:p>
        </w:tc>
        <w:tc>
          <w:tcPr>
            <w:tcW w:w="1252" w:type="dxa"/>
            <w:shd w:val="clear" w:color="auto" w:fill="auto"/>
            <w:vAlign w:val="center"/>
          </w:tcPr>
          <w:p w14:paraId="7020065F">
            <w:pPr>
              <w:pStyle w:val="31"/>
              <w:bidi w:val="0"/>
              <w:rPr>
                <w:rFonts w:hint="default"/>
                <w:color w:val="auto"/>
              </w:rPr>
            </w:pPr>
            <w:r>
              <w:rPr>
                <w:rFonts w:hint="default"/>
                <w:color w:val="auto"/>
                <w:lang w:val="en-US" w:eastAsia="zh-CN"/>
              </w:rPr>
              <w:t>37.1</w:t>
            </w:r>
          </w:p>
        </w:tc>
        <w:tc>
          <w:tcPr>
            <w:tcW w:w="1120" w:type="dxa"/>
            <w:shd w:val="clear" w:color="auto" w:fill="auto"/>
            <w:vAlign w:val="center"/>
          </w:tcPr>
          <w:p w14:paraId="3FE5CD8A">
            <w:pPr>
              <w:pStyle w:val="31"/>
              <w:bidi w:val="0"/>
              <w:rPr>
                <w:rFonts w:hint="default"/>
                <w:color w:val="auto"/>
              </w:rPr>
            </w:pPr>
            <w:r>
              <w:rPr>
                <w:rFonts w:hint="default"/>
                <w:color w:val="auto"/>
                <w:lang w:val="en-US" w:eastAsia="zh-CN"/>
              </w:rPr>
              <w:t>N</w:t>
            </w:r>
            <w:r>
              <w:rPr>
                <w:color w:val="auto"/>
                <w:lang w:val="en-US" w:eastAsia="zh-CN"/>
              </w:rPr>
              <w:t>14</w:t>
            </w:r>
          </w:p>
        </w:tc>
        <w:tc>
          <w:tcPr>
            <w:tcW w:w="1896" w:type="dxa"/>
            <w:shd w:val="clear" w:color="auto" w:fill="auto"/>
            <w:vAlign w:val="center"/>
          </w:tcPr>
          <w:p w14:paraId="7A182C29">
            <w:pPr>
              <w:pStyle w:val="31"/>
              <w:bidi w:val="0"/>
              <w:rPr>
                <w:rFonts w:hint="default"/>
                <w:color w:val="auto"/>
              </w:rPr>
            </w:pPr>
            <w:r>
              <w:rPr>
                <w:rFonts w:hint="default"/>
                <w:color w:val="auto"/>
                <w:lang w:val="en-US" w:eastAsia="zh-CN"/>
              </w:rPr>
              <w:t>2</w:t>
            </w:r>
            <w:r>
              <w:rPr>
                <w:color w:val="auto"/>
                <w:lang w:val="en-US" w:eastAsia="zh-CN"/>
              </w:rPr>
              <w:t>号弃土区西厂界</w:t>
            </w:r>
          </w:p>
        </w:tc>
        <w:tc>
          <w:tcPr>
            <w:tcW w:w="1237" w:type="dxa"/>
            <w:shd w:val="clear" w:color="auto" w:fill="auto"/>
            <w:vAlign w:val="center"/>
          </w:tcPr>
          <w:p w14:paraId="50993155">
            <w:pPr>
              <w:pStyle w:val="31"/>
              <w:bidi w:val="0"/>
              <w:rPr>
                <w:rFonts w:hint="default"/>
                <w:color w:val="auto"/>
              </w:rPr>
            </w:pPr>
            <w:r>
              <w:rPr>
                <w:rFonts w:hint="default"/>
                <w:color w:val="auto"/>
                <w:lang w:val="en-US" w:eastAsia="zh-CN"/>
              </w:rPr>
              <w:t>38.7</w:t>
            </w:r>
          </w:p>
        </w:tc>
      </w:tr>
      <w:tr w14:paraId="7D873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5435D7D6">
            <w:pPr>
              <w:pStyle w:val="31"/>
              <w:bidi w:val="0"/>
              <w:rPr>
                <w:rFonts w:hint="default"/>
                <w:color w:val="auto"/>
              </w:rPr>
            </w:pPr>
            <w:r>
              <w:rPr>
                <w:rFonts w:hint="default"/>
                <w:color w:val="auto"/>
                <w:lang w:val="en-US" w:eastAsia="zh-CN"/>
              </w:rPr>
              <w:t>N</w:t>
            </w:r>
            <w:r>
              <w:rPr>
                <w:color w:val="auto"/>
                <w:lang w:val="en-US" w:eastAsia="zh-CN"/>
              </w:rPr>
              <w:t>15</w:t>
            </w:r>
          </w:p>
        </w:tc>
        <w:tc>
          <w:tcPr>
            <w:tcW w:w="1841" w:type="dxa"/>
            <w:shd w:val="clear" w:color="auto" w:fill="auto"/>
            <w:vAlign w:val="center"/>
          </w:tcPr>
          <w:p w14:paraId="6BDF948F">
            <w:pPr>
              <w:pStyle w:val="31"/>
              <w:bidi w:val="0"/>
              <w:rPr>
                <w:rFonts w:hint="default"/>
                <w:color w:val="auto"/>
              </w:rPr>
            </w:pPr>
            <w:r>
              <w:rPr>
                <w:rFonts w:hint="default"/>
                <w:color w:val="auto"/>
                <w:lang w:val="en-US" w:eastAsia="zh-CN"/>
              </w:rPr>
              <w:t>2</w:t>
            </w:r>
            <w:r>
              <w:rPr>
                <w:color w:val="auto"/>
                <w:lang w:val="en-US" w:eastAsia="zh-CN"/>
              </w:rPr>
              <w:t>号弃土区南厂界</w:t>
            </w:r>
          </w:p>
        </w:tc>
        <w:tc>
          <w:tcPr>
            <w:tcW w:w="1252" w:type="dxa"/>
            <w:shd w:val="clear" w:color="auto" w:fill="auto"/>
            <w:vAlign w:val="center"/>
          </w:tcPr>
          <w:p w14:paraId="1F0AAB79">
            <w:pPr>
              <w:pStyle w:val="31"/>
              <w:bidi w:val="0"/>
              <w:rPr>
                <w:rFonts w:hint="default"/>
                <w:color w:val="auto"/>
              </w:rPr>
            </w:pPr>
            <w:r>
              <w:rPr>
                <w:rFonts w:hint="default"/>
                <w:color w:val="auto"/>
                <w:lang w:val="en-US" w:eastAsia="zh-CN"/>
              </w:rPr>
              <w:t>36</w:t>
            </w:r>
          </w:p>
        </w:tc>
        <w:tc>
          <w:tcPr>
            <w:tcW w:w="1120" w:type="dxa"/>
            <w:shd w:val="clear" w:color="auto" w:fill="auto"/>
            <w:vAlign w:val="center"/>
          </w:tcPr>
          <w:p w14:paraId="5A44E17C">
            <w:pPr>
              <w:pStyle w:val="31"/>
              <w:bidi w:val="0"/>
              <w:rPr>
                <w:rFonts w:hint="default"/>
                <w:color w:val="auto"/>
              </w:rPr>
            </w:pPr>
            <w:r>
              <w:rPr>
                <w:rFonts w:hint="default"/>
                <w:color w:val="auto"/>
                <w:lang w:val="en-US" w:eastAsia="zh-CN"/>
              </w:rPr>
              <w:t>N</w:t>
            </w:r>
            <w:r>
              <w:rPr>
                <w:color w:val="auto"/>
                <w:lang w:val="en-US" w:eastAsia="zh-CN"/>
              </w:rPr>
              <w:t>15</w:t>
            </w:r>
          </w:p>
        </w:tc>
        <w:tc>
          <w:tcPr>
            <w:tcW w:w="1896" w:type="dxa"/>
            <w:shd w:val="clear" w:color="auto" w:fill="auto"/>
            <w:vAlign w:val="center"/>
          </w:tcPr>
          <w:p w14:paraId="378BB233">
            <w:pPr>
              <w:pStyle w:val="31"/>
              <w:bidi w:val="0"/>
              <w:rPr>
                <w:rFonts w:hint="default"/>
                <w:color w:val="auto"/>
              </w:rPr>
            </w:pPr>
            <w:r>
              <w:rPr>
                <w:rFonts w:hint="default"/>
                <w:color w:val="auto"/>
                <w:lang w:val="en-US" w:eastAsia="zh-CN"/>
              </w:rPr>
              <w:t>2</w:t>
            </w:r>
            <w:r>
              <w:rPr>
                <w:color w:val="auto"/>
                <w:lang w:val="en-US" w:eastAsia="zh-CN"/>
              </w:rPr>
              <w:t>号弃土区南厂界</w:t>
            </w:r>
          </w:p>
        </w:tc>
        <w:tc>
          <w:tcPr>
            <w:tcW w:w="1237" w:type="dxa"/>
            <w:shd w:val="clear" w:color="auto" w:fill="auto"/>
            <w:vAlign w:val="center"/>
          </w:tcPr>
          <w:p w14:paraId="73C8F414">
            <w:pPr>
              <w:pStyle w:val="31"/>
              <w:bidi w:val="0"/>
              <w:rPr>
                <w:rFonts w:hint="default"/>
                <w:color w:val="auto"/>
              </w:rPr>
            </w:pPr>
            <w:r>
              <w:rPr>
                <w:rFonts w:hint="default"/>
                <w:color w:val="auto"/>
                <w:lang w:val="en-US" w:eastAsia="zh-CN"/>
              </w:rPr>
              <w:t>34.1</w:t>
            </w:r>
          </w:p>
        </w:tc>
      </w:tr>
      <w:tr w14:paraId="71EA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158" w:type="dxa"/>
            <w:shd w:val="clear" w:color="auto" w:fill="auto"/>
            <w:vAlign w:val="center"/>
          </w:tcPr>
          <w:p w14:paraId="04E53CDE">
            <w:pPr>
              <w:pStyle w:val="31"/>
              <w:bidi w:val="0"/>
              <w:rPr>
                <w:rFonts w:hint="default"/>
                <w:color w:val="auto"/>
              </w:rPr>
            </w:pPr>
            <w:r>
              <w:rPr>
                <w:rFonts w:hint="default"/>
                <w:color w:val="auto"/>
                <w:lang w:val="en-US" w:eastAsia="zh-CN"/>
              </w:rPr>
              <w:t>N</w:t>
            </w:r>
            <w:r>
              <w:rPr>
                <w:color w:val="auto"/>
                <w:lang w:val="en-US" w:eastAsia="zh-CN"/>
              </w:rPr>
              <w:t>16</w:t>
            </w:r>
          </w:p>
        </w:tc>
        <w:tc>
          <w:tcPr>
            <w:tcW w:w="1841" w:type="dxa"/>
            <w:shd w:val="clear" w:color="auto" w:fill="auto"/>
            <w:vAlign w:val="center"/>
          </w:tcPr>
          <w:p w14:paraId="179366F7">
            <w:pPr>
              <w:pStyle w:val="31"/>
              <w:bidi w:val="0"/>
              <w:rPr>
                <w:rFonts w:hint="default"/>
                <w:color w:val="auto"/>
              </w:rPr>
            </w:pPr>
            <w:r>
              <w:rPr>
                <w:rFonts w:hint="default"/>
                <w:color w:val="auto"/>
                <w:lang w:val="en-US" w:eastAsia="zh-CN"/>
              </w:rPr>
              <w:t>2</w:t>
            </w:r>
            <w:r>
              <w:rPr>
                <w:color w:val="auto"/>
                <w:lang w:val="en-US" w:eastAsia="zh-CN"/>
              </w:rPr>
              <w:t>号弃土区东厂界</w:t>
            </w:r>
          </w:p>
        </w:tc>
        <w:tc>
          <w:tcPr>
            <w:tcW w:w="1252" w:type="dxa"/>
            <w:shd w:val="clear" w:color="auto" w:fill="auto"/>
            <w:vAlign w:val="center"/>
          </w:tcPr>
          <w:p w14:paraId="14C1256A">
            <w:pPr>
              <w:pStyle w:val="31"/>
              <w:bidi w:val="0"/>
              <w:rPr>
                <w:rFonts w:hint="default"/>
                <w:color w:val="auto"/>
              </w:rPr>
            </w:pPr>
            <w:r>
              <w:rPr>
                <w:rFonts w:hint="default"/>
                <w:color w:val="auto"/>
                <w:lang w:val="en-US" w:eastAsia="zh-CN"/>
              </w:rPr>
              <w:t>40.3</w:t>
            </w:r>
          </w:p>
        </w:tc>
        <w:tc>
          <w:tcPr>
            <w:tcW w:w="1120" w:type="dxa"/>
            <w:shd w:val="clear" w:color="auto" w:fill="auto"/>
            <w:vAlign w:val="center"/>
          </w:tcPr>
          <w:p w14:paraId="6BF404BA">
            <w:pPr>
              <w:pStyle w:val="31"/>
              <w:bidi w:val="0"/>
              <w:rPr>
                <w:rFonts w:hint="default"/>
                <w:color w:val="auto"/>
              </w:rPr>
            </w:pPr>
            <w:r>
              <w:rPr>
                <w:rFonts w:hint="default"/>
                <w:color w:val="auto"/>
                <w:lang w:val="en-US" w:eastAsia="zh-CN"/>
              </w:rPr>
              <w:t>N</w:t>
            </w:r>
            <w:r>
              <w:rPr>
                <w:color w:val="auto"/>
                <w:lang w:val="en-US" w:eastAsia="zh-CN"/>
              </w:rPr>
              <w:t>16</w:t>
            </w:r>
          </w:p>
        </w:tc>
        <w:tc>
          <w:tcPr>
            <w:tcW w:w="1896" w:type="dxa"/>
            <w:shd w:val="clear" w:color="auto" w:fill="auto"/>
            <w:vAlign w:val="center"/>
          </w:tcPr>
          <w:p w14:paraId="6FAB1FD2">
            <w:pPr>
              <w:pStyle w:val="31"/>
              <w:bidi w:val="0"/>
              <w:rPr>
                <w:rFonts w:hint="default"/>
                <w:color w:val="auto"/>
              </w:rPr>
            </w:pPr>
            <w:r>
              <w:rPr>
                <w:rFonts w:hint="default"/>
                <w:color w:val="auto"/>
                <w:lang w:val="en-US" w:eastAsia="zh-CN"/>
              </w:rPr>
              <w:t>2</w:t>
            </w:r>
            <w:r>
              <w:rPr>
                <w:color w:val="auto"/>
                <w:lang w:val="en-US" w:eastAsia="zh-CN"/>
              </w:rPr>
              <w:t>号弃土区东厂界</w:t>
            </w:r>
          </w:p>
        </w:tc>
        <w:tc>
          <w:tcPr>
            <w:tcW w:w="1237" w:type="dxa"/>
            <w:shd w:val="clear" w:color="auto" w:fill="auto"/>
            <w:vAlign w:val="center"/>
          </w:tcPr>
          <w:p w14:paraId="299182DB">
            <w:pPr>
              <w:pStyle w:val="31"/>
              <w:bidi w:val="0"/>
              <w:rPr>
                <w:rFonts w:hint="default"/>
                <w:color w:val="auto"/>
              </w:rPr>
            </w:pPr>
            <w:r>
              <w:rPr>
                <w:rFonts w:hint="default"/>
                <w:color w:val="auto"/>
                <w:lang w:val="en-US" w:eastAsia="zh-CN"/>
              </w:rPr>
              <w:t>32</w:t>
            </w:r>
          </w:p>
        </w:tc>
      </w:tr>
      <w:tr w14:paraId="447C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4BFDE224">
            <w:pPr>
              <w:pStyle w:val="31"/>
              <w:bidi w:val="0"/>
              <w:rPr>
                <w:rFonts w:hint="default"/>
                <w:color w:val="auto"/>
              </w:rPr>
            </w:pPr>
            <w:r>
              <w:rPr>
                <w:rFonts w:hint="default"/>
                <w:color w:val="auto"/>
                <w:lang w:val="en-US" w:eastAsia="zh-CN"/>
              </w:rPr>
              <w:t>N</w:t>
            </w:r>
            <w:r>
              <w:rPr>
                <w:color w:val="auto"/>
                <w:lang w:val="en-US" w:eastAsia="zh-CN"/>
              </w:rPr>
              <w:t>17</w:t>
            </w:r>
          </w:p>
        </w:tc>
        <w:tc>
          <w:tcPr>
            <w:tcW w:w="1841" w:type="dxa"/>
            <w:shd w:val="clear" w:color="auto" w:fill="auto"/>
            <w:vAlign w:val="center"/>
          </w:tcPr>
          <w:p w14:paraId="720846ED">
            <w:pPr>
              <w:pStyle w:val="31"/>
              <w:bidi w:val="0"/>
              <w:rPr>
                <w:rFonts w:hint="eastAsia"/>
                <w:color w:val="auto"/>
              </w:rPr>
            </w:pPr>
            <w:r>
              <w:rPr>
                <w:rFonts w:hint="eastAsia"/>
                <w:color w:val="auto"/>
                <w:lang w:val="en-US" w:eastAsia="zh-CN"/>
              </w:rPr>
              <w:t>芦冲居民点</w:t>
            </w:r>
          </w:p>
        </w:tc>
        <w:tc>
          <w:tcPr>
            <w:tcW w:w="1252" w:type="dxa"/>
            <w:shd w:val="clear" w:color="auto" w:fill="auto"/>
            <w:vAlign w:val="center"/>
          </w:tcPr>
          <w:p w14:paraId="2575623F">
            <w:pPr>
              <w:pStyle w:val="31"/>
              <w:bidi w:val="0"/>
              <w:rPr>
                <w:rFonts w:hint="default"/>
                <w:color w:val="auto"/>
              </w:rPr>
            </w:pPr>
            <w:r>
              <w:rPr>
                <w:rFonts w:hint="default"/>
                <w:color w:val="auto"/>
                <w:lang w:val="en-US" w:eastAsia="zh-CN"/>
              </w:rPr>
              <w:t>40.3</w:t>
            </w:r>
          </w:p>
        </w:tc>
        <w:tc>
          <w:tcPr>
            <w:tcW w:w="1120" w:type="dxa"/>
            <w:shd w:val="clear" w:color="auto" w:fill="auto"/>
            <w:vAlign w:val="center"/>
          </w:tcPr>
          <w:p w14:paraId="5FEF3563">
            <w:pPr>
              <w:pStyle w:val="31"/>
              <w:bidi w:val="0"/>
              <w:rPr>
                <w:rFonts w:hint="default"/>
                <w:color w:val="auto"/>
              </w:rPr>
            </w:pPr>
            <w:r>
              <w:rPr>
                <w:rFonts w:hint="default"/>
                <w:color w:val="auto"/>
                <w:lang w:val="en-US" w:eastAsia="zh-CN"/>
              </w:rPr>
              <w:t>N</w:t>
            </w:r>
            <w:r>
              <w:rPr>
                <w:color w:val="auto"/>
                <w:lang w:val="en-US" w:eastAsia="zh-CN"/>
              </w:rPr>
              <w:t>17</w:t>
            </w:r>
          </w:p>
        </w:tc>
        <w:tc>
          <w:tcPr>
            <w:tcW w:w="1896" w:type="dxa"/>
            <w:shd w:val="clear" w:color="auto" w:fill="auto"/>
            <w:vAlign w:val="center"/>
          </w:tcPr>
          <w:p w14:paraId="346A2E87">
            <w:pPr>
              <w:pStyle w:val="31"/>
              <w:bidi w:val="0"/>
              <w:rPr>
                <w:rFonts w:hint="eastAsia"/>
                <w:color w:val="auto"/>
              </w:rPr>
            </w:pPr>
            <w:r>
              <w:rPr>
                <w:rFonts w:hint="eastAsia"/>
                <w:color w:val="auto"/>
                <w:lang w:val="en-US" w:eastAsia="zh-CN"/>
              </w:rPr>
              <w:t>芦冲居民点</w:t>
            </w:r>
          </w:p>
        </w:tc>
        <w:tc>
          <w:tcPr>
            <w:tcW w:w="1237" w:type="dxa"/>
            <w:shd w:val="clear" w:color="auto" w:fill="auto"/>
            <w:vAlign w:val="center"/>
          </w:tcPr>
          <w:p w14:paraId="257F20E8">
            <w:pPr>
              <w:pStyle w:val="31"/>
              <w:bidi w:val="0"/>
              <w:rPr>
                <w:rFonts w:hint="default"/>
                <w:color w:val="auto"/>
              </w:rPr>
            </w:pPr>
            <w:r>
              <w:rPr>
                <w:rFonts w:hint="default"/>
                <w:color w:val="auto"/>
                <w:lang w:val="en-US" w:eastAsia="zh-CN"/>
              </w:rPr>
              <w:t>41.7</w:t>
            </w:r>
          </w:p>
        </w:tc>
      </w:tr>
      <w:tr w14:paraId="387C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195F0AEC">
            <w:pPr>
              <w:pStyle w:val="31"/>
              <w:bidi w:val="0"/>
              <w:rPr>
                <w:rFonts w:hint="eastAsia"/>
                <w:color w:val="auto"/>
              </w:rPr>
            </w:pPr>
            <w:r>
              <w:rPr>
                <w:rFonts w:hint="eastAsia"/>
                <w:color w:val="auto"/>
                <w:lang w:val="en-US" w:eastAsia="zh-CN"/>
              </w:rPr>
              <w:t>标准限值</w:t>
            </w:r>
          </w:p>
        </w:tc>
        <w:tc>
          <w:tcPr>
            <w:tcW w:w="1841" w:type="dxa"/>
            <w:shd w:val="clear" w:color="auto" w:fill="auto"/>
            <w:vAlign w:val="center"/>
          </w:tcPr>
          <w:p w14:paraId="311D601A">
            <w:pPr>
              <w:pStyle w:val="31"/>
              <w:bidi w:val="0"/>
              <w:rPr>
                <w:rFonts w:hint="eastAsia"/>
                <w:color w:val="auto"/>
              </w:rPr>
            </w:pPr>
            <w:r>
              <w:rPr>
                <w:rFonts w:hint="eastAsia"/>
                <w:color w:val="auto"/>
                <w:lang w:val="en-US" w:eastAsia="zh-CN"/>
              </w:rPr>
              <w:t>/</w:t>
            </w:r>
          </w:p>
        </w:tc>
        <w:tc>
          <w:tcPr>
            <w:tcW w:w="1252" w:type="dxa"/>
            <w:shd w:val="clear" w:color="auto" w:fill="auto"/>
            <w:vAlign w:val="center"/>
          </w:tcPr>
          <w:p w14:paraId="76B8D20D">
            <w:pPr>
              <w:pStyle w:val="31"/>
              <w:bidi w:val="0"/>
              <w:rPr>
                <w:rFonts w:hint="eastAsia"/>
                <w:color w:val="auto"/>
              </w:rPr>
            </w:pPr>
            <w:r>
              <w:rPr>
                <w:rFonts w:hint="eastAsia"/>
                <w:color w:val="auto"/>
                <w:lang w:val="en-US" w:eastAsia="zh-CN"/>
              </w:rPr>
              <w:t>55</w:t>
            </w:r>
          </w:p>
        </w:tc>
        <w:tc>
          <w:tcPr>
            <w:tcW w:w="1120" w:type="dxa"/>
            <w:shd w:val="clear" w:color="auto" w:fill="auto"/>
            <w:vAlign w:val="center"/>
          </w:tcPr>
          <w:p w14:paraId="7D55181C">
            <w:pPr>
              <w:pStyle w:val="31"/>
              <w:bidi w:val="0"/>
              <w:rPr>
                <w:rFonts w:hint="eastAsia"/>
                <w:color w:val="auto"/>
              </w:rPr>
            </w:pPr>
            <w:r>
              <w:rPr>
                <w:rFonts w:hint="eastAsia"/>
                <w:color w:val="auto"/>
                <w:lang w:val="en-US" w:eastAsia="zh-CN"/>
              </w:rPr>
              <w:t>/</w:t>
            </w:r>
          </w:p>
        </w:tc>
        <w:tc>
          <w:tcPr>
            <w:tcW w:w="1896" w:type="dxa"/>
            <w:shd w:val="clear" w:color="auto" w:fill="auto"/>
            <w:vAlign w:val="center"/>
          </w:tcPr>
          <w:p w14:paraId="009EA7F2">
            <w:pPr>
              <w:pStyle w:val="31"/>
              <w:bidi w:val="0"/>
              <w:rPr>
                <w:rFonts w:hint="eastAsia"/>
                <w:color w:val="auto"/>
              </w:rPr>
            </w:pPr>
            <w:r>
              <w:rPr>
                <w:rFonts w:hint="eastAsia"/>
                <w:color w:val="auto"/>
                <w:lang w:val="en-US" w:eastAsia="zh-CN"/>
              </w:rPr>
              <w:t>/</w:t>
            </w:r>
          </w:p>
        </w:tc>
        <w:tc>
          <w:tcPr>
            <w:tcW w:w="1237" w:type="dxa"/>
            <w:shd w:val="clear" w:color="auto" w:fill="auto"/>
            <w:vAlign w:val="center"/>
          </w:tcPr>
          <w:p w14:paraId="6BD3F17B">
            <w:pPr>
              <w:pStyle w:val="31"/>
              <w:bidi w:val="0"/>
              <w:rPr>
                <w:rFonts w:hint="eastAsia"/>
                <w:color w:val="auto"/>
              </w:rPr>
            </w:pPr>
            <w:r>
              <w:rPr>
                <w:rFonts w:hint="eastAsia"/>
                <w:color w:val="auto"/>
                <w:lang w:val="en-US" w:eastAsia="zh-CN"/>
              </w:rPr>
              <w:t>55</w:t>
            </w:r>
          </w:p>
        </w:tc>
      </w:tr>
      <w:tr w14:paraId="1AC6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shd w:val="clear" w:color="auto" w:fill="auto"/>
            <w:vAlign w:val="center"/>
          </w:tcPr>
          <w:p w14:paraId="5258A805">
            <w:pPr>
              <w:pStyle w:val="31"/>
              <w:bidi w:val="0"/>
              <w:rPr>
                <w:rFonts w:hint="eastAsia"/>
                <w:color w:val="auto"/>
              </w:rPr>
            </w:pPr>
            <w:r>
              <w:rPr>
                <w:rFonts w:hint="eastAsia"/>
                <w:color w:val="auto"/>
                <w:lang w:val="en-US" w:eastAsia="zh-CN"/>
              </w:rPr>
              <w:t>达标情况</w:t>
            </w:r>
          </w:p>
        </w:tc>
        <w:tc>
          <w:tcPr>
            <w:tcW w:w="1841" w:type="dxa"/>
            <w:shd w:val="clear" w:color="auto" w:fill="auto"/>
            <w:vAlign w:val="center"/>
          </w:tcPr>
          <w:p w14:paraId="055C3B37">
            <w:pPr>
              <w:pStyle w:val="31"/>
              <w:bidi w:val="0"/>
              <w:rPr>
                <w:rFonts w:hint="eastAsia"/>
                <w:color w:val="auto"/>
              </w:rPr>
            </w:pPr>
            <w:r>
              <w:rPr>
                <w:rFonts w:hint="eastAsia"/>
                <w:color w:val="auto"/>
                <w:lang w:val="en-US" w:eastAsia="zh-CN"/>
              </w:rPr>
              <w:t>/</w:t>
            </w:r>
          </w:p>
        </w:tc>
        <w:tc>
          <w:tcPr>
            <w:tcW w:w="1252" w:type="dxa"/>
            <w:shd w:val="clear" w:color="auto" w:fill="auto"/>
            <w:vAlign w:val="center"/>
          </w:tcPr>
          <w:p w14:paraId="0D52A292">
            <w:pPr>
              <w:pStyle w:val="31"/>
              <w:bidi w:val="0"/>
              <w:rPr>
                <w:rFonts w:hint="eastAsia"/>
                <w:color w:val="auto"/>
              </w:rPr>
            </w:pPr>
            <w:r>
              <w:rPr>
                <w:rFonts w:hint="eastAsia"/>
                <w:color w:val="auto"/>
                <w:lang w:val="en-US" w:eastAsia="zh-CN"/>
              </w:rPr>
              <w:t>达标</w:t>
            </w:r>
          </w:p>
        </w:tc>
        <w:tc>
          <w:tcPr>
            <w:tcW w:w="1120" w:type="dxa"/>
            <w:shd w:val="clear" w:color="auto" w:fill="auto"/>
            <w:vAlign w:val="center"/>
          </w:tcPr>
          <w:p w14:paraId="0756CEC3">
            <w:pPr>
              <w:pStyle w:val="31"/>
              <w:bidi w:val="0"/>
              <w:rPr>
                <w:rFonts w:hint="eastAsia"/>
                <w:color w:val="auto"/>
              </w:rPr>
            </w:pPr>
            <w:r>
              <w:rPr>
                <w:rFonts w:hint="eastAsia"/>
                <w:color w:val="auto"/>
                <w:lang w:val="en-US" w:eastAsia="zh-CN"/>
              </w:rPr>
              <w:t>/</w:t>
            </w:r>
          </w:p>
        </w:tc>
        <w:tc>
          <w:tcPr>
            <w:tcW w:w="1896" w:type="dxa"/>
            <w:shd w:val="clear" w:color="auto" w:fill="auto"/>
            <w:vAlign w:val="center"/>
          </w:tcPr>
          <w:p w14:paraId="7BE1DA78">
            <w:pPr>
              <w:pStyle w:val="31"/>
              <w:bidi w:val="0"/>
              <w:rPr>
                <w:rFonts w:hint="eastAsia"/>
                <w:color w:val="auto"/>
              </w:rPr>
            </w:pPr>
            <w:r>
              <w:rPr>
                <w:rFonts w:hint="eastAsia"/>
                <w:color w:val="auto"/>
                <w:lang w:val="en-US" w:eastAsia="zh-CN"/>
              </w:rPr>
              <w:t>/</w:t>
            </w:r>
          </w:p>
        </w:tc>
        <w:tc>
          <w:tcPr>
            <w:tcW w:w="1237" w:type="dxa"/>
            <w:shd w:val="clear" w:color="auto" w:fill="auto"/>
            <w:vAlign w:val="center"/>
          </w:tcPr>
          <w:p w14:paraId="67CBE9C2">
            <w:pPr>
              <w:pStyle w:val="31"/>
              <w:bidi w:val="0"/>
              <w:rPr>
                <w:rFonts w:hint="eastAsia"/>
                <w:color w:val="auto"/>
              </w:rPr>
            </w:pPr>
            <w:r>
              <w:rPr>
                <w:rFonts w:hint="eastAsia"/>
                <w:color w:val="auto"/>
                <w:lang w:val="en-US" w:eastAsia="zh-CN"/>
              </w:rPr>
              <w:t>达标</w:t>
            </w:r>
          </w:p>
        </w:tc>
      </w:tr>
      <w:tr w14:paraId="01C5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4" w:type="dxa"/>
            <w:gridSpan w:val="6"/>
            <w:shd w:val="clear" w:color="auto" w:fill="auto"/>
            <w:vAlign w:val="center"/>
          </w:tcPr>
          <w:p w14:paraId="25E9A9E1">
            <w:pPr>
              <w:pStyle w:val="31"/>
              <w:bidi w:val="0"/>
              <w:rPr>
                <w:rFonts w:hint="eastAsia"/>
                <w:color w:val="auto"/>
              </w:rPr>
            </w:pPr>
            <w:r>
              <w:rPr>
                <w:rFonts w:hint="eastAsia"/>
                <w:color w:val="auto"/>
                <w:lang w:val="en-US" w:eastAsia="zh-CN"/>
              </w:rPr>
              <w:t>气象条件</w:t>
            </w:r>
          </w:p>
        </w:tc>
      </w:tr>
      <w:tr w14:paraId="2021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1" w:type="dxa"/>
            <w:gridSpan w:val="3"/>
            <w:shd w:val="clear" w:color="auto" w:fill="auto"/>
            <w:vAlign w:val="center"/>
          </w:tcPr>
          <w:p w14:paraId="6B66EEB7">
            <w:pPr>
              <w:pStyle w:val="31"/>
              <w:bidi w:val="0"/>
              <w:rPr>
                <w:rFonts w:hint="default"/>
                <w:color w:val="auto"/>
              </w:rPr>
            </w:pPr>
            <w:r>
              <w:rPr>
                <w:rFonts w:hint="default"/>
                <w:color w:val="auto"/>
                <w:lang w:val="en-US" w:eastAsia="zh-CN"/>
              </w:rPr>
              <w:t>2025.01.16</w:t>
            </w:r>
            <w:r>
              <w:rPr>
                <w:color w:val="auto"/>
                <w:lang w:val="en-US" w:eastAsia="zh-CN"/>
              </w:rPr>
              <w:t>，天气：晴；气温：3.2℃；风速：2.4m/s；风向：西风。</w:t>
            </w:r>
          </w:p>
        </w:tc>
        <w:tc>
          <w:tcPr>
            <w:tcW w:w="4253" w:type="dxa"/>
            <w:gridSpan w:val="3"/>
            <w:shd w:val="clear" w:color="auto" w:fill="auto"/>
            <w:vAlign w:val="center"/>
          </w:tcPr>
          <w:p w14:paraId="7E5D1853">
            <w:pPr>
              <w:pStyle w:val="31"/>
              <w:bidi w:val="0"/>
              <w:rPr>
                <w:rFonts w:hint="default"/>
                <w:color w:val="auto"/>
              </w:rPr>
            </w:pPr>
            <w:r>
              <w:rPr>
                <w:rFonts w:hint="default"/>
                <w:color w:val="auto"/>
                <w:lang w:val="en-US" w:eastAsia="zh-CN"/>
              </w:rPr>
              <w:t>2025.01.18</w:t>
            </w:r>
            <w:r>
              <w:rPr>
                <w:color w:val="auto"/>
                <w:lang w:val="en-US" w:eastAsia="zh-CN"/>
              </w:rPr>
              <w:t>，天气：晴；气温：4.2℃；风速：1.5m/s；风向：西风。</w:t>
            </w:r>
          </w:p>
        </w:tc>
      </w:tr>
    </w:tbl>
    <w:p w14:paraId="0A9B5934">
      <w:pPr>
        <w:pStyle w:val="5"/>
        <w:bidi w:val="0"/>
        <w:rPr>
          <w:color w:val="auto"/>
        </w:rPr>
      </w:pPr>
      <w:r>
        <w:rPr>
          <w:rFonts w:hint="eastAsia"/>
          <w:color w:val="auto"/>
        </w:rPr>
        <w:t>声现状评价</w:t>
      </w:r>
    </w:p>
    <w:p w14:paraId="47FCFD61">
      <w:pPr>
        <w:ind w:firstLine="472"/>
        <w:rPr>
          <w:rFonts w:cs="Times New Roman"/>
          <w:color w:val="auto"/>
        </w:rPr>
      </w:pPr>
      <w:r>
        <w:rPr>
          <w:rFonts w:hint="eastAsia" w:cs="Times New Roman"/>
          <w:color w:val="auto"/>
        </w:rPr>
        <w:t>（</w:t>
      </w:r>
      <w:r>
        <w:rPr>
          <w:rFonts w:cs="Times New Roman"/>
          <w:color w:val="auto"/>
        </w:rPr>
        <w:t>1</w:t>
      </w:r>
      <w:r>
        <w:rPr>
          <w:rFonts w:hint="eastAsia" w:cs="Times New Roman"/>
          <w:color w:val="auto"/>
        </w:rPr>
        <w:t>）执行标准</w:t>
      </w:r>
    </w:p>
    <w:p w14:paraId="16EBC47D">
      <w:pPr>
        <w:bidi w:val="0"/>
        <w:rPr>
          <w:rFonts w:hint="eastAsia" w:cs="Times New Roman"/>
          <w:color w:val="auto"/>
        </w:rPr>
      </w:pPr>
      <w:r>
        <w:rPr>
          <w:rFonts w:hint="eastAsia" w:cs="Times New Roman"/>
          <w:color w:val="auto"/>
          <w:lang w:val="en-US" w:eastAsia="zh-CN"/>
        </w:rPr>
        <w:t>本项目敏感点执行</w:t>
      </w:r>
      <w:r>
        <w:rPr>
          <w:rFonts w:hint="eastAsia" w:cs="Times New Roman"/>
          <w:color w:val="auto"/>
        </w:rPr>
        <w:t>《声环境质量标准》（GB3096-2008）</w:t>
      </w:r>
      <w:r>
        <w:rPr>
          <w:rFonts w:hint="eastAsia" w:cs="Times New Roman"/>
          <w:color w:val="auto"/>
          <w:lang w:val="en-US" w:eastAsia="zh-CN"/>
        </w:rPr>
        <w:t>中2类</w:t>
      </w:r>
      <w:r>
        <w:rPr>
          <w:rFonts w:hint="eastAsia" w:cs="Times New Roman"/>
          <w:color w:val="auto"/>
        </w:rPr>
        <w:t>要求。</w:t>
      </w:r>
    </w:p>
    <w:p w14:paraId="6E810564">
      <w:pPr>
        <w:bidi w:val="0"/>
        <w:rPr>
          <w:color w:val="auto"/>
        </w:rPr>
      </w:pPr>
      <w:r>
        <w:rPr>
          <w:rFonts w:hint="eastAsia"/>
          <w:color w:val="auto"/>
        </w:rPr>
        <w:t>（</w:t>
      </w:r>
      <w:r>
        <w:rPr>
          <w:color w:val="auto"/>
        </w:rPr>
        <w:t>2</w:t>
      </w:r>
      <w:r>
        <w:rPr>
          <w:rFonts w:hint="eastAsia"/>
          <w:color w:val="auto"/>
        </w:rPr>
        <w:t>）评价结果</w:t>
      </w:r>
    </w:p>
    <w:p w14:paraId="5C2D6E9E">
      <w:pPr>
        <w:bidi w:val="0"/>
        <w:rPr>
          <w:rFonts w:hint="eastAsia"/>
          <w:color w:val="auto"/>
          <w:lang w:val="zh-CN" w:eastAsia="zh-CN"/>
        </w:rPr>
      </w:pPr>
      <w:r>
        <w:rPr>
          <w:rFonts w:hint="eastAsia"/>
          <w:color w:val="auto"/>
        </w:rPr>
        <w:t>监测结果表明</w:t>
      </w:r>
      <w:r>
        <w:rPr>
          <w:rFonts w:hint="eastAsia"/>
          <w:color w:val="auto"/>
          <w:lang w:val="en-US" w:eastAsia="zh-CN"/>
        </w:rPr>
        <w:t>各个敏感点</w:t>
      </w:r>
      <w:r>
        <w:rPr>
          <w:rFonts w:hint="eastAsia"/>
          <w:color w:val="auto"/>
        </w:rPr>
        <w:t>声环境质量满足《声环境质量标准》（GB3096-2008）</w:t>
      </w:r>
      <w:r>
        <w:rPr>
          <w:rFonts w:hint="eastAsia"/>
          <w:color w:val="auto"/>
          <w:lang w:val="en-US" w:eastAsia="zh-CN"/>
        </w:rPr>
        <w:t>2</w:t>
      </w:r>
      <w:r>
        <w:rPr>
          <w:rFonts w:hint="eastAsia"/>
          <w:color w:val="auto"/>
        </w:rPr>
        <w:t>类标准要求，声环境质量良好。</w:t>
      </w:r>
    </w:p>
    <w:p w14:paraId="1DC58E10">
      <w:pPr>
        <w:pStyle w:val="4"/>
        <w:bidi w:val="0"/>
        <w:rPr>
          <w:rFonts w:hint="eastAsia"/>
          <w:color w:val="auto"/>
          <w:lang w:val="zh-CN" w:eastAsia="zh-CN"/>
        </w:rPr>
      </w:pPr>
      <w:bookmarkStart w:id="126" w:name="_Toc1027"/>
      <w:r>
        <w:rPr>
          <w:rFonts w:hint="eastAsia"/>
          <w:color w:val="auto"/>
          <w:lang w:val="zh-CN" w:eastAsia="zh-CN"/>
        </w:rPr>
        <w:t>地下水环境质量现状调查与评价</w:t>
      </w:r>
      <w:bookmarkEnd w:id="126"/>
    </w:p>
    <w:p w14:paraId="557B6804">
      <w:pPr>
        <w:pStyle w:val="5"/>
        <w:bidi w:val="0"/>
        <w:rPr>
          <w:rFonts w:hint="eastAsia"/>
          <w:color w:val="auto"/>
          <w:lang w:val="zh-CN" w:eastAsia="zh-CN"/>
        </w:rPr>
      </w:pPr>
      <w:r>
        <w:rPr>
          <w:rFonts w:hint="eastAsia"/>
          <w:color w:val="auto"/>
          <w:lang w:val="en-US" w:eastAsia="zh-CN"/>
        </w:rPr>
        <w:t>地下水</w:t>
      </w:r>
      <w:r>
        <w:rPr>
          <w:rFonts w:hint="eastAsia"/>
          <w:color w:val="auto"/>
          <w:lang w:val="zh-CN" w:eastAsia="zh-CN"/>
        </w:rPr>
        <w:t>环境质量现状调查</w:t>
      </w:r>
    </w:p>
    <w:p w14:paraId="4DDAC636">
      <w:pPr>
        <w:spacing w:line="360" w:lineRule="auto"/>
        <w:ind w:firstLine="480"/>
        <w:rPr>
          <w:rFonts w:hint="eastAsia" w:ascii="Times New Roman" w:hAnsi="宋体" w:eastAsia="宋体"/>
          <w:color w:val="auto"/>
          <w:sz w:val="24"/>
          <w:lang w:val="en-US" w:eastAsia="zh-CN"/>
        </w:rPr>
      </w:pPr>
      <w:r>
        <w:rPr>
          <w:rFonts w:hint="eastAsia" w:ascii="Times New Roman" w:hAnsi="宋体" w:eastAsia="宋体"/>
          <w:color w:val="auto"/>
          <w:sz w:val="24"/>
          <w:lang w:val="en-US" w:eastAsia="zh-CN"/>
        </w:rPr>
        <w:t>为了解</w:t>
      </w:r>
      <w:r>
        <w:rPr>
          <w:rFonts w:hint="eastAsia" w:hAnsi="宋体"/>
          <w:color w:val="auto"/>
          <w:sz w:val="24"/>
          <w:lang w:val="en-US" w:eastAsia="zh-CN"/>
        </w:rPr>
        <w:t>项目评价范围内</w:t>
      </w:r>
      <w:r>
        <w:rPr>
          <w:rFonts w:hint="eastAsia" w:ascii="Times New Roman" w:hAnsi="宋体" w:eastAsia="宋体"/>
          <w:color w:val="auto"/>
          <w:sz w:val="24"/>
          <w:lang w:val="en-US" w:eastAsia="zh-CN"/>
        </w:rPr>
        <w:t>地下水环境现状，本次评价设置</w:t>
      </w:r>
      <w:r>
        <w:rPr>
          <w:rFonts w:hint="eastAsia" w:hAnsi="宋体"/>
          <w:color w:val="auto"/>
          <w:sz w:val="24"/>
          <w:lang w:val="en-US" w:eastAsia="zh-CN"/>
        </w:rPr>
        <w:t>8</w:t>
      </w:r>
      <w:r>
        <w:rPr>
          <w:rFonts w:hint="eastAsia" w:ascii="Times New Roman" w:hAnsi="宋体" w:eastAsia="宋体"/>
          <w:color w:val="auto"/>
          <w:sz w:val="24"/>
          <w:lang w:val="en-US" w:eastAsia="zh-CN"/>
        </w:rPr>
        <w:t>个水质监测点位，</w:t>
      </w:r>
      <w:r>
        <w:rPr>
          <w:rFonts w:hint="eastAsia" w:hAnsi="宋体"/>
          <w:color w:val="auto"/>
          <w:sz w:val="24"/>
          <w:lang w:val="en-US" w:eastAsia="zh-CN"/>
        </w:rPr>
        <w:t>18</w:t>
      </w:r>
      <w:r>
        <w:rPr>
          <w:rFonts w:hint="eastAsia" w:ascii="Times New Roman" w:hAnsi="宋体" w:eastAsia="宋体"/>
          <w:color w:val="auto"/>
          <w:sz w:val="24"/>
          <w:lang w:val="en-US" w:eastAsia="zh-CN"/>
        </w:rPr>
        <w:t>个水位监测点位。</w:t>
      </w:r>
    </w:p>
    <w:p w14:paraId="7FA7D5FA">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8</w:t>
      </w:r>
      <w:r>
        <w:rPr>
          <w:color w:val="auto"/>
        </w:rPr>
        <w:fldChar w:fldCharType="end"/>
      </w:r>
      <w:r>
        <w:rPr>
          <w:rFonts w:hint="eastAsia" w:ascii="Times New Roman" w:hAnsi="Times New Roman" w:eastAsia="宋体"/>
          <w:color w:val="auto"/>
          <w:sz w:val="21"/>
          <w:szCs w:val="21"/>
          <w:lang w:val="en-US" w:eastAsia="zh-CN"/>
        </w:rPr>
        <w:t>地下水环境质量现状</w:t>
      </w:r>
      <w:r>
        <w:rPr>
          <w:rFonts w:ascii="Times New Roman" w:hAnsi="Times New Roman" w:eastAsia="宋体"/>
          <w:color w:val="auto"/>
          <w:sz w:val="21"/>
          <w:szCs w:val="21"/>
        </w:rPr>
        <w:t>监测</w:t>
      </w:r>
      <w:r>
        <w:rPr>
          <w:rFonts w:hint="eastAsia" w:ascii="Times New Roman" w:hAnsi="Times New Roman" w:eastAsia="宋体"/>
          <w:color w:val="auto"/>
          <w:sz w:val="21"/>
          <w:szCs w:val="21"/>
          <w:lang w:val="en-US" w:eastAsia="zh-CN"/>
        </w:rPr>
        <w:t>点位</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1751"/>
        <w:gridCol w:w="3324"/>
        <w:gridCol w:w="2095"/>
      </w:tblGrid>
      <w:tr w14:paraId="1AA9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793" w:type="pct"/>
            <w:tcBorders>
              <w:tl2br w:val="nil"/>
              <w:tr2bl w:val="nil"/>
            </w:tcBorders>
            <w:vAlign w:val="center"/>
          </w:tcPr>
          <w:p w14:paraId="143DB4A8">
            <w:pPr>
              <w:pStyle w:val="31"/>
              <w:bidi w:val="0"/>
              <w:rPr>
                <w:color w:val="auto"/>
                <w:lang w:val="en-US" w:eastAsia="zh-CN"/>
              </w:rPr>
            </w:pPr>
            <w:r>
              <w:rPr>
                <w:rFonts w:hint="eastAsia"/>
                <w:color w:val="auto"/>
              </w:rPr>
              <w:t>序号</w:t>
            </w:r>
          </w:p>
        </w:tc>
        <w:tc>
          <w:tcPr>
            <w:tcW w:w="1027" w:type="pct"/>
            <w:tcBorders>
              <w:tl2br w:val="nil"/>
              <w:tr2bl w:val="nil"/>
            </w:tcBorders>
            <w:vAlign w:val="center"/>
          </w:tcPr>
          <w:p w14:paraId="1A15BAD0">
            <w:pPr>
              <w:pStyle w:val="31"/>
              <w:bidi w:val="0"/>
              <w:rPr>
                <w:rFonts w:hint="default"/>
                <w:color w:val="auto"/>
                <w:lang w:val="en-US" w:eastAsia="zh-CN"/>
              </w:rPr>
            </w:pPr>
            <w:r>
              <w:rPr>
                <w:rFonts w:hint="eastAsia"/>
                <w:color w:val="auto"/>
                <w:lang w:val="en-US" w:eastAsia="zh-CN"/>
              </w:rPr>
              <w:t>编号</w:t>
            </w:r>
          </w:p>
        </w:tc>
        <w:tc>
          <w:tcPr>
            <w:tcW w:w="1949" w:type="pct"/>
            <w:tcBorders>
              <w:tl2br w:val="nil"/>
              <w:tr2bl w:val="nil"/>
            </w:tcBorders>
            <w:vAlign w:val="center"/>
          </w:tcPr>
          <w:p w14:paraId="13935FC7">
            <w:pPr>
              <w:pStyle w:val="31"/>
              <w:bidi w:val="0"/>
              <w:rPr>
                <w:rFonts w:hint="default"/>
                <w:color w:val="auto"/>
                <w:lang w:val="en-US" w:eastAsia="zh-CN"/>
              </w:rPr>
            </w:pPr>
            <w:r>
              <w:rPr>
                <w:rFonts w:hint="eastAsia"/>
                <w:color w:val="auto"/>
                <w:lang w:val="en-US" w:eastAsia="zh-CN"/>
              </w:rPr>
              <w:t>坐标</w:t>
            </w:r>
          </w:p>
        </w:tc>
        <w:tc>
          <w:tcPr>
            <w:tcW w:w="1228" w:type="pct"/>
            <w:tcBorders>
              <w:tl2br w:val="nil"/>
              <w:tr2bl w:val="nil"/>
            </w:tcBorders>
            <w:vAlign w:val="center"/>
          </w:tcPr>
          <w:p w14:paraId="5395C32A">
            <w:pPr>
              <w:pStyle w:val="31"/>
              <w:bidi w:val="0"/>
              <w:rPr>
                <w:rFonts w:hint="default"/>
                <w:color w:val="auto"/>
                <w:lang w:val="en-US" w:eastAsia="zh-CN"/>
              </w:rPr>
            </w:pPr>
            <w:r>
              <w:rPr>
                <w:rFonts w:hint="eastAsia"/>
                <w:color w:val="auto"/>
                <w:lang w:val="en-US" w:eastAsia="zh-CN"/>
              </w:rPr>
              <w:t>监测项目</w:t>
            </w:r>
          </w:p>
        </w:tc>
      </w:tr>
      <w:tr w14:paraId="2A87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596236AA">
            <w:pPr>
              <w:pStyle w:val="31"/>
              <w:bidi w:val="0"/>
              <w:rPr>
                <w:rFonts w:hint="eastAsia"/>
                <w:color w:val="auto"/>
                <w:lang w:val="en-US" w:eastAsia="zh-CN"/>
              </w:rPr>
            </w:pPr>
            <w:r>
              <w:rPr>
                <w:rFonts w:hint="eastAsia"/>
                <w:color w:val="auto"/>
                <w:lang w:val="en-US" w:eastAsia="zh-CN"/>
              </w:rPr>
              <w:t>1</w:t>
            </w:r>
          </w:p>
        </w:tc>
        <w:tc>
          <w:tcPr>
            <w:tcW w:w="1027" w:type="pct"/>
            <w:tcBorders>
              <w:tl2br w:val="nil"/>
              <w:tr2bl w:val="nil"/>
            </w:tcBorders>
            <w:vAlign w:val="center"/>
          </w:tcPr>
          <w:p w14:paraId="770E21A6">
            <w:pPr>
              <w:pStyle w:val="31"/>
              <w:bidi w:val="0"/>
              <w:rPr>
                <w:color w:val="auto"/>
              </w:rPr>
            </w:pPr>
            <w:r>
              <w:rPr>
                <w:rFonts w:hint="eastAsia"/>
                <w:color w:val="auto"/>
                <w:lang w:val="en-US" w:eastAsia="zh-CN"/>
              </w:rPr>
              <w:t>D</w:t>
            </w:r>
            <w:r>
              <w:rPr>
                <w:rFonts w:hint="eastAsia"/>
                <w:color w:val="auto"/>
              </w:rPr>
              <w:t>1</w:t>
            </w:r>
          </w:p>
        </w:tc>
        <w:tc>
          <w:tcPr>
            <w:tcW w:w="1949" w:type="pct"/>
            <w:tcBorders>
              <w:tl2br w:val="nil"/>
              <w:tr2bl w:val="nil"/>
            </w:tcBorders>
            <w:vAlign w:val="center"/>
          </w:tcPr>
          <w:p w14:paraId="1A0105CA">
            <w:pPr>
              <w:pStyle w:val="31"/>
              <w:bidi w:val="0"/>
              <w:rPr>
                <w:rFonts w:hint="default"/>
                <w:color w:val="auto"/>
                <w:lang w:val="en-US" w:eastAsia="zh-CN"/>
              </w:rPr>
            </w:pPr>
            <w:r>
              <w:rPr>
                <w:rFonts w:hint="default"/>
                <w:color w:val="auto"/>
                <w:lang w:val="en-US" w:eastAsia="zh-CN"/>
              </w:rPr>
              <w:t>117.40402222,30.60611474</w:t>
            </w:r>
          </w:p>
        </w:tc>
        <w:tc>
          <w:tcPr>
            <w:tcW w:w="1228" w:type="pct"/>
            <w:vMerge w:val="restart"/>
            <w:tcBorders>
              <w:tl2br w:val="nil"/>
              <w:tr2bl w:val="nil"/>
            </w:tcBorders>
            <w:vAlign w:val="center"/>
          </w:tcPr>
          <w:p w14:paraId="6BE89575">
            <w:pPr>
              <w:pStyle w:val="31"/>
              <w:bidi w:val="0"/>
              <w:rPr>
                <w:rFonts w:hint="default"/>
                <w:color w:val="auto"/>
                <w:lang w:val="en-US" w:eastAsia="zh-CN"/>
              </w:rPr>
            </w:pPr>
            <w:r>
              <w:rPr>
                <w:rFonts w:hint="eastAsia"/>
                <w:color w:val="auto"/>
                <w:lang w:val="en-US" w:eastAsia="zh-CN"/>
              </w:rPr>
              <w:t>水质及水位</w:t>
            </w:r>
          </w:p>
        </w:tc>
      </w:tr>
      <w:tr w14:paraId="49E9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043AE4B6">
            <w:pPr>
              <w:pStyle w:val="31"/>
              <w:bidi w:val="0"/>
              <w:rPr>
                <w:rFonts w:hint="default"/>
                <w:color w:val="auto"/>
                <w:lang w:val="en-US" w:eastAsia="zh-CN"/>
              </w:rPr>
            </w:pPr>
            <w:r>
              <w:rPr>
                <w:rFonts w:hint="eastAsia"/>
                <w:color w:val="auto"/>
                <w:lang w:val="en-US" w:eastAsia="zh-CN"/>
              </w:rPr>
              <w:t>2</w:t>
            </w:r>
          </w:p>
        </w:tc>
        <w:tc>
          <w:tcPr>
            <w:tcW w:w="1027" w:type="pct"/>
            <w:tcBorders>
              <w:tl2br w:val="nil"/>
              <w:tr2bl w:val="nil"/>
            </w:tcBorders>
            <w:vAlign w:val="center"/>
          </w:tcPr>
          <w:p w14:paraId="656D893B">
            <w:pPr>
              <w:pStyle w:val="31"/>
              <w:bidi w:val="0"/>
              <w:rPr>
                <w:rFonts w:hint="default"/>
                <w:color w:val="auto"/>
                <w:lang w:val="en-US" w:eastAsia="zh-CN"/>
              </w:rPr>
            </w:pPr>
            <w:r>
              <w:rPr>
                <w:rFonts w:hint="eastAsia"/>
                <w:color w:val="auto"/>
                <w:lang w:val="en-US" w:eastAsia="zh-CN"/>
              </w:rPr>
              <w:t>D2</w:t>
            </w:r>
          </w:p>
        </w:tc>
        <w:tc>
          <w:tcPr>
            <w:tcW w:w="1949" w:type="pct"/>
            <w:tcBorders>
              <w:tl2br w:val="nil"/>
              <w:tr2bl w:val="nil"/>
            </w:tcBorders>
            <w:vAlign w:val="center"/>
          </w:tcPr>
          <w:p w14:paraId="2A6630E0">
            <w:pPr>
              <w:pStyle w:val="31"/>
              <w:bidi w:val="0"/>
              <w:rPr>
                <w:rFonts w:hint="default"/>
                <w:color w:val="auto"/>
                <w:lang w:val="en-US" w:eastAsia="zh-CN"/>
              </w:rPr>
            </w:pPr>
            <w:r>
              <w:rPr>
                <w:rFonts w:hint="default"/>
                <w:color w:val="auto"/>
                <w:lang w:val="en-US" w:eastAsia="zh-CN"/>
              </w:rPr>
              <w:t>117.39509583, 30.59367551</w:t>
            </w:r>
          </w:p>
        </w:tc>
        <w:tc>
          <w:tcPr>
            <w:tcW w:w="1228" w:type="pct"/>
            <w:vMerge w:val="continue"/>
            <w:tcBorders>
              <w:tl2br w:val="nil"/>
              <w:tr2bl w:val="nil"/>
            </w:tcBorders>
            <w:vAlign w:val="center"/>
          </w:tcPr>
          <w:p w14:paraId="4A8321EA">
            <w:pPr>
              <w:pStyle w:val="31"/>
              <w:bidi w:val="0"/>
              <w:rPr>
                <w:rFonts w:hint="eastAsia"/>
                <w:color w:val="auto"/>
                <w:lang w:val="en-US" w:eastAsia="zh-CN"/>
              </w:rPr>
            </w:pPr>
          </w:p>
        </w:tc>
      </w:tr>
      <w:tr w14:paraId="05A93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36A10216">
            <w:pPr>
              <w:pStyle w:val="31"/>
              <w:bidi w:val="0"/>
              <w:rPr>
                <w:rFonts w:hint="default"/>
                <w:color w:val="auto"/>
                <w:lang w:val="en-US" w:eastAsia="zh-CN"/>
              </w:rPr>
            </w:pPr>
            <w:r>
              <w:rPr>
                <w:rFonts w:hint="eastAsia"/>
                <w:color w:val="auto"/>
                <w:lang w:val="en-US" w:eastAsia="zh-CN"/>
              </w:rPr>
              <w:t>3</w:t>
            </w:r>
          </w:p>
        </w:tc>
        <w:tc>
          <w:tcPr>
            <w:tcW w:w="1027" w:type="pct"/>
            <w:tcBorders>
              <w:tl2br w:val="nil"/>
              <w:tr2bl w:val="nil"/>
            </w:tcBorders>
            <w:vAlign w:val="center"/>
          </w:tcPr>
          <w:p w14:paraId="490CAF24">
            <w:pPr>
              <w:pStyle w:val="31"/>
              <w:bidi w:val="0"/>
              <w:rPr>
                <w:rFonts w:hint="default"/>
                <w:color w:val="auto"/>
                <w:lang w:val="en-US" w:eastAsia="zh-CN"/>
              </w:rPr>
            </w:pPr>
            <w:r>
              <w:rPr>
                <w:rFonts w:hint="eastAsia"/>
                <w:color w:val="auto"/>
                <w:lang w:val="en-US" w:eastAsia="zh-CN"/>
              </w:rPr>
              <w:t>D3</w:t>
            </w:r>
          </w:p>
        </w:tc>
        <w:tc>
          <w:tcPr>
            <w:tcW w:w="1949" w:type="pct"/>
            <w:tcBorders>
              <w:tl2br w:val="nil"/>
              <w:tr2bl w:val="nil"/>
            </w:tcBorders>
            <w:vAlign w:val="center"/>
          </w:tcPr>
          <w:p w14:paraId="33EEDBFC">
            <w:pPr>
              <w:pStyle w:val="31"/>
              <w:bidi w:val="0"/>
              <w:rPr>
                <w:rFonts w:hint="default"/>
                <w:color w:val="auto"/>
                <w:lang w:val="en-US" w:eastAsia="zh-CN"/>
              </w:rPr>
            </w:pPr>
            <w:r>
              <w:rPr>
                <w:rFonts w:hint="default"/>
                <w:color w:val="auto"/>
                <w:lang w:val="en-US" w:eastAsia="zh-CN"/>
              </w:rPr>
              <w:t>117.38311172, 30.58191818</w:t>
            </w:r>
          </w:p>
        </w:tc>
        <w:tc>
          <w:tcPr>
            <w:tcW w:w="1228" w:type="pct"/>
            <w:vMerge w:val="continue"/>
            <w:tcBorders>
              <w:tl2br w:val="nil"/>
              <w:tr2bl w:val="nil"/>
            </w:tcBorders>
            <w:vAlign w:val="center"/>
          </w:tcPr>
          <w:p w14:paraId="13B6551E">
            <w:pPr>
              <w:pStyle w:val="31"/>
              <w:bidi w:val="0"/>
              <w:rPr>
                <w:rFonts w:hint="eastAsia"/>
                <w:color w:val="auto"/>
                <w:lang w:val="en-US" w:eastAsia="zh-CN"/>
              </w:rPr>
            </w:pPr>
          </w:p>
        </w:tc>
      </w:tr>
      <w:tr w14:paraId="57F8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6D6F760B">
            <w:pPr>
              <w:pStyle w:val="31"/>
              <w:bidi w:val="0"/>
              <w:rPr>
                <w:rFonts w:hint="default"/>
                <w:color w:val="auto"/>
                <w:lang w:val="en-US" w:eastAsia="zh-CN"/>
              </w:rPr>
            </w:pPr>
            <w:r>
              <w:rPr>
                <w:rFonts w:hint="eastAsia"/>
                <w:color w:val="auto"/>
                <w:lang w:val="en-US" w:eastAsia="zh-CN"/>
              </w:rPr>
              <w:t>4</w:t>
            </w:r>
          </w:p>
        </w:tc>
        <w:tc>
          <w:tcPr>
            <w:tcW w:w="1027" w:type="pct"/>
            <w:tcBorders>
              <w:tl2br w:val="nil"/>
              <w:tr2bl w:val="nil"/>
            </w:tcBorders>
            <w:vAlign w:val="center"/>
          </w:tcPr>
          <w:p w14:paraId="3008E3AB">
            <w:pPr>
              <w:pStyle w:val="31"/>
              <w:bidi w:val="0"/>
              <w:rPr>
                <w:rFonts w:hint="default"/>
                <w:color w:val="auto"/>
                <w:lang w:val="en-US" w:eastAsia="zh-CN"/>
              </w:rPr>
            </w:pPr>
            <w:r>
              <w:rPr>
                <w:rFonts w:hint="eastAsia"/>
                <w:color w:val="auto"/>
                <w:lang w:val="en-US" w:eastAsia="zh-CN"/>
              </w:rPr>
              <w:t>D8</w:t>
            </w:r>
          </w:p>
        </w:tc>
        <w:tc>
          <w:tcPr>
            <w:tcW w:w="1949" w:type="pct"/>
            <w:tcBorders>
              <w:tl2br w:val="nil"/>
              <w:tr2bl w:val="nil"/>
            </w:tcBorders>
            <w:vAlign w:val="center"/>
          </w:tcPr>
          <w:p w14:paraId="1AF067FF">
            <w:pPr>
              <w:pStyle w:val="31"/>
              <w:bidi w:val="0"/>
              <w:rPr>
                <w:rFonts w:hint="eastAsia"/>
                <w:color w:val="auto"/>
                <w:lang w:val="en-US" w:eastAsia="zh-CN"/>
              </w:rPr>
            </w:pPr>
            <w:r>
              <w:rPr>
                <w:rFonts w:hint="eastAsia"/>
                <w:color w:val="auto"/>
                <w:lang w:val="en-US" w:eastAsia="zh-CN"/>
              </w:rPr>
              <w:t>117.41203666, 30.57639460</w:t>
            </w:r>
          </w:p>
        </w:tc>
        <w:tc>
          <w:tcPr>
            <w:tcW w:w="1228" w:type="pct"/>
            <w:vMerge w:val="continue"/>
            <w:tcBorders>
              <w:tl2br w:val="nil"/>
              <w:tr2bl w:val="nil"/>
            </w:tcBorders>
            <w:vAlign w:val="center"/>
          </w:tcPr>
          <w:p w14:paraId="38CD6AD1">
            <w:pPr>
              <w:pStyle w:val="31"/>
              <w:bidi w:val="0"/>
              <w:rPr>
                <w:rFonts w:hint="eastAsia"/>
                <w:color w:val="auto"/>
                <w:lang w:val="en-US" w:eastAsia="zh-CN"/>
              </w:rPr>
            </w:pPr>
          </w:p>
        </w:tc>
      </w:tr>
      <w:tr w14:paraId="450C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3DA539DA">
            <w:pPr>
              <w:pStyle w:val="31"/>
              <w:bidi w:val="0"/>
              <w:rPr>
                <w:rFonts w:hint="default"/>
                <w:color w:val="auto"/>
                <w:lang w:val="en-US" w:eastAsia="zh-CN"/>
              </w:rPr>
            </w:pPr>
            <w:r>
              <w:rPr>
                <w:rFonts w:hint="eastAsia"/>
                <w:color w:val="auto"/>
                <w:lang w:val="en-US" w:eastAsia="zh-CN"/>
              </w:rPr>
              <w:t>5</w:t>
            </w:r>
          </w:p>
        </w:tc>
        <w:tc>
          <w:tcPr>
            <w:tcW w:w="1027" w:type="pct"/>
            <w:tcBorders>
              <w:tl2br w:val="nil"/>
              <w:tr2bl w:val="nil"/>
            </w:tcBorders>
            <w:vAlign w:val="center"/>
          </w:tcPr>
          <w:p w14:paraId="7D32B395">
            <w:pPr>
              <w:pStyle w:val="31"/>
              <w:bidi w:val="0"/>
              <w:rPr>
                <w:rFonts w:hint="default"/>
                <w:color w:val="auto"/>
                <w:lang w:val="en-US" w:eastAsia="zh-CN"/>
              </w:rPr>
            </w:pPr>
            <w:r>
              <w:rPr>
                <w:rFonts w:hint="eastAsia"/>
                <w:color w:val="auto"/>
                <w:lang w:val="en-US" w:eastAsia="zh-CN"/>
              </w:rPr>
              <w:t>D9</w:t>
            </w:r>
          </w:p>
        </w:tc>
        <w:tc>
          <w:tcPr>
            <w:tcW w:w="1949" w:type="pct"/>
            <w:tcBorders>
              <w:tl2br w:val="nil"/>
              <w:tr2bl w:val="nil"/>
            </w:tcBorders>
            <w:vAlign w:val="center"/>
          </w:tcPr>
          <w:p w14:paraId="5E45BCE6">
            <w:pPr>
              <w:pStyle w:val="31"/>
              <w:bidi w:val="0"/>
              <w:rPr>
                <w:rFonts w:hint="eastAsia"/>
                <w:color w:val="auto"/>
                <w:lang w:val="en-US" w:eastAsia="zh-CN"/>
              </w:rPr>
            </w:pPr>
            <w:r>
              <w:rPr>
                <w:rFonts w:hint="eastAsia"/>
                <w:color w:val="auto"/>
                <w:lang w:val="en-US" w:eastAsia="zh-CN"/>
              </w:rPr>
              <w:t>117.41152167, 30.57390520</w:t>
            </w:r>
          </w:p>
        </w:tc>
        <w:tc>
          <w:tcPr>
            <w:tcW w:w="1228" w:type="pct"/>
            <w:vMerge w:val="continue"/>
            <w:tcBorders>
              <w:tl2br w:val="nil"/>
              <w:tr2bl w:val="nil"/>
            </w:tcBorders>
            <w:vAlign w:val="center"/>
          </w:tcPr>
          <w:p w14:paraId="307A453A">
            <w:pPr>
              <w:pStyle w:val="31"/>
              <w:bidi w:val="0"/>
              <w:rPr>
                <w:rFonts w:hint="eastAsia"/>
                <w:color w:val="auto"/>
                <w:lang w:val="en-US" w:eastAsia="zh-CN"/>
              </w:rPr>
            </w:pPr>
          </w:p>
        </w:tc>
      </w:tr>
      <w:tr w14:paraId="47E0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1C3213A8">
            <w:pPr>
              <w:pStyle w:val="31"/>
              <w:bidi w:val="0"/>
              <w:rPr>
                <w:rFonts w:hint="default"/>
                <w:color w:val="auto"/>
                <w:lang w:val="en-US" w:eastAsia="zh-CN"/>
              </w:rPr>
            </w:pPr>
            <w:r>
              <w:rPr>
                <w:rFonts w:hint="eastAsia"/>
                <w:color w:val="auto"/>
                <w:lang w:val="en-US" w:eastAsia="zh-CN"/>
              </w:rPr>
              <w:t>6</w:t>
            </w:r>
          </w:p>
        </w:tc>
        <w:tc>
          <w:tcPr>
            <w:tcW w:w="1027" w:type="pct"/>
            <w:tcBorders>
              <w:tl2br w:val="nil"/>
              <w:tr2bl w:val="nil"/>
            </w:tcBorders>
            <w:vAlign w:val="center"/>
          </w:tcPr>
          <w:p w14:paraId="7C53C8D7">
            <w:pPr>
              <w:pStyle w:val="31"/>
              <w:bidi w:val="0"/>
              <w:rPr>
                <w:rFonts w:hint="default"/>
                <w:color w:val="auto"/>
                <w:lang w:val="en-US" w:eastAsia="zh-CN"/>
              </w:rPr>
            </w:pPr>
            <w:r>
              <w:rPr>
                <w:rFonts w:hint="eastAsia"/>
                <w:color w:val="auto"/>
                <w:lang w:val="en-US" w:eastAsia="zh-CN"/>
              </w:rPr>
              <w:t>D12</w:t>
            </w:r>
          </w:p>
        </w:tc>
        <w:tc>
          <w:tcPr>
            <w:tcW w:w="1949" w:type="pct"/>
            <w:tcBorders>
              <w:tl2br w:val="nil"/>
              <w:tr2bl w:val="nil"/>
            </w:tcBorders>
            <w:vAlign w:val="center"/>
          </w:tcPr>
          <w:p w14:paraId="500EA9C8">
            <w:pPr>
              <w:pStyle w:val="31"/>
              <w:bidi w:val="0"/>
              <w:rPr>
                <w:rFonts w:hint="eastAsia"/>
                <w:color w:val="auto"/>
                <w:lang w:val="en-US" w:eastAsia="zh-CN"/>
              </w:rPr>
            </w:pPr>
            <w:r>
              <w:rPr>
                <w:rFonts w:hint="eastAsia"/>
                <w:color w:val="auto"/>
                <w:lang w:val="en-US" w:eastAsia="zh-CN"/>
              </w:rPr>
              <w:t>117.42935300, 30.56447813</w:t>
            </w:r>
          </w:p>
        </w:tc>
        <w:tc>
          <w:tcPr>
            <w:tcW w:w="1228" w:type="pct"/>
            <w:vMerge w:val="continue"/>
            <w:tcBorders>
              <w:tl2br w:val="nil"/>
              <w:tr2bl w:val="nil"/>
            </w:tcBorders>
            <w:vAlign w:val="center"/>
          </w:tcPr>
          <w:p w14:paraId="162E6D4C">
            <w:pPr>
              <w:pStyle w:val="31"/>
              <w:bidi w:val="0"/>
              <w:rPr>
                <w:rFonts w:hint="eastAsia"/>
                <w:color w:val="auto"/>
                <w:lang w:val="en-US" w:eastAsia="zh-CN"/>
              </w:rPr>
            </w:pPr>
          </w:p>
        </w:tc>
      </w:tr>
      <w:tr w14:paraId="285A4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521A19A8">
            <w:pPr>
              <w:pStyle w:val="31"/>
              <w:bidi w:val="0"/>
              <w:rPr>
                <w:rFonts w:hint="default"/>
                <w:color w:val="auto"/>
                <w:lang w:val="en-US" w:eastAsia="zh-CN"/>
              </w:rPr>
            </w:pPr>
            <w:r>
              <w:rPr>
                <w:rFonts w:hint="eastAsia"/>
                <w:color w:val="auto"/>
                <w:lang w:val="en-US" w:eastAsia="zh-CN"/>
              </w:rPr>
              <w:t>7</w:t>
            </w:r>
          </w:p>
        </w:tc>
        <w:tc>
          <w:tcPr>
            <w:tcW w:w="1027" w:type="pct"/>
            <w:tcBorders>
              <w:tl2br w:val="nil"/>
              <w:tr2bl w:val="nil"/>
            </w:tcBorders>
            <w:vAlign w:val="center"/>
          </w:tcPr>
          <w:p w14:paraId="545488C5">
            <w:pPr>
              <w:pStyle w:val="31"/>
              <w:bidi w:val="0"/>
              <w:rPr>
                <w:rFonts w:hint="eastAsia"/>
                <w:color w:val="auto"/>
                <w:lang w:val="en-US" w:eastAsia="zh-CN"/>
              </w:rPr>
            </w:pPr>
            <w:r>
              <w:rPr>
                <w:rFonts w:hint="default"/>
                <w:color w:val="auto"/>
                <w:lang w:val="en-US" w:eastAsia="zh-CN"/>
              </w:rPr>
              <w:t>D15</w:t>
            </w:r>
          </w:p>
        </w:tc>
        <w:tc>
          <w:tcPr>
            <w:tcW w:w="1949" w:type="pct"/>
            <w:tcBorders>
              <w:tl2br w:val="nil"/>
              <w:tr2bl w:val="nil"/>
            </w:tcBorders>
            <w:vAlign w:val="center"/>
          </w:tcPr>
          <w:p w14:paraId="234796ED">
            <w:pPr>
              <w:pStyle w:val="31"/>
              <w:bidi w:val="0"/>
              <w:rPr>
                <w:rFonts w:hint="eastAsia"/>
                <w:color w:val="auto"/>
                <w:lang w:val="en-US" w:eastAsia="zh-CN"/>
              </w:rPr>
            </w:pPr>
            <w:r>
              <w:rPr>
                <w:rFonts w:hint="eastAsia"/>
                <w:color w:val="auto"/>
                <w:lang w:val="en-US" w:eastAsia="zh-CN"/>
              </w:rPr>
              <w:t>117.41772294, 30.53452344</w:t>
            </w:r>
          </w:p>
        </w:tc>
        <w:tc>
          <w:tcPr>
            <w:tcW w:w="1228" w:type="pct"/>
            <w:vMerge w:val="continue"/>
            <w:tcBorders>
              <w:tl2br w:val="nil"/>
              <w:tr2bl w:val="nil"/>
            </w:tcBorders>
            <w:vAlign w:val="center"/>
          </w:tcPr>
          <w:p w14:paraId="129C4BAC">
            <w:pPr>
              <w:pStyle w:val="31"/>
              <w:bidi w:val="0"/>
              <w:rPr>
                <w:rFonts w:hint="eastAsia"/>
                <w:color w:val="auto"/>
                <w:lang w:val="en-US" w:eastAsia="zh-CN"/>
              </w:rPr>
            </w:pPr>
          </w:p>
        </w:tc>
      </w:tr>
      <w:tr w14:paraId="6354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3A69F289">
            <w:pPr>
              <w:pStyle w:val="31"/>
              <w:bidi w:val="0"/>
              <w:rPr>
                <w:rFonts w:hint="default"/>
                <w:color w:val="auto"/>
                <w:lang w:val="en-US" w:eastAsia="zh-CN"/>
              </w:rPr>
            </w:pPr>
            <w:r>
              <w:rPr>
                <w:rFonts w:hint="eastAsia"/>
                <w:color w:val="auto"/>
                <w:lang w:val="en-US" w:eastAsia="zh-CN"/>
              </w:rPr>
              <w:t>8</w:t>
            </w:r>
          </w:p>
        </w:tc>
        <w:tc>
          <w:tcPr>
            <w:tcW w:w="1027" w:type="pct"/>
            <w:tcBorders>
              <w:tl2br w:val="nil"/>
              <w:tr2bl w:val="nil"/>
            </w:tcBorders>
            <w:vAlign w:val="center"/>
          </w:tcPr>
          <w:p w14:paraId="64E3D43E">
            <w:pPr>
              <w:pStyle w:val="31"/>
              <w:bidi w:val="0"/>
              <w:rPr>
                <w:rFonts w:hint="eastAsia"/>
                <w:color w:val="auto"/>
                <w:lang w:val="en-US" w:eastAsia="zh-CN"/>
              </w:rPr>
            </w:pPr>
            <w:r>
              <w:rPr>
                <w:rFonts w:hint="default"/>
                <w:color w:val="auto"/>
                <w:lang w:val="en-US" w:eastAsia="zh-CN"/>
              </w:rPr>
              <w:t>D18</w:t>
            </w:r>
          </w:p>
        </w:tc>
        <w:tc>
          <w:tcPr>
            <w:tcW w:w="1949" w:type="pct"/>
            <w:tcBorders>
              <w:tl2br w:val="nil"/>
              <w:tr2bl w:val="nil"/>
            </w:tcBorders>
            <w:vAlign w:val="center"/>
          </w:tcPr>
          <w:p w14:paraId="3870BD60">
            <w:pPr>
              <w:pStyle w:val="31"/>
              <w:bidi w:val="0"/>
              <w:rPr>
                <w:rFonts w:hint="eastAsia"/>
                <w:color w:val="auto"/>
                <w:lang w:val="en-US" w:eastAsia="zh-CN"/>
              </w:rPr>
            </w:pPr>
            <w:r>
              <w:rPr>
                <w:rFonts w:hint="eastAsia"/>
                <w:color w:val="auto"/>
                <w:lang w:val="en-US" w:eastAsia="zh-CN"/>
              </w:rPr>
              <w:t>117.42379546, 30.53812737</w:t>
            </w:r>
          </w:p>
        </w:tc>
        <w:tc>
          <w:tcPr>
            <w:tcW w:w="1228" w:type="pct"/>
            <w:vMerge w:val="continue"/>
            <w:tcBorders>
              <w:tl2br w:val="nil"/>
              <w:tr2bl w:val="nil"/>
            </w:tcBorders>
            <w:vAlign w:val="center"/>
          </w:tcPr>
          <w:p w14:paraId="531AFB5F">
            <w:pPr>
              <w:pStyle w:val="31"/>
              <w:bidi w:val="0"/>
              <w:rPr>
                <w:rFonts w:hint="eastAsia"/>
                <w:color w:val="auto"/>
                <w:lang w:val="en-US" w:eastAsia="zh-CN"/>
              </w:rPr>
            </w:pPr>
          </w:p>
        </w:tc>
      </w:tr>
      <w:tr w14:paraId="2B11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7034AAF4">
            <w:pPr>
              <w:pStyle w:val="31"/>
              <w:bidi w:val="0"/>
              <w:rPr>
                <w:rFonts w:hint="default"/>
                <w:color w:val="auto"/>
                <w:lang w:val="en-US" w:eastAsia="zh-CN"/>
              </w:rPr>
            </w:pPr>
            <w:r>
              <w:rPr>
                <w:rFonts w:hint="eastAsia"/>
                <w:color w:val="auto"/>
                <w:lang w:val="en-US" w:eastAsia="zh-CN"/>
              </w:rPr>
              <w:t>9</w:t>
            </w:r>
          </w:p>
        </w:tc>
        <w:tc>
          <w:tcPr>
            <w:tcW w:w="1027" w:type="pct"/>
            <w:tcBorders>
              <w:tl2br w:val="nil"/>
              <w:tr2bl w:val="nil"/>
            </w:tcBorders>
            <w:vAlign w:val="center"/>
          </w:tcPr>
          <w:p w14:paraId="52CFCA26">
            <w:pPr>
              <w:pStyle w:val="31"/>
              <w:bidi w:val="0"/>
              <w:rPr>
                <w:rFonts w:hint="default"/>
                <w:color w:val="auto"/>
                <w:lang w:val="en-US" w:eastAsia="zh-CN"/>
              </w:rPr>
            </w:pPr>
            <w:r>
              <w:rPr>
                <w:rFonts w:hint="eastAsia"/>
                <w:color w:val="auto"/>
                <w:lang w:val="en-US" w:eastAsia="zh-CN"/>
              </w:rPr>
              <w:t>D4</w:t>
            </w:r>
          </w:p>
        </w:tc>
        <w:tc>
          <w:tcPr>
            <w:tcW w:w="1949" w:type="pct"/>
            <w:tcBorders>
              <w:tl2br w:val="nil"/>
              <w:tr2bl w:val="nil"/>
            </w:tcBorders>
            <w:vAlign w:val="center"/>
          </w:tcPr>
          <w:p w14:paraId="7DD2B583">
            <w:pPr>
              <w:pStyle w:val="31"/>
              <w:bidi w:val="0"/>
              <w:rPr>
                <w:rFonts w:hint="eastAsia"/>
                <w:color w:val="auto"/>
                <w:lang w:val="en-US" w:eastAsia="zh-CN"/>
              </w:rPr>
            </w:pPr>
            <w:r>
              <w:rPr>
                <w:rFonts w:hint="eastAsia"/>
                <w:color w:val="auto"/>
                <w:lang w:val="en-US" w:eastAsia="zh-CN"/>
              </w:rPr>
              <w:t>117.39999890, 30.59156982</w:t>
            </w:r>
          </w:p>
        </w:tc>
        <w:tc>
          <w:tcPr>
            <w:tcW w:w="1228" w:type="pct"/>
            <w:vMerge w:val="restart"/>
            <w:tcBorders>
              <w:tl2br w:val="nil"/>
              <w:tr2bl w:val="nil"/>
            </w:tcBorders>
            <w:vAlign w:val="center"/>
          </w:tcPr>
          <w:p w14:paraId="175A1442">
            <w:pPr>
              <w:pStyle w:val="31"/>
              <w:bidi w:val="0"/>
              <w:rPr>
                <w:rFonts w:hint="default"/>
                <w:color w:val="auto"/>
                <w:lang w:val="en-US" w:eastAsia="zh-CN"/>
              </w:rPr>
            </w:pPr>
            <w:r>
              <w:rPr>
                <w:rFonts w:hint="eastAsia"/>
                <w:color w:val="auto"/>
                <w:lang w:val="en-US" w:eastAsia="zh-CN"/>
              </w:rPr>
              <w:t>水位</w:t>
            </w:r>
          </w:p>
        </w:tc>
      </w:tr>
      <w:tr w14:paraId="469D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5CA96522">
            <w:pPr>
              <w:pStyle w:val="31"/>
              <w:bidi w:val="0"/>
              <w:rPr>
                <w:rFonts w:hint="default"/>
                <w:color w:val="auto"/>
                <w:lang w:val="en-US" w:eastAsia="zh-CN"/>
              </w:rPr>
            </w:pPr>
            <w:r>
              <w:rPr>
                <w:rFonts w:hint="eastAsia"/>
                <w:color w:val="auto"/>
                <w:lang w:val="en-US" w:eastAsia="zh-CN"/>
              </w:rPr>
              <w:t>10</w:t>
            </w:r>
          </w:p>
        </w:tc>
        <w:tc>
          <w:tcPr>
            <w:tcW w:w="1027" w:type="pct"/>
            <w:tcBorders>
              <w:tl2br w:val="nil"/>
              <w:tr2bl w:val="nil"/>
            </w:tcBorders>
            <w:vAlign w:val="center"/>
          </w:tcPr>
          <w:p w14:paraId="44FF8E32">
            <w:pPr>
              <w:pStyle w:val="31"/>
              <w:bidi w:val="0"/>
              <w:rPr>
                <w:rFonts w:hint="default"/>
                <w:color w:val="auto"/>
                <w:lang w:val="en-US" w:eastAsia="zh-CN"/>
              </w:rPr>
            </w:pPr>
            <w:r>
              <w:rPr>
                <w:rFonts w:hint="eastAsia"/>
                <w:color w:val="auto"/>
                <w:lang w:val="en-US" w:eastAsia="zh-CN"/>
              </w:rPr>
              <w:t>D5</w:t>
            </w:r>
          </w:p>
        </w:tc>
        <w:tc>
          <w:tcPr>
            <w:tcW w:w="1949" w:type="pct"/>
            <w:tcBorders>
              <w:tl2br w:val="nil"/>
              <w:tr2bl w:val="nil"/>
            </w:tcBorders>
            <w:vAlign w:val="center"/>
          </w:tcPr>
          <w:p w14:paraId="6851B867">
            <w:pPr>
              <w:pStyle w:val="31"/>
              <w:bidi w:val="0"/>
              <w:rPr>
                <w:rFonts w:hint="eastAsia"/>
                <w:color w:val="auto"/>
                <w:lang w:val="en-US" w:eastAsia="zh-CN"/>
              </w:rPr>
            </w:pPr>
            <w:r>
              <w:rPr>
                <w:rFonts w:hint="eastAsia"/>
                <w:color w:val="auto"/>
                <w:lang w:val="en-US" w:eastAsia="zh-CN"/>
              </w:rPr>
              <w:t>117.40318537, 30.59898570</w:t>
            </w:r>
          </w:p>
        </w:tc>
        <w:tc>
          <w:tcPr>
            <w:tcW w:w="1228" w:type="pct"/>
            <w:vMerge w:val="continue"/>
            <w:tcBorders>
              <w:tl2br w:val="nil"/>
              <w:tr2bl w:val="nil"/>
            </w:tcBorders>
            <w:vAlign w:val="center"/>
          </w:tcPr>
          <w:p w14:paraId="77BC58C9">
            <w:pPr>
              <w:pStyle w:val="31"/>
              <w:bidi w:val="0"/>
              <w:rPr>
                <w:rFonts w:hint="eastAsia"/>
                <w:color w:val="auto"/>
                <w:lang w:val="en-US" w:eastAsia="zh-CN"/>
              </w:rPr>
            </w:pPr>
          </w:p>
        </w:tc>
      </w:tr>
      <w:tr w14:paraId="6B6A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44C2BFE0">
            <w:pPr>
              <w:pStyle w:val="31"/>
              <w:bidi w:val="0"/>
              <w:rPr>
                <w:rFonts w:hint="default"/>
                <w:color w:val="auto"/>
                <w:lang w:val="en-US" w:eastAsia="zh-CN"/>
              </w:rPr>
            </w:pPr>
            <w:r>
              <w:rPr>
                <w:rFonts w:hint="eastAsia"/>
                <w:color w:val="auto"/>
                <w:lang w:val="en-US" w:eastAsia="zh-CN"/>
              </w:rPr>
              <w:t>11</w:t>
            </w:r>
          </w:p>
        </w:tc>
        <w:tc>
          <w:tcPr>
            <w:tcW w:w="1027" w:type="pct"/>
            <w:tcBorders>
              <w:tl2br w:val="nil"/>
              <w:tr2bl w:val="nil"/>
            </w:tcBorders>
            <w:vAlign w:val="center"/>
          </w:tcPr>
          <w:p w14:paraId="720C36FC">
            <w:pPr>
              <w:pStyle w:val="31"/>
              <w:bidi w:val="0"/>
              <w:rPr>
                <w:rFonts w:hint="default"/>
                <w:color w:val="auto"/>
                <w:lang w:val="en-US" w:eastAsia="zh-CN"/>
              </w:rPr>
            </w:pPr>
            <w:r>
              <w:rPr>
                <w:rFonts w:hint="eastAsia"/>
                <w:color w:val="auto"/>
                <w:lang w:val="en-US" w:eastAsia="zh-CN"/>
              </w:rPr>
              <w:t>D6</w:t>
            </w:r>
          </w:p>
        </w:tc>
        <w:tc>
          <w:tcPr>
            <w:tcW w:w="1949" w:type="pct"/>
            <w:tcBorders>
              <w:tl2br w:val="nil"/>
              <w:tr2bl w:val="nil"/>
            </w:tcBorders>
            <w:vAlign w:val="center"/>
          </w:tcPr>
          <w:p w14:paraId="731C4CA5">
            <w:pPr>
              <w:pStyle w:val="31"/>
              <w:bidi w:val="0"/>
              <w:rPr>
                <w:rFonts w:hint="eastAsia"/>
                <w:color w:val="auto"/>
                <w:lang w:val="en-US" w:eastAsia="zh-CN"/>
              </w:rPr>
            </w:pPr>
            <w:r>
              <w:rPr>
                <w:rFonts w:hint="eastAsia"/>
                <w:color w:val="auto"/>
                <w:lang w:val="en-US" w:eastAsia="zh-CN"/>
              </w:rPr>
              <w:t>117.38353014, 30.59464522</w:t>
            </w:r>
          </w:p>
        </w:tc>
        <w:tc>
          <w:tcPr>
            <w:tcW w:w="1228" w:type="pct"/>
            <w:vMerge w:val="continue"/>
            <w:tcBorders>
              <w:tl2br w:val="nil"/>
              <w:tr2bl w:val="nil"/>
            </w:tcBorders>
            <w:vAlign w:val="center"/>
          </w:tcPr>
          <w:p w14:paraId="561BD4C0">
            <w:pPr>
              <w:pStyle w:val="31"/>
              <w:bidi w:val="0"/>
              <w:rPr>
                <w:rFonts w:hint="eastAsia"/>
                <w:color w:val="auto"/>
                <w:lang w:val="en-US" w:eastAsia="zh-CN"/>
              </w:rPr>
            </w:pPr>
          </w:p>
        </w:tc>
      </w:tr>
      <w:tr w14:paraId="4867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7A10A222">
            <w:pPr>
              <w:pStyle w:val="31"/>
              <w:bidi w:val="0"/>
              <w:rPr>
                <w:rFonts w:hint="default"/>
                <w:color w:val="auto"/>
                <w:lang w:val="en-US" w:eastAsia="zh-CN"/>
              </w:rPr>
            </w:pPr>
            <w:r>
              <w:rPr>
                <w:rFonts w:hint="eastAsia"/>
                <w:color w:val="auto"/>
                <w:lang w:val="en-US" w:eastAsia="zh-CN"/>
              </w:rPr>
              <w:t>12</w:t>
            </w:r>
          </w:p>
        </w:tc>
        <w:tc>
          <w:tcPr>
            <w:tcW w:w="1027" w:type="pct"/>
            <w:tcBorders>
              <w:tl2br w:val="nil"/>
              <w:tr2bl w:val="nil"/>
            </w:tcBorders>
            <w:vAlign w:val="center"/>
          </w:tcPr>
          <w:p w14:paraId="662033B4">
            <w:pPr>
              <w:pStyle w:val="31"/>
              <w:bidi w:val="0"/>
              <w:rPr>
                <w:rFonts w:hint="eastAsia"/>
                <w:color w:val="auto"/>
                <w:lang w:val="en-US" w:eastAsia="zh-CN"/>
              </w:rPr>
            </w:pPr>
            <w:r>
              <w:rPr>
                <w:rFonts w:hint="eastAsia"/>
                <w:color w:val="auto"/>
                <w:lang w:val="en-US" w:eastAsia="zh-CN"/>
              </w:rPr>
              <w:t>D7</w:t>
            </w:r>
          </w:p>
        </w:tc>
        <w:tc>
          <w:tcPr>
            <w:tcW w:w="1949" w:type="pct"/>
            <w:tcBorders>
              <w:tl2br w:val="nil"/>
              <w:tr2bl w:val="nil"/>
            </w:tcBorders>
            <w:vAlign w:val="center"/>
          </w:tcPr>
          <w:p w14:paraId="1C81E565">
            <w:pPr>
              <w:pStyle w:val="31"/>
              <w:bidi w:val="0"/>
              <w:rPr>
                <w:rFonts w:hint="eastAsia"/>
                <w:color w:val="auto"/>
                <w:lang w:val="en-US" w:eastAsia="zh-CN"/>
              </w:rPr>
            </w:pPr>
            <w:r>
              <w:rPr>
                <w:rFonts w:hint="eastAsia"/>
                <w:color w:val="auto"/>
                <w:lang w:val="en-US" w:eastAsia="zh-CN"/>
              </w:rPr>
              <w:t>117.41683245, 30.57713356</w:t>
            </w:r>
          </w:p>
        </w:tc>
        <w:tc>
          <w:tcPr>
            <w:tcW w:w="1228" w:type="pct"/>
            <w:vMerge w:val="continue"/>
            <w:tcBorders>
              <w:tl2br w:val="nil"/>
              <w:tr2bl w:val="nil"/>
            </w:tcBorders>
            <w:vAlign w:val="center"/>
          </w:tcPr>
          <w:p w14:paraId="36B31F79">
            <w:pPr>
              <w:pStyle w:val="31"/>
              <w:bidi w:val="0"/>
              <w:rPr>
                <w:rFonts w:hint="eastAsia"/>
                <w:color w:val="auto"/>
                <w:lang w:val="en-US" w:eastAsia="zh-CN"/>
              </w:rPr>
            </w:pPr>
          </w:p>
        </w:tc>
      </w:tr>
      <w:tr w14:paraId="7F08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776D828D">
            <w:pPr>
              <w:pStyle w:val="31"/>
              <w:bidi w:val="0"/>
              <w:rPr>
                <w:rFonts w:hint="default"/>
                <w:color w:val="auto"/>
                <w:lang w:val="en-US" w:eastAsia="zh-CN"/>
              </w:rPr>
            </w:pPr>
            <w:r>
              <w:rPr>
                <w:rFonts w:hint="eastAsia"/>
                <w:color w:val="auto"/>
                <w:lang w:val="en-US" w:eastAsia="zh-CN"/>
              </w:rPr>
              <w:t>13</w:t>
            </w:r>
          </w:p>
        </w:tc>
        <w:tc>
          <w:tcPr>
            <w:tcW w:w="1027" w:type="pct"/>
            <w:tcBorders>
              <w:tl2br w:val="nil"/>
              <w:tr2bl w:val="nil"/>
            </w:tcBorders>
            <w:vAlign w:val="center"/>
          </w:tcPr>
          <w:p w14:paraId="02BC0000">
            <w:pPr>
              <w:pStyle w:val="31"/>
              <w:bidi w:val="0"/>
              <w:rPr>
                <w:rFonts w:hint="default"/>
                <w:color w:val="auto"/>
                <w:lang w:val="en-US" w:eastAsia="zh-CN"/>
              </w:rPr>
            </w:pPr>
            <w:r>
              <w:rPr>
                <w:rFonts w:hint="eastAsia"/>
                <w:color w:val="auto"/>
                <w:lang w:val="en-US" w:eastAsia="zh-CN"/>
              </w:rPr>
              <w:t>D10</w:t>
            </w:r>
          </w:p>
        </w:tc>
        <w:tc>
          <w:tcPr>
            <w:tcW w:w="1949" w:type="pct"/>
            <w:tcBorders>
              <w:tl2br w:val="nil"/>
              <w:tr2bl w:val="nil"/>
            </w:tcBorders>
            <w:vAlign w:val="center"/>
          </w:tcPr>
          <w:p w14:paraId="4AA50EE5">
            <w:pPr>
              <w:pStyle w:val="31"/>
              <w:bidi w:val="0"/>
              <w:rPr>
                <w:rFonts w:hint="eastAsia"/>
                <w:color w:val="auto"/>
                <w:lang w:val="en-US" w:eastAsia="zh-CN"/>
              </w:rPr>
            </w:pPr>
            <w:r>
              <w:rPr>
                <w:rFonts w:hint="eastAsia"/>
                <w:color w:val="auto"/>
                <w:lang w:val="en-US" w:eastAsia="zh-CN"/>
              </w:rPr>
              <w:t>117.41166651, 30.57292143</w:t>
            </w:r>
          </w:p>
        </w:tc>
        <w:tc>
          <w:tcPr>
            <w:tcW w:w="1228" w:type="pct"/>
            <w:vMerge w:val="continue"/>
            <w:tcBorders>
              <w:tl2br w:val="nil"/>
              <w:tr2bl w:val="nil"/>
            </w:tcBorders>
            <w:vAlign w:val="center"/>
          </w:tcPr>
          <w:p w14:paraId="423885D9">
            <w:pPr>
              <w:pStyle w:val="31"/>
              <w:bidi w:val="0"/>
              <w:rPr>
                <w:rFonts w:hint="eastAsia"/>
                <w:color w:val="auto"/>
                <w:lang w:val="en-US" w:eastAsia="zh-CN"/>
              </w:rPr>
            </w:pPr>
          </w:p>
        </w:tc>
      </w:tr>
      <w:tr w14:paraId="4E68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30A4DDED">
            <w:pPr>
              <w:pStyle w:val="31"/>
              <w:bidi w:val="0"/>
              <w:rPr>
                <w:rFonts w:hint="default"/>
                <w:color w:val="auto"/>
                <w:lang w:val="en-US" w:eastAsia="zh-CN"/>
              </w:rPr>
            </w:pPr>
            <w:r>
              <w:rPr>
                <w:rFonts w:hint="eastAsia"/>
                <w:color w:val="auto"/>
                <w:lang w:val="en-US" w:eastAsia="zh-CN"/>
              </w:rPr>
              <w:t>14</w:t>
            </w:r>
          </w:p>
        </w:tc>
        <w:tc>
          <w:tcPr>
            <w:tcW w:w="1027" w:type="pct"/>
            <w:tcBorders>
              <w:tl2br w:val="nil"/>
              <w:tr2bl w:val="nil"/>
            </w:tcBorders>
            <w:vAlign w:val="center"/>
          </w:tcPr>
          <w:p w14:paraId="154956EF">
            <w:pPr>
              <w:pStyle w:val="31"/>
              <w:bidi w:val="0"/>
              <w:rPr>
                <w:rFonts w:hint="default"/>
                <w:color w:val="auto"/>
                <w:lang w:val="en-US" w:eastAsia="zh-CN"/>
              </w:rPr>
            </w:pPr>
            <w:r>
              <w:rPr>
                <w:rFonts w:hint="eastAsia"/>
                <w:color w:val="auto"/>
                <w:lang w:val="en-US" w:eastAsia="zh-CN"/>
              </w:rPr>
              <w:t>D11</w:t>
            </w:r>
          </w:p>
        </w:tc>
        <w:tc>
          <w:tcPr>
            <w:tcW w:w="1949" w:type="pct"/>
            <w:tcBorders>
              <w:tl2br w:val="nil"/>
              <w:tr2bl w:val="nil"/>
            </w:tcBorders>
            <w:vAlign w:val="center"/>
          </w:tcPr>
          <w:p w14:paraId="0B97F7A5">
            <w:pPr>
              <w:pStyle w:val="31"/>
              <w:bidi w:val="0"/>
              <w:rPr>
                <w:rFonts w:hint="eastAsia"/>
                <w:color w:val="auto"/>
                <w:lang w:val="en-US" w:eastAsia="zh-CN"/>
              </w:rPr>
            </w:pPr>
            <w:r>
              <w:rPr>
                <w:rFonts w:hint="eastAsia"/>
                <w:color w:val="auto"/>
                <w:lang w:val="en-US" w:eastAsia="zh-CN"/>
              </w:rPr>
              <w:t>117.42624164, 30.56128630</w:t>
            </w:r>
          </w:p>
        </w:tc>
        <w:tc>
          <w:tcPr>
            <w:tcW w:w="1228" w:type="pct"/>
            <w:vMerge w:val="continue"/>
            <w:tcBorders>
              <w:tl2br w:val="nil"/>
              <w:tr2bl w:val="nil"/>
            </w:tcBorders>
            <w:vAlign w:val="center"/>
          </w:tcPr>
          <w:p w14:paraId="5AE2F157">
            <w:pPr>
              <w:pStyle w:val="31"/>
              <w:bidi w:val="0"/>
              <w:rPr>
                <w:rFonts w:hint="eastAsia"/>
                <w:color w:val="auto"/>
                <w:lang w:val="en-US" w:eastAsia="zh-CN"/>
              </w:rPr>
            </w:pPr>
          </w:p>
        </w:tc>
      </w:tr>
      <w:tr w14:paraId="7919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64226647">
            <w:pPr>
              <w:pStyle w:val="31"/>
              <w:bidi w:val="0"/>
              <w:rPr>
                <w:rFonts w:hint="default"/>
                <w:color w:val="auto"/>
                <w:lang w:val="en-US" w:eastAsia="zh-CN"/>
              </w:rPr>
            </w:pPr>
            <w:r>
              <w:rPr>
                <w:rFonts w:hint="eastAsia"/>
                <w:color w:val="auto"/>
                <w:lang w:val="en-US" w:eastAsia="zh-CN"/>
              </w:rPr>
              <w:t>15</w:t>
            </w:r>
          </w:p>
        </w:tc>
        <w:tc>
          <w:tcPr>
            <w:tcW w:w="1027" w:type="pct"/>
            <w:tcBorders>
              <w:tl2br w:val="nil"/>
              <w:tr2bl w:val="nil"/>
            </w:tcBorders>
            <w:vAlign w:val="center"/>
          </w:tcPr>
          <w:p w14:paraId="13C75403">
            <w:pPr>
              <w:pStyle w:val="31"/>
              <w:bidi w:val="0"/>
              <w:rPr>
                <w:rFonts w:hint="default"/>
                <w:color w:val="auto"/>
                <w:lang w:val="en-US" w:eastAsia="zh-CN"/>
              </w:rPr>
            </w:pPr>
            <w:r>
              <w:rPr>
                <w:rFonts w:hint="eastAsia"/>
                <w:color w:val="auto"/>
                <w:lang w:val="en-US" w:eastAsia="zh-CN"/>
              </w:rPr>
              <w:t>D13</w:t>
            </w:r>
          </w:p>
        </w:tc>
        <w:tc>
          <w:tcPr>
            <w:tcW w:w="1949" w:type="pct"/>
            <w:tcBorders>
              <w:tl2br w:val="nil"/>
              <w:tr2bl w:val="nil"/>
            </w:tcBorders>
            <w:vAlign w:val="center"/>
          </w:tcPr>
          <w:p w14:paraId="09E3276C">
            <w:pPr>
              <w:pStyle w:val="31"/>
              <w:bidi w:val="0"/>
              <w:rPr>
                <w:rFonts w:hint="eastAsia"/>
                <w:color w:val="auto"/>
                <w:lang w:val="en-US" w:eastAsia="zh-CN"/>
              </w:rPr>
            </w:pPr>
            <w:r>
              <w:rPr>
                <w:rFonts w:hint="eastAsia"/>
                <w:color w:val="auto"/>
                <w:lang w:val="en-US" w:eastAsia="zh-CN"/>
              </w:rPr>
              <w:t>117.43352652, 30.54060383</w:t>
            </w:r>
          </w:p>
        </w:tc>
        <w:tc>
          <w:tcPr>
            <w:tcW w:w="1228" w:type="pct"/>
            <w:vMerge w:val="continue"/>
            <w:tcBorders>
              <w:tl2br w:val="nil"/>
              <w:tr2bl w:val="nil"/>
            </w:tcBorders>
            <w:vAlign w:val="center"/>
          </w:tcPr>
          <w:p w14:paraId="0A72E35B">
            <w:pPr>
              <w:pStyle w:val="31"/>
              <w:bidi w:val="0"/>
              <w:rPr>
                <w:rFonts w:hint="eastAsia"/>
                <w:color w:val="auto"/>
                <w:lang w:val="en-US" w:eastAsia="zh-CN"/>
              </w:rPr>
            </w:pPr>
          </w:p>
        </w:tc>
      </w:tr>
      <w:tr w14:paraId="15A9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71F8FC31">
            <w:pPr>
              <w:pStyle w:val="31"/>
              <w:bidi w:val="0"/>
              <w:rPr>
                <w:rFonts w:hint="default"/>
                <w:color w:val="auto"/>
                <w:lang w:val="en-US" w:eastAsia="zh-CN"/>
              </w:rPr>
            </w:pPr>
            <w:r>
              <w:rPr>
                <w:rFonts w:hint="eastAsia"/>
                <w:color w:val="auto"/>
                <w:lang w:val="en-US" w:eastAsia="zh-CN"/>
              </w:rPr>
              <w:t>16</w:t>
            </w:r>
          </w:p>
        </w:tc>
        <w:tc>
          <w:tcPr>
            <w:tcW w:w="1027" w:type="pct"/>
            <w:tcBorders>
              <w:tl2br w:val="nil"/>
              <w:tr2bl w:val="nil"/>
            </w:tcBorders>
            <w:vAlign w:val="center"/>
          </w:tcPr>
          <w:p w14:paraId="291063D4">
            <w:pPr>
              <w:pStyle w:val="31"/>
              <w:bidi w:val="0"/>
              <w:rPr>
                <w:rFonts w:hint="default"/>
                <w:color w:val="auto"/>
                <w:lang w:val="en-US" w:eastAsia="zh-CN"/>
              </w:rPr>
            </w:pPr>
            <w:r>
              <w:rPr>
                <w:rFonts w:hint="eastAsia"/>
                <w:color w:val="auto"/>
                <w:lang w:val="en-US" w:eastAsia="zh-CN"/>
              </w:rPr>
              <w:t>D14</w:t>
            </w:r>
          </w:p>
        </w:tc>
        <w:tc>
          <w:tcPr>
            <w:tcW w:w="1949" w:type="pct"/>
            <w:tcBorders>
              <w:tl2br w:val="nil"/>
              <w:tr2bl w:val="nil"/>
            </w:tcBorders>
            <w:vAlign w:val="center"/>
          </w:tcPr>
          <w:p w14:paraId="2034C27B">
            <w:pPr>
              <w:pStyle w:val="31"/>
              <w:bidi w:val="0"/>
              <w:rPr>
                <w:rFonts w:hint="eastAsia"/>
                <w:color w:val="auto"/>
                <w:lang w:val="en-US" w:eastAsia="zh-CN"/>
              </w:rPr>
            </w:pPr>
            <w:r>
              <w:rPr>
                <w:rFonts w:hint="eastAsia"/>
                <w:color w:val="auto"/>
                <w:lang w:val="en-US" w:eastAsia="zh-CN"/>
              </w:rPr>
              <w:t>117.42340922, 30.53912535</w:t>
            </w:r>
          </w:p>
        </w:tc>
        <w:tc>
          <w:tcPr>
            <w:tcW w:w="1228" w:type="pct"/>
            <w:vMerge w:val="continue"/>
            <w:tcBorders>
              <w:tl2br w:val="nil"/>
              <w:tr2bl w:val="nil"/>
            </w:tcBorders>
            <w:vAlign w:val="center"/>
          </w:tcPr>
          <w:p w14:paraId="6C0E4425">
            <w:pPr>
              <w:pStyle w:val="31"/>
              <w:bidi w:val="0"/>
              <w:rPr>
                <w:rFonts w:hint="eastAsia"/>
                <w:color w:val="auto"/>
                <w:lang w:val="en-US" w:eastAsia="zh-CN"/>
              </w:rPr>
            </w:pPr>
          </w:p>
        </w:tc>
      </w:tr>
      <w:tr w14:paraId="50EF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09015829">
            <w:pPr>
              <w:pStyle w:val="31"/>
              <w:bidi w:val="0"/>
              <w:rPr>
                <w:rFonts w:hint="default"/>
                <w:color w:val="auto"/>
                <w:lang w:val="en-US" w:eastAsia="zh-CN"/>
              </w:rPr>
            </w:pPr>
            <w:r>
              <w:rPr>
                <w:rFonts w:hint="eastAsia"/>
                <w:color w:val="auto"/>
                <w:lang w:val="en-US" w:eastAsia="zh-CN"/>
              </w:rPr>
              <w:t>17</w:t>
            </w:r>
          </w:p>
        </w:tc>
        <w:tc>
          <w:tcPr>
            <w:tcW w:w="1027" w:type="pct"/>
            <w:tcBorders>
              <w:tl2br w:val="nil"/>
              <w:tr2bl w:val="nil"/>
            </w:tcBorders>
            <w:vAlign w:val="center"/>
          </w:tcPr>
          <w:p w14:paraId="0BBA4379">
            <w:pPr>
              <w:pStyle w:val="31"/>
              <w:bidi w:val="0"/>
              <w:rPr>
                <w:rFonts w:hint="default"/>
                <w:color w:val="auto"/>
                <w:lang w:val="en-US" w:eastAsia="zh-CN"/>
              </w:rPr>
            </w:pPr>
            <w:r>
              <w:rPr>
                <w:rFonts w:hint="eastAsia"/>
                <w:color w:val="auto"/>
                <w:lang w:val="en-US" w:eastAsia="zh-CN"/>
              </w:rPr>
              <w:t>D16</w:t>
            </w:r>
          </w:p>
        </w:tc>
        <w:tc>
          <w:tcPr>
            <w:tcW w:w="1949" w:type="pct"/>
            <w:tcBorders>
              <w:tl2br w:val="nil"/>
              <w:tr2bl w:val="nil"/>
            </w:tcBorders>
            <w:vAlign w:val="center"/>
          </w:tcPr>
          <w:p w14:paraId="0FB3819F">
            <w:pPr>
              <w:pStyle w:val="31"/>
              <w:bidi w:val="0"/>
              <w:rPr>
                <w:rFonts w:hint="eastAsia"/>
                <w:color w:val="auto"/>
                <w:lang w:val="en-US" w:eastAsia="zh-CN"/>
              </w:rPr>
            </w:pPr>
            <w:r>
              <w:rPr>
                <w:rFonts w:hint="eastAsia"/>
                <w:color w:val="auto"/>
                <w:lang w:val="en-US" w:eastAsia="zh-CN"/>
              </w:rPr>
              <w:t>117.42969096, 30.54098731</w:t>
            </w:r>
          </w:p>
        </w:tc>
        <w:tc>
          <w:tcPr>
            <w:tcW w:w="1228" w:type="pct"/>
            <w:vMerge w:val="continue"/>
            <w:tcBorders>
              <w:tl2br w:val="nil"/>
              <w:tr2bl w:val="nil"/>
            </w:tcBorders>
            <w:vAlign w:val="center"/>
          </w:tcPr>
          <w:p w14:paraId="5916C9FB">
            <w:pPr>
              <w:pStyle w:val="31"/>
              <w:bidi w:val="0"/>
              <w:rPr>
                <w:rFonts w:hint="eastAsia"/>
                <w:color w:val="auto"/>
                <w:lang w:val="en-US" w:eastAsia="zh-CN"/>
              </w:rPr>
            </w:pPr>
          </w:p>
        </w:tc>
      </w:tr>
      <w:tr w14:paraId="228E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93" w:type="pct"/>
            <w:tcBorders>
              <w:tl2br w:val="nil"/>
              <w:tr2bl w:val="nil"/>
            </w:tcBorders>
            <w:vAlign w:val="center"/>
          </w:tcPr>
          <w:p w14:paraId="2DCF41CD">
            <w:pPr>
              <w:pStyle w:val="31"/>
              <w:bidi w:val="0"/>
              <w:rPr>
                <w:rFonts w:hint="default"/>
                <w:color w:val="auto"/>
                <w:lang w:val="en-US" w:eastAsia="zh-CN"/>
              </w:rPr>
            </w:pPr>
            <w:r>
              <w:rPr>
                <w:rFonts w:hint="eastAsia"/>
                <w:color w:val="auto"/>
                <w:lang w:val="en-US" w:eastAsia="zh-CN"/>
              </w:rPr>
              <w:t>18</w:t>
            </w:r>
          </w:p>
        </w:tc>
        <w:tc>
          <w:tcPr>
            <w:tcW w:w="1027" w:type="pct"/>
            <w:tcBorders>
              <w:tl2br w:val="nil"/>
              <w:tr2bl w:val="nil"/>
            </w:tcBorders>
            <w:vAlign w:val="center"/>
          </w:tcPr>
          <w:p w14:paraId="08516900">
            <w:pPr>
              <w:pStyle w:val="31"/>
              <w:bidi w:val="0"/>
              <w:rPr>
                <w:rFonts w:hint="default"/>
                <w:color w:val="auto"/>
                <w:lang w:val="en-US" w:eastAsia="zh-CN"/>
              </w:rPr>
            </w:pPr>
            <w:r>
              <w:rPr>
                <w:rFonts w:hint="eastAsia"/>
                <w:color w:val="auto"/>
                <w:lang w:val="en-US" w:eastAsia="zh-CN"/>
              </w:rPr>
              <w:t>D17</w:t>
            </w:r>
          </w:p>
        </w:tc>
        <w:tc>
          <w:tcPr>
            <w:tcW w:w="1949" w:type="pct"/>
            <w:tcBorders>
              <w:tl2br w:val="nil"/>
              <w:tr2bl w:val="nil"/>
            </w:tcBorders>
            <w:vAlign w:val="center"/>
          </w:tcPr>
          <w:p w14:paraId="0BB8FD67">
            <w:pPr>
              <w:pStyle w:val="31"/>
              <w:bidi w:val="0"/>
              <w:rPr>
                <w:rFonts w:hint="eastAsia"/>
                <w:color w:val="auto"/>
                <w:lang w:val="en-US" w:eastAsia="zh-CN"/>
              </w:rPr>
            </w:pPr>
            <w:r>
              <w:rPr>
                <w:rFonts w:hint="eastAsia"/>
                <w:color w:val="auto"/>
                <w:lang w:val="en-US" w:eastAsia="zh-CN"/>
              </w:rPr>
              <w:t>117.42877901, 30.54151401</w:t>
            </w:r>
          </w:p>
        </w:tc>
        <w:tc>
          <w:tcPr>
            <w:tcW w:w="1228" w:type="pct"/>
            <w:vMerge w:val="continue"/>
            <w:tcBorders>
              <w:tl2br w:val="nil"/>
              <w:tr2bl w:val="nil"/>
            </w:tcBorders>
            <w:vAlign w:val="center"/>
          </w:tcPr>
          <w:p w14:paraId="362CD3F5">
            <w:pPr>
              <w:pStyle w:val="31"/>
              <w:bidi w:val="0"/>
              <w:rPr>
                <w:rFonts w:hint="eastAsia"/>
                <w:color w:val="auto"/>
                <w:lang w:val="en-US" w:eastAsia="zh-CN"/>
              </w:rPr>
            </w:pPr>
          </w:p>
        </w:tc>
      </w:tr>
    </w:tbl>
    <w:p w14:paraId="1A9C63B7">
      <w:pPr>
        <w:pStyle w:val="31"/>
        <w:bidi w:val="0"/>
        <w:rPr>
          <w:color w:val="auto"/>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52F8BDD4">
      <w:pPr>
        <w:bidi w:val="0"/>
        <w:rPr>
          <w:color w:val="auto"/>
          <w:sz w:val="24"/>
        </w:rPr>
      </w:pPr>
      <w:r>
        <w:rPr>
          <w:rFonts w:hint="eastAsia"/>
          <w:color w:val="auto"/>
          <w:sz w:val="24"/>
        </w:rPr>
        <w:t>（2）</w:t>
      </w:r>
      <w:r>
        <w:rPr>
          <w:rFonts w:hAnsi="宋体"/>
          <w:color w:val="auto"/>
          <w:sz w:val="24"/>
        </w:rPr>
        <w:t>监测项目</w:t>
      </w:r>
    </w:p>
    <w:p w14:paraId="28840E2E">
      <w:pPr>
        <w:spacing w:line="360" w:lineRule="auto"/>
        <w:ind w:firstLine="480"/>
        <w:rPr>
          <w:rFonts w:hint="eastAsia" w:ascii="Times New Roman" w:hAnsi="宋体" w:eastAsia="宋体"/>
          <w:color w:val="auto"/>
          <w:sz w:val="24"/>
        </w:rPr>
      </w:pPr>
      <w:r>
        <w:rPr>
          <w:rFonts w:hint="eastAsia" w:ascii="Times New Roman" w:hAnsi="宋体" w:eastAsia="宋体"/>
          <w:color w:val="auto"/>
          <w:sz w:val="24"/>
        </w:rPr>
        <w:t>水质监测指标包括K</w:t>
      </w:r>
      <w:r>
        <w:rPr>
          <w:rFonts w:hint="eastAsia" w:ascii="Times New Roman" w:hAnsi="宋体" w:eastAsia="宋体"/>
          <w:color w:val="auto"/>
          <w:sz w:val="24"/>
          <w:vertAlign w:val="superscript"/>
        </w:rPr>
        <w:t>+</w:t>
      </w:r>
      <w:r>
        <w:rPr>
          <w:rFonts w:hint="eastAsia" w:ascii="Times New Roman" w:hAnsi="宋体" w:eastAsia="宋体"/>
          <w:color w:val="auto"/>
          <w:sz w:val="24"/>
        </w:rPr>
        <w:t>、Na</w:t>
      </w:r>
      <w:r>
        <w:rPr>
          <w:rFonts w:hint="eastAsia" w:ascii="Times New Roman" w:hAnsi="宋体" w:eastAsia="宋体"/>
          <w:color w:val="auto"/>
          <w:sz w:val="24"/>
          <w:vertAlign w:val="superscript"/>
        </w:rPr>
        <w:t>+</w:t>
      </w:r>
      <w:r>
        <w:rPr>
          <w:rFonts w:hint="eastAsia" w:ascii="Times New Roman" w:hAnsi="宋体" w:eastAsia="宋体"/>
          <w:color w:val="auto"/>
          <w:sz w:val="24"/>
        </w:rPr>
        <w:t>、Ca</w:t>
      </w:r>
      <w:r>
        <w:rPr>
          <w:rFonts w:hint="eastAsia" w:ascii="Times New Roman" w:hAnsi="宋体" w:eastAsia="宋体"/>
          <w:color w:val="auto"/>
          <w:sz w:val="24"/>
          <w:vertAlign w:val="superscript"/>
        </w:rPr>
        <w:t>2+</w:t>
      </w:r>
      <w:r>
        <w:rPr>
          <w:rFonts w:hint="eastAsia" w:ascii="Times New Roman" w:hAnsi="宋体" w:eastAsia="宋体"/>
          <w:color w:val="auto"/>
          <w:sz w:val="24"/>
        </w:rPr>
        <w:t>、Mg</w:t>
      </w:r>
      <w:r>
        <w:rPr>
          <w:rFonts w:hint="eastAsia" w:ascii="Times New Roman" w:hAnsi="宋体" w:eastAsia="宋体"/>
          <w:color w:val="auto"/>
          <w:sz w:val="24"/>
          <w:vertAlign w:val="superscript"/>
        </w:rPr>
        <w:t>2+</w:t>
      </w:r>
      <w:r>
        <w:rPr>
          <w:rFonts w:hint="eastAsia" w:ascii="Times New Roman" w:hAnsi="宋体" w:eastAsia="宋体"/>
          <w:color w:val="auto"/>
          <w:sz w:val="24"/>
        </w:rPr>
        <w:t>、CO</w:t>
      </w:r>
      <w:r>
        <w:rPr>
          <w:rFonts w:hint="eastAsia" w:ascii="Times New Roman" w:hAnsi="宋体" w:eastAsia="宋体"/>
          <w:color w:val="auto"/>
          <w:sz w:val="24"/>
          <w:vertAlign w:val="subscript"/>
        </w:rPr>
        <w:t>3</w:t>
      </w:r>
      <w:r>
        <w:rPr>
          <w:rFonts w:hint="eastAsia" w:ascii="Times New Roman" w:hAnsi="宋体" w:eastAsia="宋体"/>
          <w:color w:val="auto"/>
          <w:sz w:val="24"/>
          <w:vertAlign w:val="superscript"/>
        </w:rPr>
        <w:t>2-</w:t>
      </w:r>
      <w:r>
        <w:rPr>
          <w:rFonts w:hint="eastAsia" w:ascii="Times New Roman" w:hAnsi="宋体" w:eastAsia="宋体"/>
          <w:color w:val="auto"/>
          <w:sz w:val="24"/>
        </w:rPr>
        <w:t>、HCO</w:t>
      </w:r>
      <w:r>
        <w:rPr>
          <w:rFonts w:hint="eastAsia" w:ascii="Times New Roman" w:hAnsi="宋体" w:eastAsia="宋体"/>
          <w:color w:val="auto"/>
          <w:sz w:val="24"/>
          <w:vertAlign w:val="superscript"/>
        </w:rPr>
        <w:t>3-</w:t>
      </w:r>
      <w:r>
        <w:rPr>
          <w:rFonts w:hint="eastAsia" w:ascii="Times New Roman" w:hAnsi="宋体" w:eastAsia="宋体"/>
          <w:color w:val="auto"/>
          <w:sz w:val="24"/>
        </w:rPr>
        <w:t>、；以及pH、氨氮、硝酸盐、亚硝酸盐、挥发酚类、氰化物、砷、汞、六价铬、总硬度、铅、氟、镉、铁、锰、溶解性总固体、耗氧量、</w:t>
      </w:r>
      <w:r>
        <w:rPr>
          <w:rFonts w:hint="eastAsia" w:ascii="Times New Roman" w:hAnsi="宋体" w:eastAsia="宋体"/>
          <w:color w:val="auto"/>
          <w:sz w:val="24"/>
          <w:highlight w:val="none"/>
        </w:rPr>
        <w:t>硫酸盐、氯化物</w:t>
      </w:r>
      <w:r>
        <w:rPr>
          <w:rFonts w:hint="eastAsia" w:ascii="Times New Roman" w:hAnsi="宋体" w:eastAsia="宋体"/>
          <w:color w:val="auto"/>
          <w:sz w:val="24"/>
        </w:rPr>
        <w:t>、总大肠菌群、细菌总数；水位监测指标包括水位埋深。同步调查记录各取水井性质、坐标、</w:t>
      </w:r>
      <w:r>
        <w:rPr>
          <w:rFonts w:hint="eastAsia" w:ascii="Times New Roman" w:hAnsi="宋体" w:eastAsia="宋体"/>
          <w:color w:val="auto"/>
          <w:sz w:val="24"/>
          <w:highlight w:val="none"/>
        </w:rPr>
        <w:t>井深</w:t>
      </w:r>
      <w:r>
        <w:rPr>
          <w:rFonts w:hint="eastAsia" w:ascii="Times New Roman" w:hAnsi="宋体" w:eastAsia="宋体"/>
          <w:color w:val="auto"/>
          <w:sz w:val="24"/>
        </w:rPr>
        <w:t>、水深和水温等参数。</w:t>
      </w:r>
    </w:p>
    <w:p w14:paraId="7B1489D3">
      <w:pPr>
        <w:bidi w:val="0"/>
        <w:rPr>
          <w:rFonts w:hAnsi="宋体"/>
          <w:color w:val="auto"/>
          <w:sz w:val="24"/>
        </w:rPr>
      </w:pPr>
      <w:r>
        <w:rPr>
          <w:rFonts w:hint="eastAsia"/>
          <w:color w:val="auto"/>
          <w:sz w:val="24"/>
        </w:rPr>
        <w:t>（</w:t>
      </w:r>
      <w:r>
        <w:rPr>
          <w:rFonts w:hint="eastAsia" w:ascii="Times New Roman" w:eastAsia="宋体"/>
          <w:color w:val="auto"/>
          <w:sz w:val="24"/>
          <w:lang w:val="en-US" w:eastAsia="zh-CN"/>
        </w:rPr>
        <w:t>3</w:t>
      </w:r>
      <w:r>
        <w:rPr>
          <w:rFonts w:hint="eastAsia"/>
          <w:color w:val="auto"/>
          <w:sz w:val="24"/>
        </w:rPr>
        <w:t>）</w:t>
      </w:r>
      <w:r>
        <w:rPr>
          <w:rFonts w:hAnsi="宋体"/>
          <w:color w:val="auto"/>
          <w:sz w:val="24"/>
        </w:rPr>
        <w:t>监测时间和频次</w:t>
      </w:r>
    </w:p>
    <w:p w14:paraId="5C70E33A">
      <w:pPr>
        <w:spacing w:line="360" w:lineRule="auto"/>
        <w:ind w:firstLine="480"/>
        <w:rPr>
          <w:rFonts w:hint="eastAsia" w:ascii="Times New Roman" w:hAnsi="宋体" w:eastAsia="宋体"/>
          <w:color w:val="auto"/>
          <w:sz w:val="24"/>
        </w:rPr>
      </w:pPr>
      <w:r>
        <w:rPr>
          <w:rFonts w:hint="eastAsia" w:hAnsi="宋体"/>
          <w:color w:val="auto"/>
          <w:sz w:val="24"/>
          <w:lang w:val="en-US" w:eastAsia="zh-CN"/>
        </w:rPr>
        <w:t>地下水</w:t>
      </w:r>
      <w:r>
        <w:rPr>
          <w:rFonts w:hint="eastAsia" w:hAnsi="宋体"/>
          <w:color w:val="auto"/>
          <w:sz w:val="24"/>
        </w:rPr>
        <w:t>监测参照《地下水环境监测技术规范》（HJ/T164-2004）中有关监测方法</w:t>
      </w:r>
      <w:r>
        <w:rPr>
          <w:rFonts w:hint="eastAsia" w:hAnsi="宋体"/>
          <w:color w:val="auto"/>
          <w:sz w:val="24"/>
          <w:lang w:eastAsia="zh-CN"/>
        </w:rPr>
        <w:t>，</w:t>
      </w:r>
      <w:r>
        <w:rPr>
          <w:rFonts w:hint="eastAsia" w:hAnsi="宋体"/>
          <w:color w:val="auto"/>
          <w:sz w:val="24"/>
          <w:lang w:val="en-US" w:eastAsia="zh-CN"/>
        </w:rPr>
        <w:t>监</w:t>
      </w:r>
      <w:r>
        <w:rPr>
          <w:rFonts w:hint="eastAsia" w:ascii="Times New Roman" w:hAnsi="宋体" w:eastAsia="宋体"/>
          <w:color w:val="auto"/>
          <w:sz w:val="24"/>
        </w:rPr>
        <w:t>测一次。</w:t>
      </w:r>
    </w:p>
    <w:p w14:paraId="5FFA2C02">
      <w:pPr>
        <w:bidi w:val="0"/>
        <w:rPr>
          <w:color w:val="auto"/>
          <w:sz w:val="24"/>
        </w:rPr>
      </w:pPr>
      <w:r>
        <w:rPr>
          <w:rFonts w:hint="eastAsia"/>
          <w:color w:val="auto"/>
          <w:sz w:val="24"/>
        </w:rPr>
        <w:t>（</w:t>
      </w:r>
      <w:r>
        <w:rPr>
          <w:rFonts w:hint="eastAsia" w:ascii="Times New Roman" w:eastAsia="宋体"/>
          <w:color w:val="auto"/>
          <w:sz w:val="24"/>
          <w:lang w:val="en-US" w:eastAsia="zh-CN"/>
        </w:rPr>
        <w:t>4</w:t>
      </w:r>
      <w:r>
        <w:rPr>
          <w:rFonts w:hint="eastAsia"/>
          <w:color w:val="auto"/>
          <w:sz w:val="24"/>
        </w:rPr>
        <w:t>）</w:t>
      </w:r>
      <w:r>
        <w:rPr>
          <w:rFonts w:hAnsi="宋体"/>
          <w:color w:val="auto"/>
          <w:sz w:val="24"/>
        </w:rPr>
        <w:t>监测方法</w:t>
      </w:r>
    </w:p>
    <w:p w14:paraId="72C36232">
      <w:pPr>
        <w:spacing w:line="360" w:lineRule="auto"/>
        <w:ind w:firstLine="480"/>
        <w:rPr>
          <w:rFonts w:hint="eastAsia" w:hAnsi="宋体"/>
          <w:color w:val="auto"/>
          <w:sz w:val="24"/>
        </w:rPr>
      </w:pPr>
      <w:r>
        <w:rPr>
          <w:rFonts w:hint="eastAsia" w:hAnsi="宋体"/>
          <w:color w:val="auto"/>
          <w:sz w:val="24"/>
          <w:lang w:val="en-US" w:eastAsia="zh-CN"/>
        </w:rPr>
        <w:t>本项目地下水</w:t>
      </w:r>
      <w:r>
        <w:rPr>
          <w:rFonts w:hint="eastAsia" w:hAnsi="宋体"/>
          <w:color w:val="auto"/>
          <w:sz w:val="24"/>
        </w:rPr>
        <w:t>监测参照《地下水环境监测技术规范》（HJ/T164-2004）中有关监测方法。</w:t>
      </w:r>
    </w:p>
    <w:p w14:paraId="1760DED9">
      <w:pPr>
        <w:spacing w:line="360" w:lineRule="auto"/>
        <w:ind w:firstLine="480"/>
        <w:rPr>
          <w:rFonts w:hint="eastAsia" w:hAnsi="宋体"/>
          <w:color w:val="auto"/>
          <w:sz w:val="24"/>
          <w:lang w:eastAsia="zh-CN"/>
        </w:rPr>
      </w:pPr>
      <w:r>
        <w:rPr>
          <w:rFonts w:hint="eastAsia" w:hAnsi="宋体"/>
          <w:color w:val="auto"/>
          <w:sz w:val="24"/>
          <w:lang w:eastAsia="zh-CN"/>
        </w:rPr>
        <w:t>（</w:t>
      </w:r>
      <w:r>
        <w:rPr>
          <w:rFonts w:hint="eastAsia" w:hAnsi="宋体"/>
          <w:color w:val="auto"/>
          <w:sz w:val="24"/>
          <w:lang w:val="en-US" w:eastAsia="zh-CN"/>
        </w:rPr>
        <w:t>5</w:t>
      </w:r>
      <w:r>
        <w:rPr>
          <w:rFonts w:hint="eastAsia" w:hAnsi="宋体"/>
          <w:color w:val="auto"/>
          <w:sz w:val="24"/>
          <w:lang w:eastAsia="zh-CN"/>
        </w:rPr>
        <w:t>）监测结果</w:t>
      </w:r>
    </w:p>
    <w:p w14:paraId="5EF43CF3">
      <w:pPr>
        <w:spacing w:line="360" w:lineRule="auto"/>
        <w:ind w:firstLine="480"/>
        <w:rPr>
          <w:rFonts w:hint="eastAsia" w:hAnsi="宋体"/>
          <w:color w:val="auto"/>
          <w:sz w:val="24"/>
          <w:lang w:eastAsia="zh-CN"/>
        </w:rPr>
      </w:pPr>
      <w:r>
        <w:rPr>
          <w:rFonts w:hint="eastAsia" w:hAnsi="宋体"/>
          <w:color w:val="auto"/>
          <w:sz w:val="24"/>
          <w:lang w:eastAsia="zh-CN"/>
        </w:rPr>
        <w:t>地下水水位监测结果详见</w:t>
      </w:r>
      <w:r>
        <w:rPr>
          <w:rFonts w:hint="eastAsia" w:hAnsi="宋体"/>
          <w:color w:val="auto"/>
          <w:sz w:val="24"/>
          <w:lang w:val="en-US" w:eastAsia="zh-CN"/>
        </w:rPr>
        <w:t>下表</w:t>
      </w:r>
      <w:r>
        <w:rPr>
          <w:rFonts w:hint="eastAsia" w:hAnsi="宋体"/>
          <w:color w:val="auto"/>
          <w:sz w:val="24"/>
          <w:lang w:eastAsia="zh-CN"/>
        </w:rPr>
        <w:t>。</w:t>
      </w:r>
    </w:p>
    <w:p w14:paraId="67681F8B">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9</w:t>
      </w:r>
      <w:r>
        <w:rPr>
          <w:color w:val="auto"/>
        </w:rPr>
        <w:fldChar w:fldCharType="end"/>
      </w:r>
      <w:r>
        <w:rPr>
          <w:rFonts w:hint="eastAsia"/>
          <w:color w:val="auto"/>
          <w:lang w:eastAsia="zh-CN"/>
        </w:rPr>
        <w:t>地下水水位监测结果一览表</w:t>
      </w:r>
    </w:p>
    <w:tbl>
      <w:tblPr>
        <w:tblStyle w:val="24"/>
        <w:tblW w:w="850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754"/>
        <w:gridCol w:w="6750"/>
      </w:tblGrid>
      <w:tr w14:paraId="162848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3743E873">
            <w:pPr>
              <w:pStyle w:val="31"/>
              <w:bidi w:val="0"/>
              <w:rPr>
                <w:rFonts w:hint="default"/>
                <w:color w:val="auto"/>
                <w:lang w:val="en-US" w:eastAsia="zh-CN"/>
              </w:rPr>
            </w:pPr>
            <w:r>
              <w:rPr>
                <w:rFonts w:hint="eastAsia"/>
                <w:color w:val="auto"/>
                <w:lang w:val="en-US" w:eastAsia="zh-CN"/>
              </w:rPr>
              <w:t>采样点位</w:t>
            </w:r>
          </w:p>
        </w:tc>
        <w:tc>
          <w:tcPr>
            <w:tcW w:w="7442" w:type="dxa"/>
            <w:noWrap w:val="0"/>
            <w:vAlign w:val="center"/>
          </w:tcPr>
          <w:p w14:paraId="357AC89B">
            <w:pPr>
              <w:pStyle w:val="31"/>
              <w:bidi w:val="0"/>
              <w:rPr>
                <w:rFonts w:hint="default"/>
                <w:color w:val="auto"/>
                <w:lang w:val="en-US" w:eastAsia="zh-CN"/>
              </w:rPr>
            </w:pPr>
            <w:r>
              <w:rPr>
                <w:rFonts w:hint="eastAsia"/>
                <w:color w:val="auto"/>
                <w:lang w:val="en-US" w:eastAsia="zh-CN"/>
              </w:rPr>
              <w:t>水位（单位：米）</w:t>
            </w:r>
          </w:p>
        </w:tc>
      </w:tr>
      <w:tr w14:paraId="2AD71D2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0B96ADCF">
            <w:pPr>
              <w:pStyle w:val="31"/>
              <w:bidi w:val="0"/>
              <w:rPr>
                <w:rFonts w:hint="default"/>
                <w:color w:val="auto"/>
                <w:lang w:val="en-US" w:eastAsia="zh-CN"/>
              </w:rPr>
            </w:pPr>
            <w:r>
              <w:rPr>
                <w:rFonts w:hint="default"/>
                <w:color w:val="auto"/>
                <w:lang w:val="en-US" w:eastAsia="zh-CN"/>
              </w:rPr>
              <w:t>D1</w:t>
            </w:r>
          </w:p>
        </w:tc>
        <w:tc>
          <w:tcPr>
            <w:tcW w:w="7442" w:type="dxa"/>
            <w:noWrap w:val="0"/>
            <w:vAlign w:val="center"/>
          </w:tcPr>
          <w:p w14:paraId="24E9F0FD">
            <w:pPr>
              <w:pStyle w:val="31"/>
              <w:bidi w:val="0"/>
              <w:rPr>
                <w:rFonts w:hint="default"/>
                <w:color w:val="auto"/>
                <w:lang w:val="en-US" w:eastAsia="zh-CN"/>
              </w:rPr>
            </w:pPr>
            <w:r>
              <w:rPr>
                <w:rFonts w:hint="eastAsia"/>
                <w:color w:val="auto"/>
                <w:lang w:val="en-US" w:eastAsia="zh-CN"/>
              </w:rPr>
              <w:t>2.36</w:t>
            </w:r>
          </w:p>
        </w:tc>
      </w:tr>
      <w:tr w14:paraId="18C0C6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5636813F">
            <w:pPr>
              <w:pStyle w:val="31"/>
              <w:bidi w:val="0"/>
              <w:rPr>
                <w:rFonts w:hint="default"/>
                <w:color w:val="auto"/>
                <w:lang w:val="en-US" w:eastAsia="zh-CN"/>
              </w:rPr>
            </w:pPr>
            <w:r>
              <w:rPr>
                <w:rFonts w:hint="default"/>
                <w:color w:val="auto"/>
                <w:lang w:val="en-US" w:eastAsia="zh-CN"/>
              </w:rPr>
              <w:t>D2</w:t>
            </w:r>
          </w:p>
        </w:tc>
        <w:tc>
          <w:tcPr>
            <w:tcW w:w="7442" w:type="dxa"/>
            <w:noWrap w:val="0"/>
            <w:vAlign w:val="center"/>
          </w:tcPr>
          <w:p w14:paraId="2252555F">
            <w:pPr>
              <w:pStyle w:val="31"/>
              <w:bidi w:val="0"/>
              <w:rPr>
                <w:rFonts w:hint="default"/>
                <w:color w:val="auto"/>
                <w:lang w:val="en-US" w:eastAsia="zh-CN"/>
              </w:rPr>
            </w:pPr>
            <w:r>
              <w:rPr>
                <w:rFonts w:hint="eastAsia"/>
                <w:color w:val="auto"/>
                <w:lang w:val="en-US" w:eastAsia="zh-CN"/>
              </w:rPr>
              <w:t>2.98</w:t>
            </w:r>
          </w:p>
        </w:tc>
      </w:tr>
      <w:tr w14:paraId="1CD05A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3523C743">
            <w:pPr>
              <w:pStyle w:val="31"/>
              <w:bidi w:val="0"/>
              <w:rPr>
                <w:rFonts w:hint="default"/>
                <w:color w:val="auto"/>
                <w:lang w:val="en-US" w:eastAsia="zh-CN"/>
              </w:rPr>
            </w:pPr>
            <w:r>
              <w:rPr>
                <w:rFonts w:hint="default"/>
                <w:color w:val="auto"/>
                <w:lang w:val="en-US" w:eastAsia="zh-CN"/>
              </w:rPr>
              <w:t>D3</w:t>
            </w:r>
          </w:p>
        </w:tc>
        <w:tc>
          <w:tcPr>
            <w:tcW w:w="7442" w:type="dxa"/>
            <w:noWrap w:val="0"/>
            <w:vAlign w:val="center"/>
          </w:tcPr>
          <w:p w14:paraId="10B45825">
            <w:pPr>
              <w:pStyle w:val="31"/>
              <w:bidi w:val="0"/>
              <w:rPr>
                <w:rFonts w:hint="default"/>
                <w:color w:val="auto"/>
                <w:lang w:val="en-US" w:eastAsia="zh-CN"/>
              </w:rPr>
            </w:pPr>
            <w:r>
              <w:rPr>
                <w:rFonts w:hint="eastAsia"/>
                <w:color w:val="auto"/>
                <w:lang w:val="en-US" w:eastAsia="zh-CN"/>
              </w:rPr>
              <w:t>4.01</w:t>
            </w:r>
          </w:p>
        </w:tc>
      </w:tr>
      <w:tr w14:paraId="655C751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3738047C">
            <w:pPr>
              <w:pStyle w:val="31"/>
              <w:bidi w:val="0"/>
              <w:rPr>
                <w:rFonts w:hint="default"/>
                <w:color w:val="auto"/>
                <w:lang w:val="en-US" w:eastAsia="zh-CN"/>
              </w:rPr>
            </w:pPr>
            <w:r>
              <w:rPr>
                <w:rFonts w:hint="default"/>
                <w:color w:val="auto"/>
                <w:lang w:val="en-US" w:eastAsia="zh-CN"/>
              </w:rPr>
              <w:t>D4</w:t>
            </w:r>
          </w:p>
        </w:tc>
        <w:tc>
          <w:tcPr>
            <w:tcW w:w="7442" w:type="dxa"/>
            <w:noWrap w:val="0"/>
            <w:vAlign w:val="center"/>
          </w:tcPr>
          <w:p w14:paraId="589FCD0C">
            <w:pPr>
              <w:pStyle w:val="31"/>
              <w:bidi w:val="0"/>
              <w:rPr>
                <w:rFonts w:hint="default"/>
                <w:color w:val="auto"/>
                <w:lang w:val="en-US" w:eastAsia="zh-CN"/>
              </w:rPr>
            </w:pPr>
            <w:r>
              <w:rPr>
                <w:rFonts w:hint="eastAsia"/>
                <w:color w:val="auto"/>
                <w:lang w:val="en-US" w:eastAsia="zh-CN"/>
              </w:rPr>
              <w:t>2.37</w:t>
            </w:r>
          </w:p>
        </w:tc>
      </w:tr>
      <w:tr w14:paraId="298013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5DAB9174">
            <w:pPr>
              <w:pStyle w:val="31"/>
              <w:bidi w:val="0"/>
              <w:rPr>
                <w:rFonts w:hint="default"/>
                <w:color w:val="auto"/>
                <w:lang w:val="en-US" w:eastAsia="zh-CN"/>
              </w:rPr>
            </w:pPr>
            <w:r>
              <w:rPr>
                <w:rFonts w:hint="default"/>
                <w:color w:val="auto"/>
                <w:lang w:val="en-US" w:eastAsia="zh-CN"/>
              </w:rPr>
              <w:t>D5</w:t>
            </w:r>
          </w:p>
        </w:tc>
        <w:tc>
          <w:tcPr>
            <w:tcW w:w="7442" w:type="dxa"/>
            <w:noWrap w:val="0"/>
            <w:vAlign w:val="center"/>
          </w:tcPr>
          <w:p w14:paraId="63EA2412">
            <w:pPr>
              <w:pStyle w:val="31"/>
              <w:bidi w:val="0"/>
              <w:rPr>
                <w:rFonts w:hint="default"/>
                <w:color w:val="auto"/>
                <w:lang w:val="en-US" w:eastAsia="zh-CN"/>
              </w:rPr>
            </w:pPr>
            <w:r>
              <w:rPr>
                <w:rFonts w:hint="eastAsia"/>
                <w:color w:val="auto"/>
                <w:lang w:val="en-US" w:eastAsia="zh-CN"/>
              </w:rPr>
              <w:t>2.18</w:t>
            </w:r>
          </w:p>
        </w:tc>
      </w:tr>
      <w:tr w14:paraId="7D58C5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423DCBE3">
            <w:pPr>
              <w:pStyle w:val="31"/>
              <w:bidi w:val="0"/>
              <w:rPr>
                <w:rFonts w:hint="default"/>
                <w:color w:val="auto"/>
                <w:lang w:val="en-US" w:eastAsia="zh-CN"/>
              </w:rPr>
            </w:pPr>
            <w:r>
              <w:rPr>
                <w:rFonts w:hint="default"/>
                <w:color w:val="auto"/>
                <w:lang w:val="en-US" w:eastAsia="zh-CN"/>
              </w:rPr>
              <w:t>D6</w:t>
            </w:r>
          </w:p>
        </w:tc>
        <w:tc>
          <w:tcPr>
            <w:tcW w:w="7442" w:type="dxa"/>
            <w:noWrap w:val="0"/>
            <w:vAlign w:val="center"/>
          </w:tcPr>
          <w:p w14:paraId="5D55EE99">
            <w:pPr>
              <w:pStyle w:val="31"/>
              <w:bidi w:val="0"/>
              <w:rPr>
                <w:rFonts w:hint="default"/>
                <w:color w:val="auto"/>
                <w:lang w:val="en-US" w:eastAsia="zh-CN"/>
              </w:rPr>
            </w:pPr>
            <w:r>
              <w:rPr>
                <w:rFonts w:hint="eastAsia"/>
                <w:color w:val="auto"/>
                <w:lang w:val="en-US" w:eastAsia="zh-CN"/>
              </w:rPr>
              <w:t>2.24</w:t>
            </w:r>
          </w:p>
        </w:tc>
      </w:tr>
      <w:tr w14:paraId="0F6239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04909C5D">
            <w:pPr>
              <w:pStyle w:val="31"/>
              <w:bidi w:val="0"/>
              <w:rPr>
                <w:rFonts w:hint="default"/>
                <w:color w:val="auto"/>
                <w:lang w:val="en-US" w:eastAsia="zh-CN"/>
              </w:rPr>
            </w:pPr>
            <w:r>
              <w:rPr>
                <w:rFonts w:hint="default"/>
                <w:color w:val="auto"/>
                <w:lang w:val="en-US" w:eastAsia="zh-CN"/>
              </w:rPr>
              <w:t>D7</w:t>
            </w:r>
          </w:p>
        </w:tc>
        <w:tc>
          <w:tcPr>
            <w:tcW w:w="7442" w:type="dxa"/>
            <w:noWrap w:val="0"/>
            <w:vAlign w:val="center"/>
          </w:tcPr>
          <w:p w14:paraId="240868FF">
            <w:pPr>
              <w:pStyle w:val="31"/>
              <w:bidi w:val="0"/>
              <w:rPr>
                <w:rFonts w:hint="default"/>
                <w:color w:val="auto"/>
                <w:lang w:val="en-US" w:eastAsia="zh-CN"/>
              </w:rPr>
            </w:pPr>
            <w:r>
              <w:rPr>
                <w:rFonts w:hint="eastAsia"/>
                <w:color w:val="auto"/>
                <w:lang w:val="en-US" w:eastAsia="zh-CN"/>
              </w:rPr>
              <w:t>1.30</w:t>
            </w:r>
          </w:p>
        </w:tc>
      </w:tr>
      <w:tr w14:paraId="164679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07B5AE16">
            <w:pPr>
              <w:pStyle w:val="31"/>
              <w:bidi w:val="0"/>
              <w:rPr>
                <w:rFonts w:hint="default"/>
                <w:color w:val="auto"/>
                <w:lang w:val="en-US" w:eastAsia="zh-CN"/>
              </w:rPr>
            </w:pPr>
            <w:r>
              <w:rPr>
                <w:rFonts w:hint="default"/>
                <w:color w:val="auto"/>
                <w:lang w:val="en-US" w:eastAsia="zh-CN"/>
              </w:rPr>
              <w:t>D8</w:t>
            </w:r>
          </w:p>
        </w:tc>
        <w:tc>
          <w:tcPr>
            <w:tcW w:w="7442" w:type="dxa"/>
            <w:noWrap w:val="0"/>
            <w:vAlign w:val="center"/>
          </w:tcPr>
          <w:p w14:paraId="19ECA915">
            <w:pPr>
              <w:pStyle w:val="31"/>
              <w:bidi w:val="0"/>
              <w:rPr>
                <w:rFonts w:hint="default"/>
                <w:color w:val="auto"/>
                <w:lang w:val="en-US" w:eastAsia="zh-CN"/>
              </w:rPr>
            </w:pPr>
            <w:r>
              <w:rPr>
                <w:rFonts w:hint="eastAsia"/>
                <w:color w:val="auto"/>
                <w:lang w:val="en-US" w:eastAsia="zh-CN"/>
              </w:rPr>
              <w:t>1.41</w:t>
            </w:r>
          </w:p>
        </w:tc>
      </w:tr>
      <w:tr w14:paraId="11F758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1336BB33">
            <w:pPr>
              <w:pStyle w:val="31"/>
              <w:bidi w:val="0"/>
              <w:rPr>
                <w:rFonts w:hint="default"/>
                <w:color w:val="auto"/>
                <w:lang w:val="en-US" w:eastAsia="zh-CN"/>
              </w:rPr>
            </w:pPr>
            <w:r>
              <w:rPr>
                <w:rFonts w:hint="default"/>
                <w:color w:val="auto"/>
                <w:lang w:val="en-US" w:eastAsia="zh-CN"/>
              </w:rPr>
              <w:t>D9</w:t>
            </w:r>
          </w:p>
        </w:tc>
        <w:tc>
          <w:tcPr>
            <w:tcW w:w="7442" w:type="dxa"/>
            <w:noWrap w:val="0"/>
            <w:vAlign w:val="center"/>
          </w:tcPr>
          <w:p w14:paraId="033DA6A3">
            <w:pPr>
              <w:pStyle w:val="31"/>
              <w:bidi w:val="0"/>
              <w:rPr>
                <w:rFonts w:hint="default"/>
                <w:color w:val="auto"/>
                <w:lang w:val="en-US" w:eastAsia="zh-CN"/>
              </w:rPr>
            </w:pPr>
            <w:r>
              <w:rPr>
                <w:rFonts w:hint="eastAsia"/>
                <w:color w:val="auto"/>
                <w:lang w:val="en-US" w:eastAsia="zh-CN"/>
              </w:rPr>
              <w:t>1.30</w:t>
            </w:r>
          </w:p>
        </w:tc>
      </w:tr>
      <w:tr w14:paraId="687AC3E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7458D2F4">
            <w:pPr>
              <w:pStyle w:val="31"/>
              <w:bidi w:val="0"/>
              <w:rPr>
                <w:rFonts w:hint="default"/>
                <w:color w:val="auto"/>
                <w:lang w:val="en-US" w:eastAsia="zh-CN"/>
              </w:rPr>
            </w:pPr>
            <w:r>
              <w:rPr>
                <w:rFonts w:hint="default"/>
                <w:color w:val="auto"/>
                <w:lang w:val="en-US" w:eastAsia="zh-CN"/>
              </w:rPr>
              <w:t>D10</w:t>
            </w:r>
          </w:p>
        </w:tc>
        <w:tc>
          <w:tcPr>
            <w:tcW w:w="7442" w:type="dxa"/>
            <w:noWrap w:val="0"/>
            <w:vAlign w:val="center"/>
          </w:tcPr>
          <w:p w14:paraId="5A3DCA6A">
            <w:pPr>
              <w:pStyle w:val="31"/>
              <w:bidi w:val="0"/>
              <w:rPr>
                <w:rFonts w:hint="default"/>
                <w:color w:val="auto"/>
                <w:lang w:val="en-US" w:eastAsia="zh-CN"/>
              </w:rPr>
            </w:pPr>
            <w:r>
              <w:rPr>
                <w:rFonts w:hint="eastAsia"/>
                <w:color w:val="auto"/>
                <w:lang w:val="en-US" w:eastAsia="zh-CN"/>
              </w:rPr>
              <w:t>0.52</w:t>
            </w:r>
          </w:p>
        </w:tc>
      </w:tr>
      <w:tr w14:paraId="05BE73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533E80E4">
            <w:pPr>
              <w:pStyle w:val="31"/>
              <w:bidi w:val="0"/>
              <w:rPr>
                <w:rFonts w:hint="default"/>
                <w:color w:val="auto"/>
                <w:lang w:val="en-US" w:eastAsia="zh-CN"/>
              </w:rPr>
            </w:pPr>
            <w:r>
              <w:rPr>
                <w:rFonts w:hint="default"/>
                <w:color w:val="auto"/>
                <w:lang w:val="en-US" w:eastAsia="zh-CN"/>
              </w:rPr>
              <w:t>D11</w:t>
            </w:r>
          </w:p>
        </w:tc>
        <w:tc>
          <w:tcPr>
            <w:tcW w:w="7442" w:type="dxa"/>
            <w:noWrap w:val="0"/>
            <w:vAlign w:val="center"/>
          </w:tcPr>
          <w:p w14:paraId="6FDD596E">
            <w:pPr>
              <w:pStyle w:val="31"/>
              <w:bidi w:val="0"/>
              <w:rPr>
                <w:rFonts w:hint="default"/>
                <w:color w:val="auto"/>
                <w:lang w:val="en-US" w:eastAsia="zh-CN"/>
              </w:rPr>
            </w:pPr>
            <w:r>
              <w:rPr>
                <w:rFonts w:hint="eastAsia"/>
                <w:color w:val="auto"/>
                <w:lang w:val="en-US" w:eastAsia="zh-CN"/>
              </w:rPr>
              <w:t>0.92</w:t>
            </w:r>
          </w:p>
        </w:tc>
      </w:tr>
      <w:tr w14:paraId="21B984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73398802">
            <w:pPr>
              <w:pStyle w:val="31"/>
              <w:bidi w:val="0"/>
              <w:rPr>
                <w:rFonts w:hint="default"/>
                <w:color w:val="auto"/>
                <w:lang w:val="en-US" w:eastAsia="zh-CN"/>
              </w:rPr>
            </w:pPr>
            <w:r>
              <w:rPr>
                <w:rFonts w:hint="default"/>
                <w:color w:val="auto"/>
                <w:lang w:val="en-US" w:eastAsia="zh-CN"/>
              </w:rPr>
              <w:t>D12</w:t>
            </w:r>
          </w:p>
        </w:tc>
        <w:tc>
          <w:tcPr>
            <w:tcW w:w="7442" w:type="dxa"/>
            <w:noWrap w:val="0"/>
            <w:vAlign w:val="center"/>
          </w:tcPr>
          <w:p w14:paraId="4DD583FB">
            <w:pPr>
              <w:pStyle w:val="31"/>
              <w:bidi w:val="0"/>
              <w:rPr>
                <w:rFonts w:hint="default"/>
                <w:color w:val="auto"/>
                <w:lang w:val="en-US" w:eastAsia="zh-CN"/>
              </w:rPr>
            </w:pPr>
            <w:r>
              <w:rPr>
                <w:rFonts w:hint="eastAsia"/>
                <w:color w:val="auto"/>
                <w:lang w:val="en-US" w:eastAsia="zh-CN"/>
              </w:rPr>
              <w:t>1.40</w:t>
            </w:r>
          </w:p>
        </w:tc>
      </w:tr>
      <w:tr w14:paraId="540B03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7CD2ACD4">
            <w:pPr>
              <w:pStyle w:val="31"/>
              <w:bidi w:val="0"/>
              <w:rPr>
                <w:rFonts w:hint="default"/>
                <w:color w:val="auto"/>
                <w:lang w:val="en-US" w:eastAsia="zh-CN"/>
              </w:rPr>
            </w:pPr>
            <w:r>
              <w:rPr>
                <w:rFonts w:hint="default"/>
                <w:color w:val="auto"/>
                <w:lang w:val="en-US" w:eastAsia="zh-CN"/>
              </w:rPr>
              <w:t>D13</w:t>
            </w:r>
          </w:p>
        </w:tc>
        <w:tc>
          <w:tcPr>
            <w:tcW w:w="7442" w:type="dxa"/>
            <w:noWrap w:val="0"/>
            <w:vAlign w:val="center"/>
          </w:tcPr>
          <w:p w14:paraId="0A45CCDC">
            <w:pPr>
              <w:pStyle w:val="31"/>
              <w:bidi w:val="0"/>
              <w:rPr>
                <w:rFonts w:hint="default"/>
                <w:color w:val="auto"/>
                <w:lang w:val="en-US" w:eastAsia="zh-CN"/>
              </w:rPr>
            </w:pPr>
            <w:r>
              <w:rPr>
                <w:rFonts w:hint="eastAsia"/>
                <w:color w:val="auto"/>
                <w:lang w:val="en-US" w:eastAsia="zh-CN"/>
              </w:rPr>
              <w:t>0.79</w:t>
            </w:r>
          </w:p>
        </w:tc>
      </w:tr>
      <w:tr w14:paraId="5F29EF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4EFF260B">
            <w:pPr>
              <w:pStyle w:val="31"/>
              <w:bidi w:val="0"/>
              <w:rPr>
                <w:rFonts w:hint="default"/>
                <w:color w:val="auto"/>
                <w:lang w:val="en-US" w:eastAsia="zh-CN"/>
              </w:rPr>
            </w:pPr>
            <w:r>
              <w:rPr>
                <w:rFonts w:hint="default"/>
                <w:color w:val="auto"/>
                <w:lang w:val="en-US" w:eastAsia="zh-CN"/>
              </w:rPr>
              <w:t>D14</w:t>
            </w:r>
          </w:p>
        </w:tc>
        <w:tc>
          <w:tcPr>
            <w:tcW w:w="7442" w:type="dxa"/>
            <w:noWrap w:val="0"/>
            <w:vAlign w:val="center"/>
          </w:tcPr>
          <w:p w14:paraId="5A53E1E2">
            <w:pPr>
              <w:pStyle w:val="31"/>
              <w:bidi w:val="0"/>
              <w:rPr>
                <w:rFonts w:hint="default"/>
                <w:color w:val="auto"/>
                <w:lang w:val="en-US" w:eastAsia="zh-CN"/>
              </w:rPr>
            </w:pPr>
            <w:r>
              <w:rPr>
                <w:rFonts w:hint="eastAsia"/>
                <w:color w:val="auto"/>
                <w:lang w:val="en-US" w:eastAsia="zh-CN"/>
              </w:rPr>
              <w:t>1.95</w:t>
            </w:r>
          </w:p>
        </w:tc>
      </w:tr>
      <w:tr w14:paraId="6F5851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07903D50">
            <w:pPr>
              <w:pStyle w:val="31"/>
              <w:bidi w:val="0"/>
              <w:rPr>
                <w:rFonts w:hint="default"/>
                <w:color w:val="auto"/>
                <w:lang w:val="en-US" w:eastAsia="zh-CN"/>
              </w:rPr>
            </w:pPr>
            <w:r>
              <w:rPr>
                <w:rFonts w:hint="default"/>
                <w:color w:val="auto"/>
                <w:lang w:val="en-US" w:eastAsia="zh-CN"/>
              </w:rPr>
              <w:t>D15</w:t>
            </w:r>
          </w:p>
        </w:tc>
        <w:tc>
          <w:tcPr>
            <w:tcW w:w="7442" w:type="dxa"/>
            <w:noWrap w:val="0"/>
            <w:vAlign w:val="center"/>
          </w:tcPr>
          <w:p w14:paraId="5034A425">
            <w:pPr>
              <w:pStyle w:val="31"/>
              <w:bidi w:val="0"/>
              <w:rPr>
                <w:rFonts w:hint="default"/>
                <w:color w:val="auto"/>
                <w:lang w:val="en-US" w:eastAsia="zh-CN"/>
              </w:rPr>
            </w:pPr>
            <w:r>
              <w:rPr>
                <w:rFonts w:hint="eastAsia"/>
                <w:color w:val="auto"/>
                <w:lang w:val="en-US" w:eastAsia="zh-CN"/>
              </w:rPr>
              <w:t>1.32</w:t>
            </w:r>
          </w:p>
        </w:tc>
      </w:tr>
      <w:tr w14:paraId="3311BC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32D1A588">
            <w:pPr>
              <w:pStyle w:val="31"/>
              <w:bidi w:val="0"/>
              <w:rPr>
                <w:rFonts w:hint="default"/>
                <w:color w:val="auto"/>
                <w:lang w:val="en-US" w:eastAsia="zh-CN"/>
              </w:rPr>
            </w:pPr>
            <w:r>
              <w:rPr>
                <w:rFonts w:hint="default"/>
                <w:color w:val="auto"/>
                <w:lang w:val="en-US" w:eastAsia="zh-CN"/>
              </w:rPr>
              <w:t>D16</w:t>
            </w:r>
          </w:p>
        </w:tc>
        <w:tc>
          <w:tcPr>
            <w:tcW w:w="7442" w:type="dxa"/>
            <w:noWrap w:val="0"/>
            <w:vAlign w:val="center"/>
          </w:tcPr>
          <w:p w14:paraId="1A893477">
            <w:pPr>
              <w:pStyle w:val="31"/>
              <w:bidi w:val="0"/>
              <w:rPr>
                <w:rFonts w:hint="default"/>
                <w:color w:val="auto"/>
                <w:lang w:val="en-US" w:eastAsia="zh-CN"/>
              </w:rPr>
            </w:pPr>
            <w:r>
              <w:rPr>
                <w:rFonts w:hint="eastAsia"/>
                <w:color w:val="auto"/>
                <w:lang w:val="en-US" w:eastAsia="zh-CN"/>
              </w:rPr>
              <w:t>0.85</w:t>
            </w:r>
          </w:p>
        </w:tc>
      </w:tr>
      <w:tr w14:paraId="5ED12C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77260AD9">
            <w:pPr>
              <w:pStyle w:val="31"/>
              <w:bidi w:val="0"/>
              <w:rPr>
                <w:rFonts w:hint="default"/>
                <w:color w:val="auto"/>
                <w:lang w:val="en-US" w:eastAsia="zh-CN"/>
              </w:rPr>
            </w:pPr>
            <w:r>
              <w:rPr>
                <w:rFonts w:hint="default"/>
                <w:color w:val="auto"/>
                <w:lang w:val="en-US" w:eastAsia="zh-CN"/>
              </w:rPr>
              <w:t>D17</w:t>
            </w:r>
          </w:p>
        </w:tc>
        <w:tc>
          <w:tcPr>
            <w:tcW w:w="7442" w:type="dxa"/>
            <w:noWrap w:val="0"/>
            <w:vAlign w:val="center"/>
          </w:tcPr>
          <w:p w14:paraId="1D062104">
            <w:pPr>
              <w:pStyle w:val="31"/>
              <w:bidi w:val="0"/>
              <w:rPr>
                <w:rFonts w:hint="default"/>
                <w:color w:val="auto"/>
                <w:lang w:val="en-US" w:eastAsia="zh-CN"/>
              </w:rPr>
            </w:pPr>
            <w:r>
              <w:rPr>
                <w:rFonts w:hint="eastAsia"/>
                <w:color w:val="auto"/>
                <w:lang w:val="en-US" w:eastAsia="zh-CN"/>
              </w:rPr>
              <w:t>1.20</w:t>
            </w:r>
          </w:p>
        </w:tc>
      </w:tr>
      <w:tr w14:paraId="2A3D35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916" w:type="dxa"/>
            <w:noWrap w:val="0"/>
            <w:vAlign w:val="center"/>
          </w:tcPr>
          <w:p w14:paraId="0CF66DB2">
            <w:pPr>
              <w:pStyle w:val="31"/>
              <w:bidi w:val="0"/>
              <w:rPr>
                <w:rFonts w:hint="default"/>
                <w:color w:val="auto"/>
                <w:lang w:val="en-US" w:eastAsia="zh-CN"/>
              </w:rPr>
            </w:pPr>
            <w:r>
              <w:rPr>
                <w:rFonts w:hint="default"/>
                <w:color w:val="auto"/>
                <w:lang w:val="en-US" w:eastAsia="zh-CN"/>
              </w:rPr>
              <w:t>D18</w:t>
            </w:r>
          </w:p>
        </w:tc>
        <w:tc>
          <w:tcPr>
            <w:tcW w:w="7442" w:type="dxa"/>
            <w:noWrap w:val="0"/>
            <w:vAlign w:val="center"/>
          </w:tcPr>
          <w:p w14:paraId="230CF266">
            <w:pPr>
              <w:pStyle w:val="31"/>
              <w:bidi w:val="0"/>
              <w:rPr>
                <w:rFonts w:hint="default"/>
                <w:color w:val="auto"/>
                <w:lang w:val="en-US" w:eastAsia="zh-CN"/>
              </w:rPr>
            </w:pPr>
            <w:r>
              <w:rPr>
                <w:rFonts w:hint="eastAsia"/>
                <w:color w:val="auto"/>
                <w:lang w:val="en-US" w:eastAsia="zh-CN"/>
              </w:rPr>
              <w:t>0.77</w:t>
            </w:r>
          </w:p>
        </w:tc>
      </w:tr>
    </w:tbl>
    <w:p w14:paraId="71A32E62">
      <w:pPr>
        <w:pStyle w:val="5"/>
        <w:bidi w:val="0"/>
        <w:rPr>
          <w:color w:val="auto"/>
        </w:rPr>
      </w:pPr>
      <w:r>
        <w:rPr>
          <w:rFonts w:hint="eastAsia"/>
          <w:color w:val="auto"/>
          <w:lang w:val="en-US" w:eastAsia="zh-CN"/>
        </w:rPr>
        <w:t>地下水</w:t>
      </w:r>
      <w:r>
        <w:rPr>
          <w:rFonts w:hint="eastAsia"/>
          <w:color w:val="auto"/>
        </w:rPr>
        <w:t>现状评价</w:t>
      </w:r>
    </w:p>
    <w:p w14:paraId="13439750">
      <w:pPr>
        <w:widowControl/>
        <w:ind w:firstLine="480"/>
        <w:rPr>
          <w:rFonts w:cs="Times New Roman"/>
          <w:color w:val="auto"/>
          <w:spacing w:val="0"/>
        </w:rPr>
      </w:pPr>
      <w:r>
        <w:rPr>
          <w:rFonts w:hint="eastAsia" w:cs="Times New Roman"/>
          <w:color w:val="auto"/>
          <w:spacing w:val="0"/>
        </w:rPr>
        <w:t>（</w:t>
      </w:r>
      <w:r>
        <w:rPr>
          <w:rFonts w:cs="Times New Roman"/>
          <w:color w:val="auto"/>
          <w:spacing w:val="0"/>
        </w:rPr>
        <w:t>1</w:t>
      </w:r>
      <w:r>
        <w:rPr>
          <w:rFonts w:hint="eastAsia" w:cs="Times New Roman"/>
          <w:color w:val="auto"/>
          <w:spacing w:val="0"/>
        </w:rPr>
        <w:t>）评价方法</w:t>
      </w:r>
    </w:p>
    <w:p w14:paraId="7EE664E0">
      <w:pPr>
        <w:widowControl/>
        <w:ind w:firstLine="480"/>
        <w:rPr>
          <w:rFonts w:cs="Times New Roman"/>
          <w:color w:val="auto"/>
          <w:spacing w:val="0"/>
        </w:rPr>
      </w:pPr>
      <w:r>
        <w:rPr>
          <w:rFonts w:hint="eastAsia" w:cs="Times New Roman"/>
          <w:color w:val="auto"/>
          <w:spacing w:val="0"/>
        </w:rPr>
        <w:t>按照相应水质标准，评价方法采用单因子标准指数法，按《环境影响评价技术导则地</w:t>
      </w:r>
      <w:r>
        <w:rPr>
          <w:rFonts w:hint="eastAsia" w:cs="Times New Roman"/>
          <w:color w:val="auto"/>
          <w:spacing w:val="0"/>
          <w:lang w:val="en-US" w:eastAsia="zh-CN"/>
        </w:rPr>
        <w:t>下</w:t>
      </w:r>
      <w:r>
        <w:rPr>
          <w:rFonts w:hint="eastAsia" w:cs="Times New Roman"/>
          <w:color w:val="auto"/>
          <w:spacing w:val="0"/>
        </w:rPr>
        <w:t>水环境》中的推荐公式计算。</w:t>
      </w:r>
    </w:p>
    <w:p w14:paraId="45FA6563">
      <w:pPr>
        <w:widowControl/>
        <w:ind w:firstLine="480"/>
        <w:rPr>
          <w:rFonts w:cs="Times New Roman"/>
          <w:color w:val="auto"/>
          <w:spacing w:val="0"/>
        </w:rPr>
      </w:pPr>
      <w:r>
        <w:rPr>
          <w:rFonts w:hint="eastAsia" w:ascii="宋体" w:hAnsi="宋体"/>
          <w:color w:val="auto"/>
          <w:spacing w:val="0"/>
        </w:rPr>
        <w:t>①</w:t>
      </w:r>
      <w:r>
        <w:rPr>
          <w:rFonts w:hint="eastAsia" w:cs="Times New Roman"/>
          <w:color w:val="auto"/>
          <w:spacing w:val="0"/>
        </w:rPr>
        <w:t>单项水质参数</w:t>
      </w:r>
      <w:r>
        <w:rPr>
          <w:rFonts w:cs="Times New Roman"/>
          <w:color w:val="auto"/>
          <w:spacing w:val="0"/>
        </w:rPr>
        <w:t>I</w:t>
      </w:r>
      <w:r>
        <w:rPr>
          <w:rFonts w:hint="eastAsia" w:cs="Times New Roman"/>
          <w:color w:val="auto"/>
          <w:spacing w:val="0"/>
        </w:rPr>
        <w:t>的标准指数</w:t>
      </w:r>
      <w:r>
        <w:rPr>
          <w:rFonts w:hint="eastAsia" w:cs="Times New Roman"/>
          <w:color w:val="auto"/>
          <w:spacing w:val="0"/>
          <w:lang w:val="en-US" w:eastAsia="zh-CN"/>
        </w:rPr>
        <w:t>P</w:t>
      </w:r>
      <w:r>
        <w:rPr>
          <w:rFonts w:cs="Times New Roman"/>
          <w:color w:val="auto"/>
          <w:spacing w:val="0"/>
          <w:vertAlign w:val="subscript"/>
        </w:rPr>
        <w:t>i</w:t>
      </w:r>
      <w:r>
        <w:rPr>
          <w:rFonts w:hint="eastAsia" w:cs="Times New Roman"/>
          <w:color w:val="auto"/>
          <w:spacing w:val="0"/>
        </w:rPr>
        <w:t>为：</w:t>
      </w:r>
    </w:p>
    <w:p w14:paraId="5DAE2BB3">
      <w:pPr>
        <w:widowControl/>
        <w:ind w:firstLine="0" w:firstLineChars="0"/>
        <w:jc w:val="center"/>
        <w:rPr>
          <w:rFonts w:cs="Times New Roman"/>
          <w:color w:val="auto"/>
          <w:spacing w:val="0"/>
        </w:rPr>
      </w:pPr>
      <w:r>
        <w:rPr>
          <w:rFonts w:cs="Times New Roman"/>
          <w:color w:val="auto"/>
          <w:spacing w:val="0"/>
          <w:position w:val="-18"/>
        </w:rPr>
        <w:object>
          <v:shape id="_x0000_i1026" o:spt="75" type="#_x0000_t75" style="height:21.95pt;width:45.45pt;" o:ole="t" filled="f" o:preferrelative="t" stroked="f" coordsize="21600,21600">
            <v:path/>
            <v:fill on="f" focussize="0,0"/>
            <v:stroke on="f"/>
            <v:imagedata r:id="rId36" o:title=""/>
            <o:lock v:ext="edit" aspectratio="t"/>
            <w10:wrap type="none"/>
            <w10:anchorlock/>
          </v:shape>
          <o:OLEObject Type="Embed" ProgID="Equation.3" ShapeID="_x0000_i1026" DrawAspect="Content" ObjectID="_1468075726" r:id="rId35">
            <o:LockedField>false</o:LockedField>
          </o:OLEObject>
        </w:object>
      </w:r>
    </w:p>
    <w:p w14:paraId="4CE6339D">
      <w:pPr>
        <w:widowControl/>
        <w:ind w:firstLine="480"/>
        <w:rPr>
          <w:rFonts w:cs="Times New Roman"/>
          <w:color w:val="auto"/>
          <w:spacing w:val="0"/>
        </w:rPr>
      </w:pPr>
      <w:r>
        <w:rPr>
          <w:rFonts w:hint="eastAsia" w:cs="Times New Roman"/>
          <w:color w:val="auto"/>
          <w:spacing w:val="0"/>
        </w:rPr>
        <w:t>式中：</w:t>
      </w:r>
      <w:r>
        <w:rPr>
          <w:rFonts w:cs="Times New Roman"/>
          <w:color w:val="auto"/>
          <w:spacing w:val="0"/>
        </w:rPr>
        <w:t>C</w:t>
      </w:r>
      <w:r>
        <w:rPr>
          <w:rFonts w:cs="Times New Roman"/>
          <w:color w:val="auto"/>
          <w:spacing w:val="0"/>
          <w:vertAlign w:val="subscript"/>
        </w:rPr>
        <w:t>i</w:t>
      </w:r>
      <w:r>
        <w:rPr>
          <w:rFonts w:cs="Times New Roman"/>
          <w:color w:val="auto"/>
          <w:spacing w:val="0"/>
        </w:rPr>
        <w:t>——i</w:t>
      </w:r>
      <w:r>
        <w:rPr>
          <w:rFonts w:hint="eastAsia" w:cs="Times New Roman"/>
          <w:color w:val="auto"/>
          <w:spacing w:val="0"/>
        </w:rPr>
        <w:t>污染物实测浓度，</w:t>
      </w:r>
      <w:r>
        <w:rPr>
          <w:rFonts w:cs="Times New Roman"/>
          <w:color w:val="auto"/>
          <w:spacing w:val="0"/>
        </w:rPr>
        <w:t>mg/L</w:t>
      </w:r>
      <w:r>
        <w:rPr>
          <w:rFonts w:hint="eastAsia" w:cs="Times New Roman"/>
          <w:color w:val="auto"/>
          <w:spacing w:val="0"/>
        </w:rPr>
        <w:t>；</w:t>
      </w:r>
    </w:p>
    <w:p w14:paraId="6A51C3E6">
      <w:pPr>
        <w:widowControl/>
        <w:ind w:firstLine="960" w:firstLineChars="400"/>
        <w:rPr>
          <w:rFonts w:cs="Times New Roman"/>
          <w:color w:val="auto"/>
          <w:spacing w:val="0"/>
        </w:rPr>
      </w:pPr>
      <w:r>
        <w:rPr>
          <w:rFonts w:cs="Times New Roman"/>
          <w:color w:val="auto"/>
          <w:spacing w:val="0"/>
        </w:rPr>
        <w:t>C</w:t>
      </w:r>
      <w:r>
        <w:rPr>
          <w:rFonts w:cs="Times New Roman"/>
          <w:color w:val="auto"/>
          <w:spacing w:val="0"/>
          <w:vertAlign w:val="subscript"/>
        </w:rPr>
        <w:t>s</w:t>
      </w:r>
      <w:r>
        <w:rPr>
          <w:rFonts w:cs="Times New Roman"/>
          <w:color w:val="auto"/>
          <w:spacing w:val="0"/>
        </w:rPr>
        <w:t>——i</w:t>
      </w:r>
      <w:r>
        <w:rPr>
          <w:rFonts w:hint="eastAsia" w:cs="Times New Roman"/>
          <w:color w:val="auto"/>
          <w:spacing w:val="0"/>
        </w:rPr>
        <w:t>污染物评价标准，</w:t>
      </w:r>
      <w:r>
        <w:rPr>
          <w:rFonts w:cs="Times New Roman"/>
          <w:color w:val="auto"/>
          <w:spacing w:val="0"/>
        </w:rPr>
        <w:t>mg/L</w:t>
      </w:r>
      <w:r>
        <w:rPr>
          <w:rFonts w:hint="eastAsia" w:cs="Times New Roman"/>
          <w:color w:val="auto"/>
          <w:spacing w:val="0"/>
        </w:rPr>
        <w:t>。</w:t>
      </w:r>
    </w:p>
    <w:p w14:paraId="65439DAC">
      <w:pPr>
        <w:widowControl/>
        <w:ind w:firstLine="480"/>
        <w:rPr>
          <w:rFonts w:cs="Times New Roman"/>
          <w:color w:val="auto"/>
          <w:spacing w:val="0"/>
        </w:rPr>
      </w:pPr>
      <w:r>
        <w:rPr>
          <w:rFonts w:hint="eastAsia" w:ascii="宋体" w:hAnsi="宋体"/>
          <w:color w:val="auto"/>
          <w:spacing w:val="0"/>
        </w:rPr>
        <w:t>②</w:t>
      </w:r>
      <w:r>
        <w:rPr>
          <w:rFonts w:cs="Times New Roman"/>
          <w:color w:val="auto"/>
          <w:spacing w:val="0"/>
        </w:rPr>
        <w:t>pH</w:t>
      </w:r>
      <w:r>
        <w:rPr>
          <w:rFonts w:hint="eastAsia" w:cs="Times New Roman"/>
          <w:color w:val="auto"/>
          <w:spacing w:val="0"/>
        </w:rPr>
        <w:t>的标准指数为：</w:t>
      </w:r>
    </w:p>
    <w:p w14:paraId="7B21F951">
      <w:pPr>
        <w:spacing w:line="240" w:lineRule="auto"/>
        <w:ind w:firstLine="480"/>
        <w:jc w:val="center"/>
        <w:rPr>
          <w:color w:val="auto"/>
        </w:rPr>
      </w:pPr>
      <w:r>
        <w:rPr>
          <w:color w:val="auto"/>
          <w:position w:val="-30"/>
        </w:rPr>
        <w:object>
          <v:shape id="_x0000_i1027" o:spt="75" type="#_x0000_t75" style="height:38.25pt;width:95.1pt;" o:ole="t" filled="f" o:preferrelative="t" stroked="f" coordsize="21600,21600">
            <v:path/>
            <v:fill on="f" focussize="0,0"/>
            <v:stroke on="f"/>
            <v:imagedata r:id="rId38" o:title=""/>
            <o:lock v:ext="edit" aspectratio="t"/>
            <w10:wrap type="none"/>
            <w10:anchorlock/>
          </v:shape>
          <o:OLEObject Type="Embed" ProgID="Equation.3" ShapeID="_x0000_i1027" DrawAspect="Content" ObjectID="_1468075727" r:id="rId37">
            <o:LockedField>false</o:LockedField>
          </o:OLEObject>
        </w:object>
      </w:r>
      <w:r>
        <w:rPr>
          <w:rFonts w:hint="eastAsia"/>
          <w:color w:val="auto"/>
        </w:rPr>
        <w:t>（当</w:t>
      </w:r>
      <w:r>
        <w:rPr>
          <w:color w:val="auto"/>
        </w:rPr>
        <w:t>pHj≤7.0</w:t>
      </w:r>
      <w:r>
        <w:rPr>
          <w:rFonts w:hint="eastAsia"/>
          <w:color w:val="auto"/>
        </w:rPr>
        <w:t>时）；</w:t>
      </w:r>
    </w:p>
    <w:p w14:paraId="4755A78D">
      <w:pPr>
        <w:spacing w:line="240" w:lineRule="auto"/>
        <w:ind w:firstLine="480"/>
        <w:jc w:val="center"/>
        <w:rPr>
          <w:color w:val="auto"/>
        </w:rPr>
      </w:pPr>
      <w:r>
        <w:rPr>
          <w:color w:val="auto"/>
          <w:position w:val="-30"/>
        </w:rPr>
        <w:object>
          <v:shape id="_x0000_i1028" o:spt="75" type="#_x0000_t75" style="height:38.25pt;width:93.9pt;" o:ole="t" filled="f" o:preferrelative="t" stroked="f" coordsize="21600,21600">
            <v:path/>
            <v:fill on="f" focussize="0,0"/>
            <v:stroke on="f"/>
            <v:imagedata r:id="rId40" o:title=""/>
            <o:lock v:ext="edit" aspectratio="t"/>
            <w10:wrap type="none"/>
            <w10:anchorlock/>
          </v:shape>
          <o:OLEObject Type="Embed" ProgID="Equation.3" ShapeID="_x0000_i1028" DrawAspect="Content" ObjectID="_1468075728" r:id="rId39">
            <o:LockedField>false</o:LockedField>
          </o:OLEObject>
        </w:object>
      </w:r>
      <w:r>
        <w:rPr>
          <w:rFonts w:hint="eastAsia"/>
          <w:color w:val="auto"/>
        </w:rPr>
        <w:t>（当</w:t>
      </w:r>
      <w:r>
        <w:rPr>
          <w:color w:val="auto"/>
        </w:rPr>
        <w:t>pHj&gt;7.0</w:t>
      </w:r>
      <w:r>
        <w:rPr>
          <w:rFonts w:hint="eastAsia"/>
          <w:color w:val="auto"/>
        </w:rPr>
        <w:t>时）；</w:t>
      </w:r>
    </w:p>
    <w:p w14:paraId="457F67F7">
      <w:pPr>
        <w:ind w:firstLine="472"/>
        <w:rPr>
          <w:color w:val="auto"/>
        </w:rPr>
      </w:pPr>
      <w:r>
        <w:rPr>
          <w:rFonts w:hint="eastAsia"/>
          <w:color w:val="auto"/>
        </w:rPr>
        <w:t>式中：</w:t>
      </w:r>
      <w:r>
        <w:rPr>
          <w:rFonts w:hint="eastAsia"/>
          <w:color w:val="auto"/>
          <w:lang w:val="en-US" w:eastAsia="zh-CN"/>
        </w:rPr>
        <w:t>P</w:t>
      </w:r>
      <w:r>
        <w:rPr>
          <w:i/>
          <w:color w:val="auto"/>
          <w:vertAlign w:val="subscript"/>
        </w:rPr>
        <w:t>PH</w:t>
      </w:r>
      <w:r>
        <w:rPr>
          <w:color w:val="auto"/>
        </w:rPr>
        <w:t>—</w:t>
      </w:r>
      <w:r>
        <w:rPr>
          <w:i/>
          <w:color w:val="auto"/>
        </w:rPr>
        <w:t>pH</w:t>
      </w:r>
      <w:r>
        <w:rPr>
          <w:rFonts w:hint="eastAsia"/>
          <w:color w:val="auto"/>
        </w:rPr>
        <w:t>值的</w:t>
      </w:r>
      <w:r>
        <w:rPr>
          <w:rFonts w:hint="eastAsia"/>
          <w:color w:val="auto"/>
          <w:lang w:val="en-US" w:eastAsia="zh-CN"/>
        </w:rPr>
        <w:t>标准</w:t>
      </w:r>
      <w:r>
        <w:rPr>
          <w:rFonts w:hint="eastAsia"/>
          <w:color w:val="auto"/>
        </w:rPr>
        <w:t>指数；</w:t>
      </w:r>
    </w:p>
    <w:p w14:paraId="4EC1750F">
      <w:pPr>
        <w:ind w:firstLine="472"/>
        <w:rPr>
          <w:color w:val="auto"/>
        </w:rPr>
      </w:pPr>
      <w:r>
        <w:rPr>
          <w:i/>
          <w:color w:val="auto"/>
        </w:rPr>
        <w:t>PH</w:t>
      </w:r>
      <w:r>
        <w:rPr>
          <w:i/>
          <w:color w:val="auto"/>
          <w:vertAlign w:val="subscript"/>
        </w:rPr>
        <w:t>j</w:t>
      </w:r>
      <w:r>
        <w:rPr>
          <w:color w:val="auto"/>
        </w:rPr>
        <w:t>—</w:t>
      </w:r>
      <w:r>
        <w:rPr>
          <w:i/>
          <w:color w:val="auto"/>
        </w:rPr>
        <w:t>pH</w:t>
      </w:r>
      <w:r>
        <w:rPr>
          <w:rFonts w:hint="eastAsia"/>
          <w:color w:val="auto"/>
        </w:rPr>
        <w:t>实测值；</w:t>
      </w:r>
    </w:p>
    <w:p w14:paraId="25FE37E4">
      <w:pPr>
        <w:ind w:firstLine="472"/>
        <w:rPr>
          <w:color w:val="auto"/>
        </w:rPr>
      </w:pPr>
      <w:r>
        <w:rPr>
          <w:i/>
          <w:color w:val="auto"/>
        </w:rPr>
        <w:t>PH</w:t>
      </w:r>
      <w:r>
        <w:rPr>
          <w:i/>
          <w:color w:val="auto"/>
          <w:vertAlign w:val="subscript"/>
        </w:rPr>
        <w:t>Sd</w:t>
      </w:r>
      <w:r>
        <w:rPr>
          <w:color w:val="auto"/>
        </w:rPr>
        <w:t>—</w:t>
      </w:r>
      <w:r>
        <w:rPr>
          <w:i/>
          <w:color w:val="auto"/>
        </w:rPr>
        <w:t>pH</w:t>
      </w:r>
      <w:r>
        <w:rPr>
          <w:rFonts w:hint="eastAsia"/>
          <w:color w:val="auto"/>
        </w:rPr>
        <w:t>值评价标准的下限值；</w:t>
      </w:r>
    </w:p>
    <w:p w14:paraId="3E8A4C15">
      <w:pPr>
        <w:ind w:firstLine="472"/>
        <w:jc w:val="left"/>
        <w:rPr>
          <w:color w:val="auto"/>
        </w:rPr>
      </w:pPr>
      <w:r>
        <w:rPr>
          <w:i/>
          <w:color w:val="auto"/>
        </w:rPr>
        <w:t>PH</w:t>
      </w:r>
      <w:r>
        <w:rPr>
          <w:i/>
          <w:color w:val="auto"/>
          <w:vertAlign w:val="subscript"/>
        </w:rPr>
        <w:t>Su</w:t>
      </w:r>
      <w:r>
        <w:rPr>
          <w:color w:val="auto"/>
        </w:rPr>
        <w:t>—</w:t>
      </w:r>
      <w:r>
        <w:rPr>
          <w:i/>
          <w:color w:val="auto"/>
        </w:rPr>
        <w:t>pH</w:t>
      </w:r>
      <w:r>
        <w:rPr>
          <w:rFonts w:hint="eastAsia"/>
          <w:color w:val="auto"/>
        </w:rPr>
        <w:t>值评价标准的上限值</w:t>
      </w:r>
    </w:p>
    <w:p w14:paraId="38115ED8">
      <w:pPr>
        <w:bidi w:val="0"/>
        <w:rPr>
          <w:color w:val="auto"/>
        </w:rPr>
      </w:pPr>
      <w:r>
        <w:rPr>
          <w:rFonts w:hint="eastAsia"/>
          <w:color w:val="auto"/>
        </w:rPr>
        <w:t>③溶解氧（</w:t>
      </w:r>
      <w:r>
        <w:rPr>
          <w:color w:val="auto"/>
        </w:rPr>
        <w:t>DO</w:t>
      </w:r>
      <w:r>
        <w:rPr>
          <w:rFonts w:hint="eastAsia"/>
          <w:color w:val="auto"/>
        </w:rPr>
        <w:t>）的标准指数为：</w:t>
      </w:r>
    </w:p>
    <w:p w14:paraId="2A5AF67D">
      <w:pPr>
        <w:ind w:firstLine="480"/>
        <w:jc w:val="center"/>
        <w:rPr>
          <w:rFonts w:cs="Times New Roman"/>
          <w:color w:val="auto"/>
          <w:position w:val="-14"/>
          <w:szCs w:val="24"/>
        </w:rPr>
      </w:pPr>
      <w:r>
        <w:rPr>
          <w:rFonts w:cs="Times New Roman"/>
          <w:color w:val="auto"/>
          <w:position w:val="-32"/>
          <w:szCs w:val="24"/>
        </w:rPr>
        <w:object>
          <v:shape id="_x0000_i1029" o:spt="75" type="#_x0000_t75" style="height:38.25pt;width:66.75pt;" o:ole="t" filled="f" o:preferrelative="t" stroked="f" coordsize="21600,21600">
            <v:path/>
            <v:fill on="f" focussize="0,0"/>
            <v:stroke on="f" joinstyle="miter"/>
            <v:imagedata r:id="rId42" o:title=""/>
            <o:lock v:ext="edit" aspectratio="t"/>
            <w10:wrap type="none"/>
            <w10:anchorlock/>
          </v:shape>
          <o:OLEObject Type="Embed" ProgID="Equation.3" ShapeID="_x0000_i1029" DrawAspect="Content" ObjectID="_1468075729" r:id="rId41">
            <o:LockedField>false</o:LockedField>
          </o:OLEObject>
        </w:object>
      </w:r>
      <w:r>
        <w:rPr>
          <w:rFonts w:cs="Times New Roman"/>
          <w:color w:val="auto"/>
          <w:position w:val="-14"/>
          <w:szCs w:val="24"/>
        </w:rPr>
        <w:object>
          <v:shape id="_x0000_i1030" o:spt="75" type="#_x0000_t75" style="height:18.75pt;width:60.75pt;" o:ole="t" filled="f" o:preferrelative="t" stroked="f" coordsize="21600,21600">
            <v:path/>
            <v:fill on="f" focussize="0,0"/>
            <v:stroke on="f" joinstyle="miter"/>
            <v:imagedata r:id="rId44" o:title=""/>
            <o:lock v:ext="edit" aspectratio="t"/>
            <w10:wrap type="none"/>
            <w10:anchorlock/>
          </v:shape>
          <o:OLEObject Type="Embed" ProgID="Equation.3" ShapeID="_x0000_i1030" DrawAspect="Content" ObjectID="_1468075730" r:id="rId43">
            <o:LockedField>false</o:LockedField>
          </o:OLEObject>
        </w:object>
      </w:r>
    </w:p>
    <w:p w14:paraId="37818040">
      <w:pPr>
        <w:ind w:firstLine="480"/>
        <w:jc w:val="center"/>
        <w:rPr>
          <w:rFonts w:cs="Times New Roman"/>
          <w:color w:val="auto"/>
          <w:position w:val="-14"/>
          <w:szCs w:val="24"/>
        </w:rPr>
      </w:pPr>
      <w:r>
        <w:rPr>
          <w:rFonts w:cs="Times New Roman"/>
          <w:color w:val="auto"/>
          <w:position w:val="-30"/>
          <w:szCs w:val="24"/>
        </w:rPr>
        <w:object>
          <v:shape id="_x0000_i1031" o:spt="75" type="#_x0000_t75" style="height:42pt;width:102pt;" o:ole="t" filled="f" o:preferrelative="t" stroked="f" coordsize="21600,21600">
            <v:path/>
            <v:fill on="f" focussize="0,0"/>
            <v:stroke on="f" joinstyle="miter"/>
            <v:imagedata r:id="rId46" o:title=""/>
            <o:lock v:ext="edit" aspectratio="t"/>
            <w10:wrap type="none"/>
            <w10:anchorlock/>
          </v:shape>
          <o:OLEObject Type="Embed" ProgID="Equation.3" ShapeID="_x0000_i1031" DrawAspect="Content" ObjectID="_1468075731" r:id="rId45">
            <o:LockedField>false</o:LockedField>
          </o:OLEObject>
        </w:object>
      </w:r>
      <w:r>
        <w:rPr>
          <w:rFonts w:cs="Times New Roman"/>
          <w:color w:val="auto"/>
          <w:position w:val="-14"/>
          <w:szCs w:val="24"/>
        </w:rPr>
        <w:object>
          <v:shape id="_x0000_i1032" o:spt="75" type="#_x0000_t75" style="height:18.75pt;width:60.75pt;" o:ole="t" filled="f" o:preferrelative="t" stroked="f" coordsize="21600,21600">
            <v:path/>
            <v:fill on="f" focussize="0,0"/>
            <v:stroke on="f" joinstyle="miter"/>
            <v:imagedata r:id="rId48" o:title=""/>
            <o:lock v:ext="edit" aspectratio="t"/>
            <w10:wrap type="none"/>
            <w10:anchorlock/>
          </v:shape>
          <o:OLEObject Type="Embed" ProgID="Equation.3" ShapeID="_x0000_i1032" DrawAspect="Content" ObjectID="_1468075732" r:id="rId47">
            <o:LockedField>false</o:LockedField>
          </o:OLEObject>
        </w:object>
      </w:r>
    </w:p>
    <w:p w14:paraId="46991666">
      <w:pPr>
        <w:widowControl/>
        <w:ind w:firstLine="472"/>
        <w:jc w:val="left"/>
        <w:rPr>
          <w:rFonts w:cs="Times New Roman"/>
          <w:color w:val="auto"/>
        </w:rPr>
      </w:pPr>
      <w:r>
        <w:rPr>
          <w:rFonts w:hint="eastAsia" w:ascii="宋体" w:hAnsi="宋体" w:cs="Times New Roman"/>
          <w:color w:val="auto"/>
        </w:rPr>
        <w:t>式中：</w:t>
      </w:r>
      <w:r>
        <w:rPr>
          <w:rFonts w:cs="Times New Roman"/>
          <w:color w:val="auto"/>
        </w:rPr>
        <w:t>S</w:t>
      </w:r>
      <w:r>
        <w:rPr>
          <w:rFonts w:cs="Times New Roman"/>
          <w:color w:val="auto"/>
          <w:vertAlign w:val="subscript"/>
        </w:rPr>
        <w:t>DO</w:t>
      </w:r>
      <w:r>
        <w:rPr>
          <w:rFonts w:hint="eastAsia" w:cs="Times New Roman"/>
          <w:color w:val="auto"/>
          <w:vertAlign w:val="subscript"/>
          <w:lang w:eastAsia="zh-CN"/>
        </w:rPr>
        <w:t>，</w:t>
      </w:r>
      <w:r>
        <w:rPr>
          <w:rFonts w:cs="Times New Roman"/>
          <w:color w:val="auto"/>
          <w:vertAlign w:val="subscript"/>
        </w:rPr>
        <w:t>j</w:t>
      </w:r>
      <w:r>
        <w:rPr>
          <w:rFonts w:cs="Times New Roman"/>
          <w:color w:val="auto"/>
        </w:rPr>
        <w:t>——</w:t>
      </w:r>
      <w:r>
        <w:rPr>
          <w:rFonts w:hint="eastAsia" w:ascii="宋体" w:hAnsi="宋体" w:cs="Times New Roman"/>
          <w:color w:val="auto"/>
        </w:rPr>
        <w:t>单项水质参数</w:t>
      </w:r>
      <w:r>
        <w:rPr>
          <w:rFonts w:cs="Times New Roman"/>
          <w:color w:val="auto"/>
        </w:rPr>
        <w:t>DO</w:t>
      </w:r>
      <w:r>
        <w:rPr>
          <w:rFonts w:hint="eastAsia" w:ascii="宋体" w:hAnsi="宋体" w:cs="Times New Roman"/>
          <w:color w:val="auto"/>
        </w:rPr>
        <w:t>在第</w:t>
      </w:r>
      <w:r>
        <w:rPr>
          <w:rFonts w:cs="Times New Roman"/>
          <w:color w:val="auto"/>
        </w:rPr>
        <w:t>j</w:t>
      </w:r>
      <w:r>
        <w:rPr>
          <w:rFonts w:hint="eastAsia" w:ascii="宋体" w:hAnsi="宋体" w:cs="Times New Roman"/>
          <w:color w:val="auto"/>
        </w:rPr>
        <w:t>点的标准指数；</w:t>
      </w:r>
    </w:p>
    <w:p w14:paraId="185B5D05">
      <w:pPr>
        <w:widowControl/>
        <w:ind w:firstLine="1200" w:firstLineChars="500"/>
        <w:jc w:val="left"/>
        <w:rPr>
          <w:rFonts w:cs="Times New Roman"/>
          <w:color w:val="auto"/>
        </w:rPr>
      </w:pPr>
      <w:r>
        <w:rPr>
          <w:rFonts w:cs="Times New Roman"/>
          <w:color w:val="auto"/>
        </w:rPr>
        <w:t>DO</w:t>
      </w:r>
      <w:r>
        <w:rPr>
          <w:rFonts w:cs="Times New Roman"/>
          <w:color w:val="auto"/>
          <w:vertAlign w:val="subscript"/>
        </w:rPr>
        <w:t>j</w:t>
      </w:r>
      <w:r>
        <w:rPr>
          <w:rFonts w:cs="Times New Roman"/>
          <w:color w:val="auto"/>
        </w:rPr>
        <w:t>——</w:t>
      </w:r>
      <w:r>
        <w:rPr>
          <w:rFonts w:hint="eastAsia" w:ascii="宋体" w:hAnsi="宋体" w:cs="Times New Roman"/>
          <w:color w:val="auto"/>
        </w:rPr>
        <w:t>水质参数</w:t>
      </w:r>
      <w:r>
        <w:rPr>
          <w:rFonts w:cs="Times New Roman"/>
          <w:color w:val="auto"/>
        </w:rPr>
        <w:t>DO</w:t>
      </w:r>
      <w:r>
        <w:rPr>
          <w:rFonts w:hint="eastAsia" w:ascii="宋体" w:hAnsi="宋体" w:cs="Times New Roman"/>
          <w:color w:val="auto"/>
        </w:rPr>
        <w:t>在第</w:t>
      </w:r>
      <w:r>
        <w:rPr>
          <w:rFonts w:cs="Times New Roman"/>
          <w:color w:val="auto"/>
        </w:rPr>
        <w:t>j</w:t>
      </w:r>
      <w:r>
        <w:rPr>
          <w:rFonts w:hint="eastAsia" w:ascii="宋体" w:hAnsi="宋体" w:cs="Times New Roman"/>
          <w:color w:val="auto"/>
        </w:rPr>
        <w:t>点的浓度（</w:t>
      </w:r>
      <w:r>
        <w:rPr>
          <w:rFonts w:cs="Times New Roman"/>
          <w:color w:val="auto"/>
        </w:rPr>
        <w:t>mg/L</w:t>
      </w:r>
      <w:r>
        <w:rPr>
          <w:rFonts w:hint="eastAsia" w:ascii="宋体" w:hAnsi="宋体" w:cs="Times New Roman"/>
          <w:color w:val="auto"/>
        </w:rPr>
        <w:t>）；</w:t>
      </w:r>
    </w:p>
    <w:p w14:paraId="416CD07B">
      <w:pPr>
        <w:widowControl/>
        <w:ind w:firstLine="1200" w:firstLineChars="500"/>
        <w:jc w:val="left"/>
        <w:rPr>
          <w:rFonts w:cs="Times New Roman"/>
          <w:color w:val="auto"/>
        </w:rPr>
      </w:pPr>
      <w:r>
        <w:rPr>
          <w:rFonts w:cs="Times New Roman"/>
          <w:color w:val="auto"/>
        </w:rPr>
        <w:t>DO</w:t>
      </w:r>
      <w:r>
        <w:rPr>
          <w:rFonts w:cs="Times New Roman"/>
          <w:color w:val="auto"/>
          <w:vertAlign w:val="subscript"/>
        </w:rPr>
        <w:t>f</w:t>
      </w:r>
      <w:r>
        <w:rPr>
          <w:rFonts w:cs="Times New Roman"/>
          <w:color w:val="auto"/>
        </w:rPr>
        <w:t>——</w:t>
      </w:r>
      <w:r>
        <w:rPr>
          <w:rFonts w:hint="eastAsia" w:ascii="宋体" w:hAnsi="宋体" w:cs="Times New Roman"/>
          <w:color w:val="auto"/>
        </w:rPr>
        <w:t>饱和溶解氧浓度（</w:t>
      </w:r>
      <w:r>
        <w:rPr>
          <w:rFonts w:cs="Times New Roman"/>
          <w:color w:val="auto"/>
        </w:rPr>
        <w:t>mg/L</w:t>
      </w:r>
      <w:r>
        <w:rPr>
          <w:rFonts w:hint="eastAsia" w:ascii="宋体" w:hAnsi="宋体" w:cs="Times New Roman"/>
          <w:color w:val="auto"/>
        </w:rPr>
        <w:t>）；</w:t>
      </w:r>
    </w:p>
    <w:p w14:paraId="7DF42F26">
      <w:pPr>
        <w:widowControl/>
        <w:ind w:firstLine="1200" w:firstLineChars="500"/>
        <w:jc w:val="left"/>
        <w:rPr>
          <w:rFonts w:cs="Times New Roman"/>
          <w:color w:val="auto"/>
        </w:rPr>
      </w:pPr>
      <w:r>
        <w:rPr>
          <w:rFonts w:cs="Times New Roman"/>
          <w:color w:val="auto"/>
        </w:rPr>
        <w:t>DO</w:t>
      </w:r>
      <w:r>
        <w:rPr>
          <w:rFonts w:cs="Times New Roman"/>
          <w:color w:val="auto"/>
          <w:vertAlign w:val="subscript"/>
        </w:rPr>
        <w:t>S</w:t>
      </w:r>
      <w:r>
        <w:rPr>
          <w:rFonts w:cs="Times New Roman"/>
          <w:color w:val="auto"/>
        </w:rPr>
        <w:t>——</w:t>
      </w:r>
      <w:r>
        <w:rPr>
          <w:rFonts w:hint="eastAsia" w:ascii="宋体" w:hAnsi="宋体" w:cs="Times New Roman"/>
          <w:color w:val="auto"/>
        </w:rPr>
        <w:t>溶解氧的地面水水质标准（</w:t>
      </w:r>
      <w:r>
        <w:rPr>
          <w:rFonts w:cs="Times New Roman"/>
          <w:color w:val="auto"/>
        </w:rPr>
        <w:t>mg/L</w:t>
      </w:r>
      <w:r>
        <w:rPr>
          <w:rFonts w:hint="eastAsia" w:ascii="宋体" w:hAnsi="宋体" w:cs="Times New Roman"/>
          <w:color w:val="auto"/>
        </w:rPr>
        <w:t>）；</w:t>
      </w:r>
    </w:p>
    <w:p w14:paraId="44A81770">
      <w:pPr>
        <w:widowControl/>
        <w:ind w:firstLine="1200" w:firstLineChars="500"/>
        <w:jc w:val="left"/>
        <w:rPr>
          <w:rFonts w:ascii="宋体" w:hAnsi="宋体" w:cs="Times New Roman"/>
          <w:color w:val="auto"/>
        </w:rPr>
      </w:pPr>
      <w:r>
        <w:rPr>
          <w:rFonts w:cs="Times New Roman"/>
          <w:color w:val="auto"/>
        </w:rPr>
        <w:t>S——</w:t>
      </w:r>
      <w:r>
        <w:rPr>
          <w:rFonts w:hint="eastAsia" w:ascii="宋体" w:hAnsi="宋体" w:cs="Times New Roman"/>
          <w:color w:val="auto"/>
        </w:rPr>
        <w:t>实用盐度符号，量纲为</w:t>
      </w:r>
      <w:r>
        <w:rPr>
          <w:rFonts w:cs="Times New Roman"/>
          <w:color w:val="auto"/>
        </w:rPr>
        <w:t>1</w:t>
      </w:r>
      <w:r>
        <w:rPr>
          <w:rFonts w:hint="eastAsia" w:ascii="宋体" w:hAnsi="宋体" w:cs="Times New Roman"/>
          <w:color w:val="auto"/>
        </w:rPr>
        <w:t>；</w:t>
      </w:r>
    </w:p>
    <w:p w14:paraId="66B39C52">
      <w:pPr>
        <w:widowControl/>
        <w:ind w:firstLine="1200" w:firstLineChars="500"/>
        <w:jc w:val="left"/>
        <w:rPr>
          <w:color w:val="auto"/>
        </w:rPr>
      </w:pPr>
      <w:r>
        <w:rPr>
          <w:rFonts w:cs="Times New Roman"/>
          <w:color w:val="auto"/>
        </w:rPr>
        <w:t>T——</w:t>
      </w:r>
      <w:r>
        <w:rPr>
          <w:rFonts w:hint="eastAsia" w:ascii="宋体" w:hAnsi="宋体" w:cs="Times New Roman"/>
          <w:color w:val="auto"/>
        </w:rPr>
        <w:t>水温，</w:t>
      </w:r>
      <w:r>
        <w:rPr>
          <w:rFonts w:hint="eastAsia" w:cs="Times New Roman"/>
          <w:color w:val="auto"/>
        </w:rPr>
        <w:t>℃</w:t>
      </w:r>
      <w:r>
        <w:rPr>
          <w:rFonts w:hint="eastAsia" w:ascii="宋体" w:hAnsi="宋体" w:cs="Times New Roman"/>
          <w:color w:val="auto"/>
        </w:rPr>
        <w:t>；</w:t>
      </w:r>
    </w:p>
    <w:p w14:paraId="79D32812">
      <w:pPr>
        <w:widowControl/>
        <w:ind w:firstLine="480"/>
        <w:rPr>
          <w:rFonts w:cs="Times New Roman"/>
          <w:color w:val="auto"/>
          <w:spacing w:val="0"/>
        </w:rPr>
      </w:pPr>
      <w:r>
        <w:rPr>
          <w:rFonts w:hint="eastAsia" w:cs="Times New Roman"/>
          <w:color w:val="auto"/>
          <w:spacing w:val="0"/>
        </w:rPr>
        <w:t>（</w:t>
      </w:r>
      <w:r>
        <w:rPr>
          <w:rFonts w:cs="Times New Roman"/>
          <w:color w:val="auto"/>
          <w:spacing w:val="0"/>
        </w:rPr>
        <w:t>2</w:t>
      </w:r>
      <w:r>
        <w:rPr>
          <w:rFonts w:hint="eastAsia" w:cs="Times New Roman"/>
          <w:color w:val="auto"/>
          <w:spacing w:val="0"/>
        </w:rPr>
        <w:t>）评价标准</w:t>
      </w:r>
    </w:p>
    <w:p w14:paraId="2E657B6A">
      <w:pPr>
        <w:bidi w:val="0"/>
        <w:rPr>
          <w:rFonts w:hint="eastAsia"/>
          <w:color w:val="auto"/>
          <w:lang w:val="zh-CN" w:eastAsia="zh-CN"/>
        </w:rPr>
      </w:pPr>
      <w:r>
        <w:rPr>
          <w:rFonts w:hint="eastAsia" w:ascii="Times New Roman" w:hAnsi="Times New Roman"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水质均执行</w:t>
      </w:r>
      <w:r>
        <w:rPr>
          <w:rFonts w:ascii="Times New Roman" w:hAnsi="Times New Roman"/>
          <w:color w:val="auto"/>
          <w:sz w:val="24"/>
        </w:rPr>
        <w:t>《地下水质量标准》</w:t>
      </w:r>
      <w:r>
        <w:rPr>
          <w:rFonts w:hint="eastAsia"/>
          <w:color w:val="auto"/>
          <w:sz w:val="24"/>
          <w:lang w:eastAsia="zh-CN"/>
        </w:rPr>
        <w:t>（</w:t>
      </w:r>
      <w:r>
        <w:rPr>
          <w:rFonts w:ascii="Times New Roman" w:hAnsi="Times New Roman"/>
          <w:color w:val="auto"/>
          <w:sz w:val="24"/>
        </w:rPr>
        <w:t>GB14848-2017</w:t>
      </w:r>
      <w:r>
        <w:rPr>
          <w:rFonts w:hint="eastAsia"/>
          <w:color w:val="auto"/>
          <w:sz w:val="24"/>
          <w:lang w:eastAsia="zh-CN"/>
        </w:rPr>
        <w:t>）</w:t>
      </w:r>
      <w:r>
        <w:rPr>
          <w:rFonts w:hint="default" w:ascii="Times New Roman" w:hAnsi="Times New Roman" w:eastAsia="宋体" w:cs="Times New Roman"/>
          <w:color w:val="auto"/>
          <w:sz w:val="24"/>
          <w:szCs w:val="24"/>
          <w:highlight w:val="none"/>
        </w:rPr>
        <w:t>中</w:t>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3 \* ROMAN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cs="Times New Roman"/>
          <w:color w:val="auto"/>
          <w:highlight w:val="none"/>
        </w:rPr>
        <w:t>III</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类标准。</w:t>
      </w:r>
    </w:p>
    <w:p w14:paraId="525CB69C">
      <w:pPr>
        <w:spacing w:after="0" w:line="360" w:lineRule="auto"/>
        <w:ind w:left="0" w:leftChars="0" w:right="0" w:rightChars="0" w:firstLine="480" w:firstLineChars="200"/>
        <w:jc w:val="both"/>
        <w:rPr>
          <w:rFonts w:hint="default" w:ascii="Times New Roman" w:hAnsi="Times New Roman" w:eastAsia="宋体" w:cs="Times New Roman"/>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46FE7F5A">
      <w:pPr>
        <w:spacing w:after="0" w:line="360" w:lineRule="auto"/>
        <w:ind w:left="0" w:leftChars="0" w:right="0" w:rightChars="0" w:firstLine="48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（3）评价结果</w:t>
      </w:r>
    </w:p>
    <w:p w14:paraId="63010544">
      <w:pPr>
        <w:spacing w:after="0" w:line="360" w:lineRule="auto"/>
        <w:ind w:left="0" w:leftChars="0" w:right="0" w:rightChars="0" w:firstLine="480" w:firstLineChars="200"/>
        <w:jc w:val="both"/>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本项目地下水环境质量监测结果及达标情况见下表</w:t>
      </w:r>
      <w:r>
        <w:rPr>
          <w:rFonts w:hint="default" w:ascii="Times New Roman" w:hAnsi="Times New Roman" w:eastAsia="宋体" w:cs="Times New Roman"/>
          <w:color w:val="auto"/>
          <w:sz w:val="24"/>
          <w:szCs w:val="24"/>
          <w:highlight w:val="none"/>
        </w:rPr>
        <w:t>。</w:t>
      </w:r>
    </w:p>
    <w:p w14:paraId="784B3400">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10</w:t>
      </w:r>
      <w:r>
        <w:rPr>
          <w:color w:val="auto"/>
        </w:rPr>
        <w:fldChar w:fldCharType="end"/>
      </w:r>
      <w:r>
        <w:rPr>
          <w:rFonts w:hint="eastAsia"/>
          <w:color w:val="auto"/>
          <w:lang w:val="en-US" w:eastAsia="zh-CN"/>
        </w:rPr>
        <w:t>地下水监测结果及评价结果表</w:t>
      </w:r>
    </w:p>
    <w:tbl>
      <w:tblPr>
        <w:tblStyle w:val="24"/>
        <w:tblW w:w="141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38"/>
        <w:gridCol w:w="1139"/>
        <w:gridCol w:w="1061"/>
        <w:gridCol w:w="843"/>
        <w:gridCol w:w="920"/>
        <w:gridCol w:w="1061"/>
        <w:gridCol w:w="843"/>
        <w:gridCol w:w="920"/>
        <w:gridCol w:w="1061"/>
        <w:gridCol w:w="843"/>
        <w:gridCol w:w="920"/>
        <w:gridCol w:w="1061"/>
        <w:gridCol w:w="843"/>
        <w:gridCol w:w="921"/>
      </w:tblGrid>
      <w:tr w14:paraId="70930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2E410">
            <w:pPr>
              <w:pStyle w:val="31"/>
              <w:bidi w:val="0"/>
              <w:jc w:val="center"/>
              <w:rPr>
                <w:rFonts w:hint="eastAsia"/>
                <w:color w:val="auto"/>
              </w:rPr>
            </w:pPr>
            <w:r>
              <w:rPr>
                <w:rFonts w:hint="eastAsia"/>
                <w:color w:val="auto"/>
                <w:lang w:val="en-US" w:eastAsia="zh-CN"/>
              </w:rPr>
              <w:t>检测项目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970B9">
            <w:pPr>
              <w:pStyle w:val="31"/>
              <w:bidi w:val="0"/>
              <w:jc w:val="center"/>
              <w:rPr>
                <w:rFonts w:hint="eastAsia"/>
                <w:color w:val="auto"/>
              </w:rPr>
            </w:pPr>
            <w:r>
              <w:rPr>
                <w:rFonts w:hint="eastAsia"/>
                <w:color w:val="auto"/>
                <w:lang w:val="en-US" w:eastAsia="zh-CN"/>
              </w:rPr>
              <w:t>评价标准</w:t>
            </w:r>
          </w:p>
        </w:tc>
        <w:tc>
          <w:tcPr>
            <w:tcW w:w="32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2FB3BD">
            <w:pPr>
              <w:pStyle w:val="31"/>
              <w:bidi w:val="0"/>
              <w:jc w:val="center"/>
              <w:rPr>
                <w:rFonts w:hint="default"/>
                <w:color w:val="auto"/>
              </w:rPr>
            </w:pPr>
            <w:r>
              <w:rPr>
                <w:rFonts w:hint="default"/>
                <w:color w:val="auto"/>
                <w:lang w:val="en-US" w:eastAsia="zh-CN"/>
              </w:rPr>
              <w:t>D1</w:t>
            </w:r>
          </w:p>
        </w:tc>
        <w:tc>
          <w:tcPr>
            <w:tcW w:w="32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DE50E7">
            <w:pPr>
              <w:pStyle w:val="31"/>
              <w:bidi w:val="0"/>
              <w:jc w:val="center"/>
              <w:rPr>
                <w:rFonts w:hint="default"/>
                <w:color w:val="auto"/>
              </w:rPr>
            </w:pPr>
            <w:r>
              <w:rPr>
                <w:rFonts w:hint="default"/>
                <w:color w:val="auto"/>
                <w:lang w:val="en-US" w:eastAsia="zh-CN"/>
              </w:rPr>
              <w:t>D2</w:t>
            </w:r>
          </w:p>
        </w:tc>
        <w:tc>
          <w:tcPr>
            <w:tcW w:w="32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37C388">
            <w:pPr>
              <w:pStyle w:val="31"/>
              <w:bidi w:val="0"/>
              <w:jc w:val="center"/>
              <w:rPr>
                <w:rFonts w:hint="default"/>
                <w:color w:val="auto"/>
              </w:rPr>
            </w:pPr>
            <w:r>
              <w:rPr>
                <w:rFonts w:hint="default"/>
                <w:color w:val="auto"/>
                <w:lang w:val="en-US" w:eastAsia="zh-CN"/>
              </w:rPr>
              <w:t>D3</w:t>
            </w:r>
          </w:p>
        </w:tc>
        <w:tc>
          <w:tcPr>
            <w:tcW w:w="32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884597">
            <w:pPr>
              <w:pStyle w:val="31"/>
              <w:bidi w:val="0"/>
              <w:jc w:val="center"/>
              <w:rPr>
                <w:rFonts w:hint="default"/>
                <w:color w:val="auto"/>
              </w:rPr>
            </w:pPr>
            <w:r>
              <w:rPr>
                <w:rFonts w:hint="default"/>
                <w:color w:val="auto"/>
                <w:lang w:val="en-US" w:eastAsia="zh-CN"/>
              </w:rPr>
              <w:t>D8</w:t>
            </w:r>
          </w:p>
        </w:tc>
      </w:tr>
      <w:tr w14:paraId="025A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812B7">
            <w:pPr>
              <w:pStyle w:val="31"/>
              <w:bidi w:val="0"/>
              <w:jc w:val="center"/>
              <w:rPr>
                <w:rFonts w:hint="eastAsia"/>
                <w:color w:val="auto"/>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6C209">
            <w:pPr>
              <w:pStyle w:val="31"/>
              <w:bidi w:val="0"/>
              <w:jc w:val="center"/>
              <w:rPr>
                <w:rFonts w:hint="eastAsia"/>
                <w:color w:val="auto"/>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13BE">
            <w:pPr>
              <w:pStyle w:val="31"/>
              <w:bidi w:val="0"/>
              <w:jc w:val="center"/>
              <w:rPr>
                <w:rFonts w:hint="eastAsia"/>
                <w:color w:val="auto"/>
              </w:rPr>
            </w:pPr>
            <w:r>
              <w:rPr>
                <w:rFonts w:hint="eastAsia"/>
                <w:color w:val="auto"/>
                <w:lang w:val="en-US" w:eastAsia="zh-CN"/>
              </w:rPr>
              <w:t>结果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22EF">
            <w:pPr>
              <w:pStyle w:val="31"/>
              <w:bidi w:val="0"/>
              <w:jc w:val="center"/>
              <w:rPr>
                <w:rFonts w:hint="eastAsia"/>
                <w:color w:val="auto"/>
              </w:rPr>
            </w:pPr>
            <w:r>
              <w:rPr>
                <w:rFonts w:hint="eastAsia"/>
                <w:color w:val="auto"/>
                <w:lang w:val="en-US" w:eastAsia="zh-CN"/>
              </w:rPr>
              <w:t>标准指数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4C8A">
            <w:pPr>
              <w:pStyle w:val="31"/>
              <w:bidi w:val="0"/>
              <w:jc w:val="center"/>
              <w:rPr>
                <w:rFonts w:hint="eastAsia"/>
                <w:color w:val="auto"/>
              </w:rPr>
            </w:pPr>
            <w:r>
              <w:rPr>
                <w:rFonts w:hint="eastAsia"/>
                <w:color w:val="auto"/>
                <w:lang w:val="en-US" w:eastAsia="zh-CN"/>
              </w:rPr>
              <w:t>达标情况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5BE7">
            <w:pPr>
              <w:pStyle w:val="31"/>
              <w:bidi w:val="0"/>
              <w:jc w:val="center"/>
              <w:rPr>
                <w:rFonts w:hint="eastAsia"/>
                <w:color w:val="auto"/>
              </w:rPr>
            </w:pPr>
            <w:r>
              <w:rPr>
                <w:rFonts w:hint="eastAsia"/>
                <w:color w:val="auto"/>
                <w:lang w:val="en-US" w:eastAsia="zh-CN"/>
              </w:rPr>
              <w:t>结果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F165">
            <w:pPr>
              <w:pStyle w:val="31"/>
              <w:bidi w:val="0"/>
              <w:jc w:val="center"/>
              <w:rPr>
                <w:rFonts w:hint="eastAsia"/>
                <w:color w:val="auto"/>
              </w:rPr>
            </w:pPr>
            <w:r>
              <w:rPr>
                <w:rFonts w:hint="eastAsia"/>
                <w:color w:val="auto"/>
                <w:lang w:val="en-US" w:eastAsia="zh-CN"/>
              </w:rPr>
              <w:t>标准指数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D37D">
            <w:pPr>
              <w:pStyle w:val="31"/>
              <w:bidi w:val="0"/>
              <w:jc w:val="center"/>
              <w:rPr>
                <w:rFonts w:hint="eastAsia"/>
                <w:color w:val="auto"/>
              </w:rPr>
            </w:pPr>
            <w:r>
              <w:rPr>
                <w:rFonts w:hint="eastAsia"/>
                <w:color w:val="auto"/>
                <w:lang w:val="en-US" w:eastAsia="zh-CN"/>
              </w:rPr>
              <w:t>达标情况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D63BE">
            <w:pPr>
              <w:pStyle w:val="31"/>
              <w:bidi w:val="0"/>
              <w:jc w:val="center"/>
              <w:rPr>
                <w:rFonts w:hint="eastAsia"/>
                <w:color w:val="auto"/>
              </w:rPr>
            </w:pPr>
            <w:r>
              <w:rPr>
                <w:rFonts w:hint="eastAsia"/>
                <w:color w:val="auto"/>
                <w:lang w:val="en-US" w:eastAsia="zh-CN"/>
              </w:rPr>
              <w:t>结果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5DEB">
            <w:pPr>
              <w:pStyle w:val="31"/>
              <w:bidi w:val="0"/>
              <w:jc w:val="center"/>
              <w:rPr>
                <w:rFonts w:hint="eastAsia"/>
                <w:color w:val="auto"/>
              </w:rPr>
            </w:pPr>
            <w:r>
              <w:rPr>
                <w:rFonts w:hint="eastAsia"/>
                <w:color w:val="auto"/>
                <w:lang w:val="en-US" w:eastAsia="zh-CN"/>
              </w:rPr>
              <w:t>标准指数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6FAE">
            <w:pPr>
              <w:pStyle w:val="31"/>
              <w:bidi w:val="0"/>
              <w:jc w:val="center"/>
              <w:rPr>
                <w:rFonts w:hint="eastAsia"/>
                <w:color w:val="auto"/>
              </w:rPr>
            </w:pPr>
            <w:r>
              <w:rPr>
                <w:rFonts w:hint="eastAsia"/>
                <w:color w:val="auto"/>
                <w:lang w:val="en-US" w:eastAsia="zh-CN"/>
              </w:rPr>
              <w:t>达标情况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81282">
            <w:pPr>
              <w:pStyle w:val="31"/>
              <w:bidi w:val="0"/>
              <w:jc w:val="center"/>
              <w:rPr>
                <w:rFonts w:hint="eastAsia"/>
                <w:color w:val="auto"/>
              </w:rPr>
            </w:pPr>
            <w:r>
              <w:rPr>
                <w:rFonts w:hint="eastAsia"/>
                <w:color w:val="auto"/>
                <w:lang w:val="en-US" w:eastAsia="zh-CN"/>
              </w:rPr>
              <w:t>结果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BD1F">
            <w:pPr>
              <w:pStyle w:val="31"/>
              <w:bidi w:val="0"/>
              <w:jc w:val="center"/>
              <w:rPr>
                <w:rFonts w:hint="eastAsia"/>
                <w:color w:val="auto"/>
              </w:rPr>
            </w:pPr>
            <w:r>
              <w:rPr>
                <w:rFonts w:hint="eastAsia"/>
                <w:color w:val="auto"/>
                <w:lang w:val="en-US" w:eastAsia="zh-CN"/>
              </w:rPr>
              <w:t>标准指数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F7A0">
            <w:pPr>
              <w:pStyle w:val="31"/>
              <w:bidi w:val="0"/>
              <w:jc w:val="center"/>
              <w:rPr>
                <w:rFonts w:hint="eastAsia"/>
                <w:color w:val="auto"/>
              </w:rPr>
            </w:pPr>
            <w:r>
              <w:rPr>
                <w:rFonts w:hint="eastAsia"/>
                <w:color w:val="auto"/>
                <w:lang w:val="en-US" w:eastAsia="zh-CN"/>
              </w:rPr>
              <w:t>达标情况</w:t>
            </w:r>
          </w:p>
        </w:tc>
      </w:tr>
      <w:tr w14:paraId="7E056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2E12">
            <w:pPr>
              <w:pStyle w:val="31"/>
              <w:bidi w:val="0"/>
              <w:jc w:val="center"/>
              <w:rPr>
                <w:rFonts w:hint="eastAsia"/>
                <w:color w:val="auto"/>
              </w:rPr>
            </w:pPr>
            <w:r>
              <w:rPr>
                <w:rFonts w:hint="eastAsia"/>
                <w:color w:val="auto"/>
                <w:lang w:val="en-US" w:eastAsia="zh-CN"/>
              </w:rPr>
              <w:t>钾（</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FE3D8">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8C4C">
            <w:pPr>
              <w:pStyle w:val="31"/>
              <w:bidi w:val="0"/>
              <w:jc w:val="center"/>
              <w:rPr>
                <w:rFonts w:hint="default"/>
                <w:color w:val="auto"/>
              </w:rPr>
            </w:pPr>
            <w:r>
              <w:rPr>
                <w:rFonts w:hint="default"/>
                <w:color w:val="auto"/>
                <w:lang w:val="en-US" w:eastAsia="zh-CN"/>
              </w:rPr>
              <w:t>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31D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9DDDF">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D94F">
            <w:pPr>
              <w:pStyle w:val="31"/>
              <w:bidi w:val="0"/>
              <w:jc w:val="center"/>
              <w:rPr>
                <w:rFonts w:hint="default"/>
                <w:color w:val="auto"/>
              </w:rPr>
            </w:pPr>
            <w:r>
              <w:rPr>
                <w:rFonts w:hint="default"/>
                <w:color w:val="auto"/>
                <w:lang w:val="en-US" w:eastAsia="zh-CN"/>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7FD0">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D1FC4">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18FB">
            <w:pPr>
              <w:pStyle w:val="31"/>
              <w:bidi w:val="0"/>
              <w:jc w:val="center"/>
              <w:rPr>
                <w:rFonts w:hint="default"/>
                <w:color w:val="auto"/>
              </w:rPr>
            </w:pPr>
            <w:r>
              <w:rPr>
                <w:rFonts w:hint="default"/>
                <w:color w:val="auto"/>
                <w:lang w:val="en-US" w:eastAsia="zh-CN"/>
              </w:rPr>
              <w:t>0.94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0329A">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C2AC">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DEDD">
            <w:pPr>
              <w:pStyle w:val="31"/>
              <w:bidi w:val="0"/>
              <w:jc w:val="center"/>
              <w:rPr>
                <w:rFonts w:hint="default"/>
                <w:color w:val="auto"/>
              </w:rPr>
            </w:pPr>
            <w:r>
              <w:rPr>
                <w:rFonts w:hint="default"/>
                <w:color w:val="auto"/>
                <w:lang w:val="en-US" w:eastAsia="zh-CN"/>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E134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D604">
            <w:pPr>
              <w:pStyle w:val="31"/>
              <w:bidi w:val="0"/>
              <w:jc w:val="center"/>
              <w:rPr>
                <w:rFonts w:hint="default"/>
                <w:color w:val="auto"/>
              </w:rPr>
            </w:pPr>
            <w:r>
              <w:rPr>
                <w:rFonts w:hint="default"/>
                <w:color w:val="auto"/>
                <w:lang w:val="en-US" w:eastAsia="zh-CN"/>
              </w:rPr>
              <w:t>/</w:t>
            </w:r>
          </w:p>
        </w:tc>
      </w:tr>
      <w:tr w14:paraId="1166C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492B6">
            <w:pPr>
              <w:pStyle w:val="31"/>
              <w:bidi w:val="0"/>
              <w:jc w:val="center"/>
              <w:rPr>
                <w:rFonts w:hint="eastAsia"/>
                <w:color w:val="auto"/>
              </w:rPr>
            </w:pPr>
            <w:r>
              <w:rPr>
                <w:rFonts w:hint="eastAsia"/>
                <w:color w:val="auto"/>
                <w:lang w:val="en-US" w:eastAsia="zh-CN"/>
              </w:rPr>
              <w:t>钠（</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ECF6C">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D0FB">
            <w:pPr>
              <w:pStyle w:val="31"/>
              <w:bidi w:val="0"/>
              <w:jc w:val="center"/>
              <w:rPr>
                <w:rFonts w:hint="default"/>
                <w:color w:val="auto"/>
              </w:rPr>
            </w:pPr>
            <w:r>
              <w:rPr>
                <w:rFonts w:hint="default"/>
                <w:color w:val="auto"/>
                <w:lang w:val="en-US" w:eastAsia="zh-CN"/>
              </w:rPr>
              <w:t>7.13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1A95">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326A">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B7D2">
            <w:pPr>
              <w:pStyle w:val="31"/>
              <w:bidi w:val="0"/>
              <w:jc w:val="center"/>
              <w:rPr>
                <w:rFonts w:hint="default"/>
                <w:color w:val="auto"/>
              </w:rPr>
            </w:pPr>
            <w:r>
              <w:rPr>
                <w:rFonts w:hint="default"/>
                <w:color w:val="auto"/>
                <w:lang w:val="en-US" w:eastAsia="zh-CN"/>
              </w:rPr>
              <w:t>7.64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806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B612">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1E115">
            <w:pPr>
              <w:pStyle w:val="31"/>
              <w:bidi w:val="0"/>
              <w:jc w:val="center"/>
              <w:rPr>
                <w:rFonts w:hint="default"/>
                <w:color w:val="auto"/>
              </w:rPr>
            </w:pPr>
            <w:r>
              <w:rPr>
                <w:rFonts w:hint="default"/>
                <w:color w:val="auto"/>
                <w:lang w:val="en-US" w:eastAsia="zh-CN"/>
              </w:rPr>
              <w:t>3.22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59A3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1133">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F60E">
            <w:pPr>
              <w:pStyle w:val="31"/>
              <w:bidi w:val="0"/>
              <w:jc w:val="center"/>
              <w:rPr>
                <w:rFonts w:hint="default"/>
                <w:color w:val="auto"/>
              </w:rPr>
            </w:pPr>
            <w:r>
              <w:rPr>
                <w:rFonts w:hint="default"/>
                <w:color w:val="auto"/>
                <w:lang w:val="en-US" w:eastAsia="zh-CN"/>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DDA0">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D8A09">
            <w:pPr>
              <w:pStyle w:val="31"/>
              <w:bidi w:val="0"/>
              <w:jc w:val="center"/>
              <w:rPr>
                <w:rFonts w:hint="default"/>
                <w:color w:val="auto"/>
              </w:rPr>
            </w:pPr>
            <w:r>
              <w:rPr>
                <w:rFonts w:hint="default"/>
                <w:color w:val="auto"/>
                <w:lang w:val="en-US" w:eastAsia="zh-CN"/>
              </w:rPr>
              <w:t>/</w:t>
            </w:r>
          </w:p>
        </w:tc>
      </w:tr>
      <w:tr w14:paraId="5FB87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DA0F">
            <w:pPr>
              <w:pStyle w:val="31"/>
              <w:bidi w:val="0"/>
              <w:jc w:val="center"/>
              <w:rPr>
                <w:rFonts w:hint="eastAsia"/>
                <w:color w:val="auto"/>
              </w:rPr>
            </w:pPr>
            <w:r>
              <w:rPr>
                <w:rFonts w:hint="eastAsia"/>
                <w:color w:val="auto"/>
                <w:lang w:val="en-US" w:eastAsia="zh-CN"/>
              </w:rPr>
              <w:t>钙（</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4730">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2A0A">
            <w:pPr>
              <w:pStyle w:val="31"/>
              <w:bidi w:val="0"/>
              <w:jc w:val="center"/>
              <w:rPr>
                <w:rFonts w:hint="default"/>
                <w:color w:val="auto"/>
              </w:rPr>
            </w:pPr>
            <w:r>
              <w:rPr>
                <w:rFonts w:hint="default"/>
                <w:color w:val="auto"/>
                <w:lang w:val="en-US" w:eastAsia="zh-CN"/>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59FD9">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C09AF">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7DBE8">
            <w:pPr>
              <w:pStyle w:val="31"/>
              <w:bidi w:val="0"/>
              <w:jc w:val="center"/>
              <w:rPr>
                <w:rFonts w:hint="default"/>
                <w:color w:val="auto"/>
              </w:rPr>
            </w:pPr>
            <w:r>
              <w:rPr>
                <w:rFonts w:hint="default"/>
                <w:color w:val="auto"/>
                <w:lang w:val="en-US" w:eastAsia="zh-CN"/>
              </w:rPr>
              <w:t>49.2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B57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639D1">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60FD">
            <w:pPr>
              <w:pStyle w:val="31"/>
              <w:bidi w:val="0"/>
              <w:jc w:val="center"/>
              <w:rPr>
                <w:rFonts w:hint="default"/>
                <w:color w:val="auto"/>
              </w:rPr>
            </w:pPr>
            <w:r>
              <w:rPr>
                <w:rFonts w:hint="default"/>
                <w:color w:val="auto"/>
                <w:lang w:val="en-US" w:eastAsia="zh-CN"/>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25E8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BE00">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0650">
            <w:pPr>
              <w:pStyle w:val="31"/>
              <w:bidi w:val="0"/>
              <w:jc w:val="center"/>
              <w:rPr>
                <w:rFonts w:hint="default"/>
                <w:color w:val="auto"/>
              </w:rPr>
            </w:pPr>
            <w:r>
              <w:rPr>
                <w:rFonts w:hint="default"/>
                <w:color w:val="auto"/>
                <w:lang w:val="en-US" w:eastAsia="zh-CN"/>
              </w:rPr>
              <w:t>28.4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A76C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3A0C">
            <w:pPr>
              <w:pStyle w:val="31"/>
              <w:bidi w:val="0"/>
              <w:jc w:val="center"/>
              <w:rPr>
                <w:rFonts w:hint="default"/>
                <w:color w:val="auto"/>
              </w:rPr>
            </w:pPr>
            <w:r>
              <w:rPr>
                <w:rFonts w:hint="default"/>
                <w:color w:val="auto"/>
                <w:lang w:val="en-US" w:eastAsia="zh-CN"/>
              </w:rPr>
              <w:t>/</w:t>
            </w:r>
          </w:p>
        </w:tc>
      </w:tr>
      <w:tr w14:paraId="147C3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52D7">
            <w:pPr>
              <w:pStyle w:val="31"/>
              <w:bidi w:val="0"/>
              <w:jc w:val="center"/>
              <w:rPr>
                <w:rFonts w:hint="eastAsia"/>
                <w:color w:val="auto"/>
              </w:rPr>
            </w:pPr>
            <w:r>
              <w:rPr>
                <w:rFonts w:hint="eastAsia"/>
                <w:color w:val="auto"/>
                <w:lang w:val="en-US" w:eastAsia="zh-CN"/>
              </w:rPr>
              <w:t>镁（</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F3B61">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149C">
            <w:pPr>
              <w:pStyle w:val="31"/>
              <w:bidi w:val="0"/>
              <w:jc w:val="center"/>
              <w:rPr>
                <w:rFonts w:hint="default"/>
                <w:color w:val="auto"/>
              </w:rPr>
            </w:pPr>
            <w:r>
              <w:rPr>
                <w:rFonts w:hint="default"/>
                <w:color w:val="auto"/>
                <w:lang w:val="en-US" w:eastAsia="zh-CN"/>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98FF2">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3DB57">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4EB9">
            <w:pPr>
              <w:pStyle w:val="31"/>
              <w:bidi w:val="0"/>
              <w:jc w:val="center"/>
              <w:rPr>
                <w:rFonts w:hint="default"/>
                <w:color w:val="auto"/>
              </w:rPr>
            </w:pPr>
            <w:r>
              <w:rPr>
                <w:rFonts w:hint="default"/>
                <w:color w:val="auto"/>
                <w:lang w:val="en-US" w:eastAsia="zh-CN"/>
              </w:rPr>
              <w:t>7.81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020C5">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3112">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0504">
            <w:pPr>
              <w:pStyle w:val="31"/>
              <w:bidi w:val="0"/>
              <w:jc w:val="center"/>
              <w:rPr>
                <w:rFonts w:hint="default"/>
                <w:color w:val="auto"/>
              </w:rPr>
            </w:pPr>
            <w:r>
              <w:rPr>
                <w:rFonts w:hint="default"/>
                <w:color w:val="auto"/>
                <w:lang w:val="en-US" w:eastAsia="zh-CN"/>
              </w:rPr>
              <w:t>3.31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1E85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F7FD">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045F">
            <w:pPr>
              <w:pStyle w:val="31"/>
              <w:bidi w:val="0"/>
              <w:jc w:val="center"/>
              <w:rPr>
                <w:rFonts w:hint="default"/>
                <w:color w:val="auto"/>
              </w:rPr>
            </w:pPr>
            <w:r>
              <w:rPr>
                <w:rFonts w:hint="default"/>
                <w:color w:val="auto"/>
                <w:lang w:val="en-US" w:eastAsia="zh-CN"/>
              </w:rPr>
              <w:t>3.27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A437">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A81B3">
            <w:pPr>
              <w:pStyle w:val="31"/>
              <w:bidi w:val="0"/>
              <w:jc w:val="center"/>
              <w:rPr>
                <w:rFonts w:hint="default"/>
                <w:color w:val="auto"/>
              </w:rPr>
            </w:pPr>
            <w:r>
              <w:rPr>
                <w:rFonts w:hint="default"/>
                <w:color w:val="auto"/>
                <w:lang w:val="en-US" w:eastAsia="zh-CN"/>
              </w:rPr>
              <w:t>/</w:t>
            </w:r>
          </w:p>
        </w:tc>
      </w:tr>
      <w:tr w14:paraId="12E8D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9DD9">
            <w:pPr>
              <w:pStyle w:val="31"/>
              <w:bidi w:val="0"/>
              <w:jc w:val="center"/>
              <w:rPr>
                <w:rFonts w:hint="eastAsia"/>
                <w:color w:val="auto"/>
              </w:rPr>
            </w:pPr>
            <w:r>
              <w:rPr>
                <w:rFonts w:hint="eastAsia"/>
                <w:color w:val="auto"/>
                <w:lang w:val="en-US" w:eastAsia="zh-CN"/>
              </w:rPr>
              <w:t>碳酸根离子（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ABA20">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3B2E">
            <w:pPr>
              <w:pStyle w:val="31"/>
              <w:bidi w:val="0"/>
              <w:jc w:val="center"/>
              <w:rPr>
                <w:rFonts w:hint="default"/>
                <w:color w:val="auto"/>
              </w:rPr>
            </w:pPr>
            <w:r>
              <w:rPr>
                <w:rFonts w:hint="default"/>
                <w:color w:val="auto"/>
                <w:lang w:val="en-US" w:eastAsia="zh-CN"/>
              </w:rPr>
              <w:t>5L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1C7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61C94">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E8F99">
            <w:pPr>
              <w:pStyle w:val="31"/>
              <w:bidi w:val="0"/>
              <w:jc w:val="center"/>
              <w:rPr>
                <w:rFonts w:hint="default"/>
                <w:color w:val="auto"/>
              </w:rPr>
            </w:pPr>
            <w:r>
              <w:rPr>
                <w:rFonts w:hint="default"/>
                <w:color w:val="auto"/>
                <w:lang w:val="en-US" w:eastAsia="zh-CN"/>
              </w:rPr>
              <w:t>5L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45CC">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B873E">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571A">
            <w:pPr>
              <w:pStyle w:val="31"/>
              <w:bidi w:val="0"/>
              <w:jc w:val="center"/>
              <w:rPr>
                <w:rFonts w:hint="default"/>
                <w:color w:val="auto"/>
              </w:rPr>
            </w:pPr>
            <w:r>
              <w:rPr>
                <w:rFonts w:hint="default"/>
                <w:color w:val="auto"/>
                <w:lang w:val="en-US" w:eastAsia="zh-CN"/>
              </w:rPr>
              <w:t>5L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8A088">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4860">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824A">
            <w:pPr>
              <w:pStyle w:val="31"/>
              <w:bidi w:val="0"/>
              <w:jc w:val="center"/>
              <w:rPr>
                <w:rFonts w:hint="default"/>
                <w:color w:val="auto"/>
              </w:rPr>
            </w:pPr>
            <w:r>
              <w:rPr>
                <w:rFonts w:hint="default"/>
                <w:color w:val="auto"/>
                <w:lang w:val="en-US" w:eastAsia="zh-CN"/>
              </w:rPr>
              <w:t>5L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EF4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C818">
            <w:pPr>
              <w:pStyle w:val="31"/>
              <w:bidi w:val="0"/>
              <w:jc w:val="center"/>
              <w:rPr>
                <w:rFonts w:hint="default"/>
                <w:color w:val="auto"/>
              </w:rPr>
            </w:pPr>
            <w:r>
              <w:rPr>
                <w:rFonts w:hint="default"/>
                <w:color w:val="auto"/>
                <w:lang w:val="en-US" w:eastAsia="zh-CN"/>
              </w:rPr>
              <w:t>/</w:t>
            </w:r>
          </w:p>
        </w:tc>
      </w:tr>
      <w:tr w14:paraId="21D14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997F">
            <w:pPr>
              <w:pStyle w:val="31"/>
              <w:bidi w:val="0"/>
              <w:jc w:val="center"/>
              <w:rPr>
                <w:rFonts w:hint="eastAsia"/>
                <w:color w:val="auto"/>
              </w:rPr>
            </w:pPr>
            <w:r>
              <w:rPr>
                <w:rFonts w:hint="eastAsia"/>
                <w:color w:val="auto"/>
                <w:lang w:val="en-US" w:eastAsia="zh-CN"/>
              </w:rPr>
              <w:t>重碳酸根离子（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F6744">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DD57">
            <w:pPr>
              <w:pStyle w:val="31"/>
              <w:bidi w:val="0"/>
              <w:jc w:val="center"/>
              <w:rPr>
                <w:rFonts w:hint="default"/>
                <w:color w:val="auto"/>
              </w:rPr>
            </w:pPr>
            <w:r>
              <w:rPr>
                <w:rFonts w:hint="default"/>
                <w:color w:val="auto"/>
                <w:lang w:val="en-US" w:eastAsia="zh-CN"/>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51F7">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AD59">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09EA">
            <w:pPr>
              <w:pStyle w:val="31"/>
              <w:bidi w:val="0"/>
              <w:jc w:val="center"/>
              <w:rPr>
                <w:rFonts w:hint="default"/>
                <w:color w:val="auto"/>
              </w:rPr>
            </w:pPr>
            <w:r>
              <w:rPr>
                <w:rFonts w:hint="default"/>
                <w:color w:val="auto"/>
                <w:lang w:val="en-US" w:eastAsia="zh-CN"/>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F4BA6">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BE393">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6F9ED">
            <w:pPr>
              <w:pStyle w:val="31"/>
              <w:bidi w:val="0"/>
              <w:jc w:val="center"/>
              <w:rPr>
                <w:rFonts w:hint="default"/>
                <w:color w:val="auto"/>
              </w:rPr>
            </w:pPr>
            <w:r>
              <w:rPr>
                <w:rFonts w:hint="default"/>
                <w:color w:val="auto"/>
                <w:lang w:val="en-US" w:eastAsia="zh-CN"/>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DF49">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0436">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ECE4">
            <w:pPr>
              <w:pStyle w:val="31"/>
              <w:bidi w:val="0"/>
              <w:jc w:val="center"/>
              <w:rPr>
                <w:rFonts w:hint="default"/>
                <w:color w:val="auto"/>
              </w:rPr>
            </w:pPr>
            <w:r>
              <w:rPr>
                <w:rFonts w:hint="default"/>
                <w:color w:val="auto"/>
                <w:lang w:val="en-US" w:eastAsia="zh-CN"/>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75A9">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4E07">
            <w:pPr>
              <w:pStyle w:val="31"/>
              <w:bidi w:val="0"/>
              <w:jc w:val="center"/>
              <w:rPr>
                <w:rFonts w:hint="default"/>
                <w:color w:val="auto"/>
              </w:rPr>
            </w:pPr>
            <w:r>
              <w:rPr>
                <w:rFonts w:hint="default"/>
                <w:color w:val="auto"/>
                <w:lang w:val="en-US" w:eastAsia="zh-CN"/>
              </w:rPr>
              <w:t>/</w:t>
            </w:r>
          </w:p>
        </w:tc>
      </w:tr>
      <w:tr w14:paraId="68AFB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117C">
            <w:pPr>
              <w:pStyle w:val="31"/>
              <w:bidi w:val="0"/>
              <w:jc w:val="center"/>
              <w:rPr>
                <w:rFonts w:hint="eastAsia"/>
                <w:color w:val="auto"/>
              </w:rPr>
            </w:pPr>
            <w:r>
              <w:rPr>
                <w:rFonts w:hint="eastAsia"/>
                <w:color w:val="auto"/>
                <w:lang w:val="en-US" w:eastAsia="zh-CN"/>
              </w:rPr>
              <w:t>氯离子（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33BD">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04136">
            <w:pPr>
              <w:pStyle w:val="31"/>
              <w:bidi w:val="0"/>
              <w:jc w:val="center"/>
              <w:rPr>
                <w:rFonts w:hint="default"/>
                <w:color w:val="auto"/>
              </w:rPr>
            </w:pPr>
            <w:r>
              <w:rPr>
                <w:rFonts w:hint="default"/>
                <w:color w:val="auto"/>
                <w:lang w:val="en-US" w:eastAsia="zh-CN"/>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1B536">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6090">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0230">
            <w:pPr>
              <w:pStyle w:val="31"/>
              <w:bidi w:val="0"/>
              <w:jc w:val="center"/>
              <w:rPr>
                <w:rFonts w:hint="default"/>
                <w:color w:val="auto"/>
              </w:rPr>
            </w:pPr>
            <w:r>
              <w:rPr>
                <w:rFonts w:hint="default"/>
                <w:color w:val="auto"/>
                <w:lang w:val="en-US" w:eastAsia="zh-CN"/>
              </w:rPr>
              <w:t>6.85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9FF6">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A523">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2B367">
            <w:pPr>
              <w:pStyle w:val="31"/>
              <w:bidi w:val="0"/>
              <w:jc w:val="center"/>
              <w:rPr>
                <w:rFonts w:hint="default"/>
                <w:color w:val="auto"/>
              </w:rPr>
            </w:pPr>
            <w:r>
              <w:rPr>
                <w:rFonts w:hint="default"/>
                <w:color w:val="auto"/>
                <w:lang w:val="en-US" w:eastAsia="zh-CN"/>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106F2">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431D">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6912">
            <w:pPr>
              <w:pStyle w:val="31"/>
              <w:bidi w:val="0"/>
              <w:jc w:val="center"/>
              <w:rPr>
                <w:rFonts w:hint="default"/>
                <w:color w:val="auto"/>
              </w:rPr>
            </w:pPr>
            <w:r>
              <w:rPr>
                <w:rFonts w:hint="default"/>
                <w:color w:val="auto"/>
                <w:lang w:val="en-US" w:eastAsia="zh-CN"/>
              </w:rPr>
              <w:t>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A127B">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5B17D">
            <w:pPr>
              <w:pStyle w:val="31"/>
              <w:bidi w:val="0"/>
              <w:jc w:val="center"/>
              <w:rPr>
                <w:rFonts w:hint="default"/>
                <w:color w:val="auto"/>
              </w:rPr>
            </w:pPr>
            <w:r>
              <w:rPr>
                <w:rFonts w:hint="default"/>
                <w:color w:val="auto"/>
                <w:lang w:val="en-US" w:eastAsia="zh-CN"/>
              </w:rPr>
              <w:t>/</w:t>
            </w:r>
          </w:p>
        </w:tc>
      </w:tr>
      <w:tr w14:paraId="6299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56546">
            <w:pPr>
              <w:pStyle w:val="31"/>
              <w:bidi w:val="0"/>
              <w:jc w:val="center"/>
              <w:rPr>
                <w:rFonts w:hint="eastAsia"/>
                <w:color w:val="auto"/>
              </w:rPr>
            </w:pPr>
            <w:r>
              <w:rPr>
                <w:rFonts w:hint="eastAsia"/>
                <w:color w:val="auto"/>
                <w:lang w:val="en-US" w:eastAsia="zh-CN"/>
              </w:rPr>
              <w:t>硫酸根离子（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08F2">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883F">
            <w:pPr>
              <w:pStyle w:val="31"/>
              <w:bidi w:val="0"/>
              <w:jc w:val="center"/>
              <w:rPr>
                <w:rFonts w:hint="default"/>
                <w:color w:val="auto"/>
              </w:rPr>
            </w:pPr>
            <w:r>
              <w:rPr>
                <w:rFonts w:hint="default"/>
                <w:color w:val="auto"/>
                <w:lang w:val="en-US" w:eastAsia="zh-CN"/>
              </w:rPr>
              <w:t>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DDF0B">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2A2FC">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7C3B9">
            <w:pPr>
              <w:pStyle w:val="31"/>
              <w:bidi w:val="0"/>
              <w:jc w:val="center"/>
              <w:rPr>
                <w:rFonts w:hint="default"/>
                <w:color w:val="auto"/>
              </w:rPr>
            </w:pPr>
            <w:r>
              <w:rPr>
                <w:rFonts w:hint="default"/>
                <w:color w:val="auto"/>
                <w:lang w:val="en-US" w:eastAsia="zh-CN"/>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D1AF5">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DAAA8">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1EFAA">
            <w:pPr>
              <w:pStyle w:val="31"/>
              <w:bidi w:val="0"/>
              <w:jc w:val="center"/>
              <w:rPr>
                <w:rFonts w:hint="default"/>
                <w:color w:val="auto"/>
              </w:rPr>
            </w:pPr>
            <w:r>
              <w:rPr>
                <w:rFonts w:hint="default"/>
                <w:color w:val="auto"/>
                <w:lang w:val="en-US" w:eastAsia="zh-CN"/>
              </w:rPr>
              <w:t>8.15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B98A7">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0BAD">
            <w:pPr>
              <w:pStyle w:val="31"/>
              <w:bidi w:val="0"/>
              <w:jc w:val="center"/>
              <w:rPr>
                <w:rFonts w:hint="default"/>
                <w:color w:val="auto"/>
              </w:rPr>
            </w:pPr>
            <w:r>
              <w:rPr>
                <w:rFonts w:hint="default"/>
                <w:color w:val="auto"/>
                <w:lang w:val="en-US" w:eastAsia="zh-CN"/>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452F">
            <w:pPr>
              <w:pStyle w:val="31"/>
              <w:bidi w:val="0"/>
              <w:jc w:val="center"/>
              <w:rPr>
                <w:rFonts w:hint="default"/>
                <w:color w:val="auto"/>
              </w:rPr>
            </w:pPr>
            <w:r>
              <w:rPr>
                <w:rFonts w:hint="default"/>
                <w:color w:val="auto"/>
                <w:lang w:val="en-US" w:eastAsia="zh-CN"/>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0A23">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054B">
            <w:pPr>
              <w:pStyle w:val="31"/>
              <w:bidi w:val="0"/>
              <w:jc w:val="center"/>
              <w:rPr>
                <w:rFonts w:hint="default"/>
                <w:color w:val="auto"/>
              </w:rPr>
            </w:pPr>
            <w:r>
              <w:rPr>
                <w:rFonts w:hint="default"/>
                <w:color w:val="auto"/>
                <w:lang w:val="en-US" w:eastAsia="zh-CN"/>
              </w:rPr>
              <w:t>/</w:t>
            </w:r>
          </w:p>
        </w:tc>
      </w:tr>
      <w:tr w14:paraId="435F3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D6EA6">
            <w:pPr>
              <w:pStyle w:val="31"/>
              <w:bidi w:val="0"/>
              <w:jc w:val="center"/>
              <w:rPr>
                <w:rFonts w:hint="default"/>
                <w:color w:val="auto"/>
              </w:rPr>
            </w:pPr>
            <w:r>
              <w:rPr>
                <w:rFonts w:hint="default"/>
                <w:color w:val="auto"/>
                <w:lang w:val="en-US" w:eastAsia="zh-CN"/>
              </w:rPr>
              <w:t>pH</w:t>
            </w:r>
            <w:r>
              <w:rPr>
                <w:rFonts w:hint="eastAsia"/>
                <w:color w:val="auto"/>
                <w:lang w:val="en-US" w:eastAsia="zh-CN"/>
              </w:rPr>
              <w:t>值（无量纲）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C5190">
            <w:pPr>
              <w:pStyle w:val="31"/>
              <w:bidi w:val="0"/>
              <w:jc w:val="center"/>
              <w:rPr>
                <w:rFonts w:hint="default"/>
                <w:color w:val="auto"/>
              </w:rPr>
            </w:pPr>
            <w:r>
              <w:rPr>
                <w:rFonts w:hint="default"/>
                <w:color w:val="auto"/>
                <w:lang w:val="en-US" w:eastAsia="zh-CN"/>
              </w:rPr>
              <w:t>6.5</w:t>
            </w:r>
            <w:r>
              <w:rPr>
                <w:rFonts w:hint="eastAsia"/>
                <w:color w:val="auto"/>
                <w:lang w:val="en-US" w:eastAsia="zh-CN"/>
              </w:rPr>
              <w:t>～</w:t>
            </w:r>
            <w:r>
              <w:rPr>
                <w:rFonts w:hint="default"/>
                <w:color w:val="auto"/>
                <w:lang w:val="en-US" w:eastAsia="zh-CN"/>
              </w:rPr>
              <w:t>8.5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53FCF">
            <w:pPr>
              <w:pStyle w:val="31"/>
              <w:bidi w:val="0"/>
              <w:jc w:val="center"/>
              <w:rPr>
                <w:rFonts w:hint="default"/>
                <w:color w:val="auto"/>
              </w:rPr>
            </w:pPr>
            <w:r>
              <w:rPr>
                <w:rFonts w:hint="default"/>
                <w:color w:val="auto"/>
                <w:lang w:val="en-US" w:eastAsia="zh-CN"/>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67D1">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6D35">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C4F1">
            <w:pPr>
              <w:pStyle w:val="31"/>
              <w:bidi w:val="0"/>
              <w:jc w:val="center"/>
              <w:rPr>
                <w:rFonts w:hint="default"/>
                <w:color w:val="auto"/>
              </w:rPr>
            </w:pPr>
            <w:r>
              <w:rPr>
                <w:rFonts w:hint="default"/>
                <w:color w:val="auto"/>
                <w:lang w:val="en-US" w:eastAsia="zh-CN"/>
              </w:rPr>
              <w:t>6.8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5A55">
            <w:pPr>
              <w:pStyle w:val="31"/>
              <w:bidi w:val="0"/>
              <w:jc w:val="center"/>
              <w:rPr>
                <w:rFonts w:hint="default"/>
                <w:color w:val="auto"/>
              </w:rPr>
            </w:pPr>
            <w:r>
              <w:rPr>
                <w:rFonts w:hint="default"/>
                <w:color w:val="auto"/>
                <w:lang w:val="en-US" w:eastAsia="zh-CN"/>
              </w:rPr>
              <w:t>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3F2F">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455C1B">
            <w:pPr>
              <w:pStyle w:val="31"/>
              <w:bidi w:val="0"/>
              <w:jc w:val="center"/>
              <w:rPr>
                <w:rFonts w:hint="default"/>
                <w:color w:val="auto"/>
              </w:rPr>
            </w:pPr>
            <w:r>
              <w:rPr>
                <w:rFonts w:hint="default"/>
                <w:color w:val="auto"/>
                <w:lang w:val="en-US" w:eastAsia="zh-CN"/>
              </w:rPr>
              <w:t>6.4</w:t>
            </w:r>
          </w:p>
        </w:tc>
        <w:tc>
          <w:tcPr>
            <w:tcW w:w="108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8CCE853">
            <w:pPr>
              <w:pStyle w:val="31"/>
              <w:bidi w:val="0"/>
              <w:jc w:val="center"/>
              <w:rPr>
                <w:rFonts w:hint="default"/>
                <w:color w:val="auto"/>
              </w:rPr>
            </w:pPr>
            <w:r>
              <w:rPr>
                <w:rFonts w:hint="default"/>
                <w:color w:val="auto"/>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D6DA637">
            <w:pPr>
              <w:pStyle w:val="31"/>
              <w:bidi w:val="0"/>
              <w:jc w:val="center"/>
              <w:rPr>
                <w:rFonts w:hint="eastAsia"/>
                <w:color w:val="auto"/>
              </w:rPr>
            </w:pPr>
            <w:r>
              <w:rPr>
                <w:rFonts w:hint="eastAsia"/>
                <w:color w:val="auto"/>
                <w:lang w:val="en-US" w:eastAsia="zh-CN"/>
              </w:rPr>
              <w:t>超标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8A63">
            <w:pPr>
              <w:pStyle w:val="31"/>
              <w:bidi w:val="0"/>
              <w:jc w:val="center"/>
              <w:rPr>
                <w:rFonts w:hint="default"/>
                <w:color w:val="auto"/>
              </w:rPr>
            </w:pPr>
            <w:r>
              <w:rPr>
                <w:rFonts w:hint="default"/>
                <w:color w:val="auto"/>
                <w:lang w:val="en-US" w:eastAsia="zh-CN"/>
              </w:rPr>
              <w:t>7.6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4243">
            <w:pPr>
              <w:pStyle w:val="31"/>
              <w:bidi w:val="0"/>
              <w:jc w:val="center"/>
              <w:rPr>
                <w:rFonts w:hint="default"/>
                <w:color w:val="auto"/>
              </w:rPr>
            </w:pPr>
            <w:r>
              <w:rPr>
                <w:rFonts w:hint="default"/>
                <w:color w:val="auto"/>
                <w:lang w:val="en-US" w:eastAsia="zh-CN"/>
              </w:rPr>
              <w:t>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4F76">
            <w:pPr>
              <w:pStyle w:val="31"/>
              <w:bidi w:val="0"/>
              <w:jc w:val="center"/>
              <w:rPr>
                <w:rFonts w:hint="eastAsia"/>
                <w:color w:val="auto"/>
              </w:rPr>
            </w:pPr>
            <w:r>
              <w:rPr>
                <w:rFonts w:hint="eastAsia"/>
                <w:color w:val="auto"/>
                <w:lang w:val="en-US" w:eastAsia="zh-CN"/>
              </w:rPr>
              <w:t>达标</w:t>
            </w:r>
          </w:p>
        </w:tc>
      </w:tr>
      <w:tr w14:paraId="444C0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CB91A">
            <w:pPr>
              <w:pStyle w:val="31"/>
              <w:bidi w:val="0"/>
              <w:jc w:val="center"/>
              <w:rPr>
                <w:rFonts w:hint="eastAsia"/>
                <w:color w:val="auto"/>
              </w:rPr>
            </w:pPr>
            <w:r>
              <w:rPr>
                <w:rFonts w:hint="eastAsia"/>
                <w:color w:val="auto"/>
                <w:lang w:val="en-US" w:eastAsia="zh-CN"/>
              </w:rPr>
              <w:t>氨氮（</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A3CE">
            <w:pPr>
              <w:pStyle w:val="31"/>
              <w:bidi w:val="0"/>
              <w:jc w:val="center"/>
              <w:rPr>
                <w:rFonts w:hint="default"/>
                <w:color w:val="auto"/>
              </w:rPr>
            </w:pPr>
            <w:r>
              <w:rPr>
                <w:rFonts w:hint="default"/>
                <w:color w:val="auto"/>
                <w:lang w:val="en-US" w:eastAsia="zh-CN"/>
              </w:rPr>
              <w:t>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2759">
            <w:pPr>
              <w:pStyle w:val="31"/>
              <w:bidi w:val="0"/>
              <w:jc w:val="center"/>
              <w:rPr>
                <w:rFonts w:hint="default"/>
                <w:color w:val="auto"/>
              </w:rPr>
            </w:pPr>
            <w:r>
              <w:rPr>
                <w:rFonts w:hint="default"/>
                <w:color w:val="auto"/>
                <w:lang w:val="en-US" w:eastAsia="zh-CN"/>
              </w:rPr>
              <w:t>0.424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F15DA">
            <w:pPr>
              <w:pStyle w:val="31"/>
              <w:bidi w:val="0"/>
              <w:jc w:val="center"/>
              <w:rPr>
                <w:rFonts w:hint="default"/>
                <w:color w:val="auto"/>
              </w:rPr>
            </w:pPr>
            <w:r>
              <w:rPr>
                <w:rFonts w:hint="default"/>
                <w:color w:val="auto"/>
                <w:lang w:val="en-US" w:eastAsia="zh-CN"/>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C58A3">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EECE3">
            <w:pPr>
              <w:pStyle w:val="31"/>
              <w:bidi w:val="0"/>
              <w:jc w:val="center"/>
              <w:rPr>
                <w:rFonts w:hint="default"/>
                <w:color w:val="auto"/>
              </w:rPr>
            </w:pPr>
            <w:r>
              <w:rPr>
                <w:rFonts w:hint="default"/>
                <w:color w:val="auto"/>
                <w:lang w:val="en-US" w:eastAsia="zh-CN"/>
              </w:rPr>
              <w:t>0.079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B0A4">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828B">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44A1">
            <w:pPr>
              <w:pStyle w:val="31"/>
              <w:bidi w:val="0"/>
              <w:jc w:val="center"/>
              <w:rPr>
                <w:rFonts w:hint="default"/>
                <w:color w:val="auto"/>
              </w:rPr>
            </w:pPr>
            <w:r>
              <w:rPr>
                <w:rFonts w:hint="default"/>
                <w:color w:val="auto"/>
                <w:lang w:val="en-US" w:eastAsia="zh-CN"/>
              </w:rPr>
              <w:t>0.441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6117">
            <w:pPr>
              <w:pStyle w:val="31"/>
              <w:bidi w:val="0"/>
              <w:jc w:val="center"/>
              <w:rPr>
                <w:rFonts w:hint="default"/>
                <w:color w:val="auto"/>
              </w:rPr>
            </w:pPr>
            <w:r>
              <w:rPr>
                <w:rFonts w:hint="default"/>
                <w:color w:val="auto"/>
                <w:lang w:val="en-US" w:eastAsia="zh-CN"/>
              </w:rPr>
              <w:t>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D6F4">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AFD1">
            <w:pPr>
              <w:pStyle w:val="31"/>
              <w:bidi w:val="0"/>
              <w:jc w:val="center"/>
              <w:rPr>
                <w:rFonts w:hint="default"/>
                <w:color w:val="auto"/>
              </w:rPr>
            </w:pPr>
            <w:r>
              <w:rPr>
                <w:rFonts w:hint="default"/>
                <w:color w:val="auto"/>
                <w:lang w:val="en-US" w:eastAsia="zh-CN"/>
              </w:rPr>
              <w:t>0.19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5535">
            <w:pPr>
              <w:pStyle w:val="31"/>
              <w:bidi w:val="0"/>
              <w:jc w:val="center"/>
              <w:rPr>
                <w:rFonts w:hint="default"/>
                <w:color w:val="auto"/>
              </w:rPr>
            </w:pPr>
            <w:r>
              <w:rPr>
                <w:rFonts w:hint="default"/>
                <w:color w:val="auto"/>
                <w:lang w:val="en-US" w:eastAsia="zh-CN"/>
              </w:rPr>
              <w:t>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9A155">
            <w:pPr>
              <w:pStyle w:val="31"/>
              <w:bidi w:val="0"/>
              <w:jc w:val="center"/>
              <w:rPr>
                <w:rFonts w:hint="eastAsia"/>
                <w:color w:val="auto"/>
              </w:rPr>
            </w:pPr>
            <w:r>
              <w:rPr>
                <w:rFonts w:hint="eastAsia"/>
                <w:color w:val="auto"/>
                <w:lang w:val="en-US" w:eastAsia="zh-CN"/>
              </w:rPr>
              <w:t>达标</w:t>
            </w:r>
          </w:p>
        </w:tc>
      </w:tr>
      <w:tr w14:paraId="473A9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F26F6">
            <w:pPr>
              <w:pStyle w:val="31"/>
              <w:bidi w:val="0"/>
              <w:jc w:val="center"/>
              <w:rPr>
                <w:rFonts w:hint="eastAsia"/>
                <w:color w:val="auto"/>
              </w:rPr>
            </w:pPr>
            <w:r>
              <w:rPr>
                <w:rFonts w:hint="eastAsia"/>
                <w:color w:val="auto"/>
                <w:lang w:val="en-US" w:eastAsia="zh-CN"/>
              </w:rPr>
              <w:t>硝酸盐（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903A">
            <w:pPr>
              <w:pStyle w:val="31"/>
              <w:bidi w:val="0"/>
              <w:jc w:val="center"/>
              <w:rPr>
                <w:rFonts w:hint="default"/>
                <w:color w:val="auto"/>
              </w:rPr>
            </w:pPr>
            <w:r>
              <w:rPr>
                <w:rFonts w:hint="default"/>
                <w:color w:val="auto"/>
                <w:lang w:val="en-US" w:eastAsia="zh-CN"/>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EE58">
            <w:pPr>
              <w:pStyle w:val="31"/>
              <w:bidi w:val="0"/>
              <w:jc w:val="center"/>
              <w:rPr>
                <w:rFonts w:hint="default"/>
                <w:color w:val="auto"/>
              </w:rPr>
            </w:pPr>
            <w:r>
              <w:rPr>
                <w:rFonts w:hint="default"/>
                <w:color w:val="auto"/>
                <w:lang w:val="en-US" w:eastAsia="zh-CN"/>
              </w:rPr>
              <w:t>2.84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685F">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49C8">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9ED5">
            <w:pPr>
              <w:pStyle w:val="31"/>
              <w:bidi w:val="0"/>
              <w:jc w:val="center"/>
              <w:rPr>
                <w:rFonts w:hint="default"/>
                <w:color w:val="auto"/>
              </w:rPr>
            </w:pPr>
            <w:r>
              <w:rPr>
                <w:rFonts w:hint="default"/>
                <w:color w:val="auto"/>
                <w:lang w:val="en-US" w:eastAsia="zh-CN"/>
              </w:rPr>
              <w:t>1.68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7B37">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F9BEB">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345E">
            <w:pPr>
              <w:pStyle w:val="31"/>
              <w:bidi w:val="0"/>
              <w:jc w:val="center"/>
              <w:rPr>
                <w:rFonts w:hint="default"/>
                <w:color w:val="auto"/>
              </w:rPr>
            </w:pPr>
            <w:r>
              <w:rPr>
                <w:rFonts w:hint="default"/>
                <w:color w:val="auto"/>
                <w:lang w:val="en-US" w:eastAsia="zh-CN"/>
              </w:rPr>
              <w:t>2.68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FBD4">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5D5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0ACC1">
            <w:pPr>
              <w:pStyle w:val="31"/>
              <w:bidi w:val="0"/>
              <w:jc w:val="center"/>
              <w:rPr>
                <w:rFonts w:hint="default"/>
                <w:color w:val="auto"/>
              </w:rPr>
            </w:pPr>
            <w:r>
              <w:rPr>
                <w:rFonts w:hint="default"/>
                <w:color w:val="auto"/>
                <w:lang w:val="en-US" w:eastAsia="zh-CN"/>
              </w:rPr>
              <w:t>1.48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B52A">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ED50C">
            <w:pPr>
              <w:pStyle w:val="31"/>
              <w:bidi w:val="0"/>
              <w:jc w:val="center"/>
              <w:rPr>
                <w:rFonts w:hint="eastAsia"/>
                <w:color w:val="auto"/>
              </w:rPr>
            </w:pPr>
            <w:r>
              <w:rPr>
                <w:rFonts w:hint="eastAsia"/>
                <w:color w:val="auto"/>
                <w:lang w:val="en-US" w:eastAsia="zh-CN"/>
              </w:rPr>
              <w:t>达标</w:t>
            </w:r>
          </w:p>
        </w:tc>
      </w:tr>
      <w:tr w14:paraId="20DBA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C42B">
            <w:pPr>
              <w:pStyle w:val="31"/>
              <w:bidi w:val="0"/>
              <w:jc w:val="center"/>
              <w:rPr>
                <w:rFonts w:hint="eastAsia"/>
                <w:color w:val="auto"/>
              </w:rPr>
            </w:pPr>
            <w:r>
              <w:rPr>
                <w:rFonts w:hint="eastAsia"/>
                <w:color w:val="auto"/>
                <w:lang w:val="en-US" w:eastAsia="zh-CN"/>
              </w:rPr>
              <w:t>亚硝酸盐（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CEDE">
            <w:pPr>
              <w:pStyle w:val="31"/>
              <w:bidi w:val="0"/>
              <w:jc w:val="center"/>
              <w:rPr>
                <w:rFonts w:hint="default"/>
                <w:color w:val="auto"/>
              </w:rPr>
            </w:pPr>
            <w:r>
              <w:rPr>
                <w:rFonts w:hint="default"/>
                <w:color w:val="auto"/>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4FDB">
            <w:pPr>
              <w:pStyle w:val="31"/>
              <w:bidi w:val="0"/>
              <w:jc w:val="center"/>
              <w:rPr>
                <w:rFonts w:hint="default"/>
                <w:color w:val="auto"/>
              </w:rPr>
            </w:pPr>
            <w:r>
              <w:rPr>
                <w:rFonts w:hint="default"/>
                <w:color w:val="auto"/>
                <w:lang w:val="en-US" w:eastAsia="zh-CN"/>
              </w:rPr>
              <w:t>0.122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D7CA">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47900">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C2B7">
            <w:pPr>
              <w:pStyle w:val="31"/>
              <w:bidi w:val="0"/>
              <w:jc w:val="center"/>
              <w:rPr>
                <w:rFonts w:hint="default"/>
                <w:color w:val="auto"/>
              </w:rPr>
            </w:pPr>
            <w:r>
              <w:rPr>
                <w:rFonts w:hint="default"/>
                <w:color w:val="auto"/>
                <w:lang w:val="en-US" w:eastAsia="zh-CN"/>
              </w:rPr>
              <w:t>0.0027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69C7">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D3E38">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D55A">
            <w:pPr>
              <w:pStyle w:val="31"/>
              <w:bidi w:val="0"/>
              <w:jc w:val="center"/>
              <w:rPr>
                <w:rFonts w:hint="default"/>
                <w:color w:val="auto"/>
              </w:rPr>
            </w:pPr>
            <w:r>
              <w:rPr>
                <w:rFonts w:hint="default"/>
                <w:color w:val="auto"/>
                <w:lang w:val="en-US" w:eastAsia="zh-CN"/>
              </w:rPr>
              <w:t>0.0135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4FC39">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7787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33EC">
            <w:pPr>
              <w:pStyle w:val="31"/>
              <w:bidi w:val="0"/>
              <w:jc w:val="center"/>
              <w:rPr>
                <w:rFonts w:hint="default"/>
                <w:color w:val="auto"/>
              </w:rPr>
            </w:pPr>
            <w:r>
              <w:rPr>
                <w:rFonts w:hint="default"/>
                <w:color w:val="auto"/>
                <w:lang w:val="en-US" w:eastAsia="zh-CN"/>
              </w:rPr>
              <w:t>0.0225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5814">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145B">
            <w:pPr>
              <w:pStyle w:val="31"/>
              <w:bidi w:val="0"/>
              <w:jc w:val="center"/>
              <w:rPr>
                <w:rFonts w:hint="eastAsia"/>
                <w:color w:val="auto"/>
              </w:rPr>
            </w:pPr>
            <w:r>
              <w:rPr>
                <w:rFonts w:hint="eastAsia"/>
                <w:color w:val="auto"/>
                <w:lang w:val="en-US" w:eastAsia="zh-CN"/>
              </w:rPr>
              <w:t>达标</w:t>
            </w:r>
          </w:p>
        </w:tc>
      </w:tr>
      <w:tr w14:paraId="60FCF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1E1D">
            <w:pPr>
              <w:pStyle w:val="31"/>
              <w:bidi w:val="0"/>
              <w:jc w:val="center"/>
              <w:rPr>
                <w:rFonts w:hint="eastAsia"/>
                <w:color w:val="auto"/>
              </w:rPr>
            </w:pPr>
            <w:r>
              <w:rPr>
                <w:rFonts w:hint="eastAsia"/>
                <w:color w:val="auto"/>
                <w:lang w:val="en-US" w:eastAsia="zh-CN"/>
              </w:rPr>
              <w:t>挥发酚（</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01761">
            <w:pPr>
              <w:pStyle w:val="31"/>
              <w:bidi w:val="0"/>
              <w:jc w:val="center"/>
              <w:rPr>
                <w:rFonts w:hint="default"/>
                <w:color w:val="auto"/>
              </w:rPr>
            </w:pPr>
            <w:r>
              <w:rPr>
                <w:rFonts w:hint="default"/>
                <w:color w:val="auto"/>
                <w:lang w:val="en-US" w:eastAsia="zh-CN"/>
              </w:rPr>
              <w:t>0.002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D7FB">
            <w:pPr>
              <w:pStyle w:val="31"/>
              <w:bidi w:val="0"/>
              <w:jc w:val="center"/>
              <w:rPr>
                <w:rFonts w:hint="default"/>
                <w:color w:val="auto"/>
              </w:rPr>
            </w:pPr>
            <w:r>
              <w:rPr>
                <w:rFonts w:hint="default"/>
                <w:color w:val="auto"/>
                <w:lang w:val="en-US" w:eastAsia="zh-CN"/>
              </w:rPr>
              <w:t>0.0003L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C445">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371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52C67">
            <w:pPr>
              <w:pStyle w:val="31"/>
              <w:bidi w:val="0"/>
              <w:jc w:val="center"/>
              <w:rPr>
                <w:rFonts w:hint="default"/>
                <w:color w:val="auto"/>
              </w:rPr>
            </w:pPr>
            <w:r>
              <w:rPr>
                <w:rFonts w:hint="default"/>
                <w:color w:val="auto"/>
                <w:lang w:val="en-US" w:eastAsia="zh-CN"/>
              </w:rPr>
              <w:t>0.0003L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80E7">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89B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4508">
            <w:pPr>
              <w:pStyle w:val="31"/>
              <w:bidi w:val="0"/>
              <w:jc w:val="center"/>
              <w:rPr>
                <w:rFonts w:hint="default"/>
                <w:color w:val="auto"/>
              </w:rPr>
            </w:pPr>
            <w:r>
              <w:rPr>
                <w:rFonts w:hint="default"/>
                <w:color w:val="auto"/>
                <w:lang w:val="en-US" w:eastAsia="zh-CN"/>
              </w:rPr>
              <w:t>0.0003L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84012">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7B7C4">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79A7">
            <w:pPr>
              <w:pStyle w:val="31"/>
              <w:bidi w:val="0"/>
              <w:jc w:val="center"/>
              <w:rPr>
                <w:rFonts w:hint="default"/>
                <w:color w:val="auto"/>
              </w:rPr>
            </w:pPr>
            <w:r>
              <w:rPr>
                <w:rFonts w:hint="default"/>
                <w:color w:val="auto"/>
                <w:lang w:val="en-US" w:eastAsia="zh-CN"/>
              </w:rPr>
              <w:t>0.0003L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D953">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49585">
            <w:pPr>
              <w:pStyle w:val="31"/>
              <w:bidi w:val="0"/>
              <w:jc w:val="center"/>
              <w:rPr>
                <w:rFonts w:hint="eastAsia"/>
                <w:color w:val="auto"/>
              </w:rPr>
            </w:pPr>
            <w:r>
              <w:rPr>
                <w:rFonts w:hint="eastAsia"/>
                <w:color w:val="auto"/>
                <w:lang w:val="en-US" w:eastAsia="zh-CN"/>
              </w:rPr>
              <w:t>达标</w:t>
            </w:r>
          </w:p>
        </w:tc>
      </w:tr>
      <w:tr w14:paraId="34239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47E0">
            <w:pPr>
              <w:pStyle w:val="31"/>
              <w:bidi w:val="0"/>
              <w:jc w:val="center"/>
              <w:rPr>
                <w:rFonts w:hint="eastAsia"/>
                <w:color w:val="auto"/>
              </w:rPr>
            </w:pPr>
            <w:r>
              <w:rPr>
                <w:rFonts w:hint="eastAsia"/>
                <w:color w:val="auto"/>
                <w:lang w:val="en-US" w:eastAsia="zh-CN"/>
              </w:rPr>
              <w:t>氰化物（</w:t>
            </w:r>
            <w:r>
              <w:rPr>
                <w:rFonts w:hint="default"/>
                <w:color w:val="auto"/>
                <w:lang w:val="en-US" w:eastAsia="zh-CN"/>
              </w:rPr>
              <w:t>µg/L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674FF">
            <w:pPr>
              <w:pStyle w:val="31"/>
              <w:bidi w:val="0"/>
              <w:jc w:val="center"/>
              <w:rPr>
                <w:rFonts w:hint="default"/>
                <w:color w:val="auto"/>
              </w:rPr>
            </w:pPr>
            <w:r>
              <w:rPr>
                <w:rFonts w:hint="default"/>
                <w:color w:val="auto"/>
                <w:lang w:val="en-US" w:eastAsia="zh-CN"/>
              </w:rPr>
              <w:t>0.05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BC09">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1D64">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77A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4EC77">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B9C4B">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109E3">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9CFD">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CD06">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72DD1">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3D480">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525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A0D6E">
            <w:pPr>
              <w:pStyle w:val="31"/>
              <w:bidi w:val="0"/>
              <w:jc w:val="center"/>
              <w:rPr>
                <w:rFonts w:hint="eastAsia"/>
                <w:color w:val="auto"/>
              </w:rPr>
            </w:pPr>
            <w:r>
              <w:rPr>
                <w:rFonts w:hint="eastAsia"/>
                <w:color w:val="auto"/>
                <w:lang w:val="en-US" w:eastAsia="zh-CN"/>
              </w:rPr>
              <w:t>达标</w:t>
            </w:r>
          </w:p>
        </w:tc>
      </w:tr>
      <w:tr w14:paraId="65F92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262E">
            <w:pPr>
              <w:pStyle w:val="31"/>
              <w:bidi w:val="0"/>
              <w:jc w:val="center"/>
              <w:rPr>
                <w:rFonts w:hint="eastAsia"/>
                <w:color w:val="auto"/>
              </w:rPr>
            </w:pPr>
            <w:r>
              <w:rPr>
                <w:rFonts w:hint="eastAsia"/>
                <w:color w:val="auto"/>
                <w:lang w:val="en-US" w:eastAsia="zh-CN"/>
              </w:rPr>
              <w:t>砷（</w:t>
            </w:r>
            <w:r>
              <w:rPr>
                <w:rFonts w:hint="default"/>
                <w:color w:val="auto"/>
                <w:lang w:val="en-US" w:eastAsia="zh-CN"/>
              </w:rPr>
              <w:t>µg/L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060E8">
            <w:pPr>
              <w:pStyle w:val="31"/>
              <w:bidi w:val="0"/>
              <w:jc w:val="center"/>
              <w:rPr>
                <w:rFonts w:hint="default"/>
                <w:color w:val="auto"/>
              </w:rPr>
            </w:pPr>
            <w:r>
              <w:rPr>
                <w:rFonts w:hint="default"/>
                <w:color w:val="auto"/>
                <w:lang w:val="en-US" w:eastAsia="zh-CN"/>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878A">
            <w:pPr>
              <w:pStyle w:val="31"/>
              <w:bidi w:val="0"/>
              <w:jc w:val="center"/>
              <w:rPr>
                <w:rFonts w:hint="default"/>
                <w:color w:val="auto"/>
              </w:rPr>
            </w:pPr>
            <w:r>
              <w:rPr>
                <w:rFonts w:hint="default"/>
                <w:color w:val="auto"/>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0797">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DFC15">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5FC0">
            <w:pPr>
              <w:pStyle w:val="31"/>
              <w:bidi w:val="0"/>
              <w:jc w:val="center"/>
              <w:rPr>
                <w:rFonts w:hint="default"/>
                <w:color w:val="auto"/>
              </w:rPr>
            </w:pPr>
            <w:r>
              <w:rPr>
                <w:rFonts w:hint="default"/>
                <w:color w:val="auto"/>
                <w:lang w:val="en-US" w:eastAsia="zh-CN"/>
              </w:rPr>
              <w:t>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214A">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C25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BF6B">
            <w:pPr>
              <w:pStyle w:val="31"/>
              <w:bidi w:val="0"/>
              <w:jc w:val="center"/>
              <w:rPr>
                <w:rFonts w:hint="default"/>
                <w:color w:val="auto"/>
              </w:rPr>
            </w:pPr>
            <w:r>
              <w:rPr>
                <w:rFonts w:hint="default"/>
                <w:color w:val="auto"/>
                <w:lang w:val="en-US" w:eastAsia="zh-CN"/>
              </w:rPr>
              <w:t>0.7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84502">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62EF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321F">
            <w:pPr>
              <w:pStyle w:val="31"/>
              <w:bidi w:val="0"/>
              <w:jc w:val="center"/>
              <w:rPr>
                <w:rFonts w:hint="default"/>
                <w:color w:val="auto"/>
              </w:rPr>
            </w:pPr>
            <w:r>
              <w:rPr>
                <w:rFonts w:hint="default"/>
                <w:color w:val="auto"/>
                <w:lang w:val="en-US" w:eastAsia="zh-CN"/>
              </w:rPr>
              <w:t>0.3L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73CC">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B68F5">
            <w:pPr>
              <w:pStyle w:val="31"/>
              <w:bidi w:val="0"/>
              <w:jc w:val="center"/>
              <w:rPr>
                <w:rFonts w:hint="eastAsia"/>
                <w:color w:val="auto"/>
              </w:rPr>
            </w:pPr>
            <w:r>
              <w:rPr>
                <w:rFonts w:hint="eastAsia"/>
                <w:color w:val="auto"/>
                <w:lang w:val="en-US" w:eastAsia="zh-CN"/>
              </w:rPr>
              <w:t>达标</w:t>
            </w:r>
          </w:p>
        </w:tc>
      </w:tr>
      <w:tr w14:paraId="3E3E2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B61B">
            <w:pPr>
              <w:pStyle w:val="31"/>
              <w:bidi w:val="0"/>
              <w:jc w:val="center"/>
              <w:rPr>
                <w:rFonts w:hint="eastAsia"/>
                <w:color w:val="auto"/>
              </w:rPr>
            </w:pPr>
            <w:r>
              <w:rPr>
                <w:rFonts w:hint="eastAsia"/>
                <w:color w:val="auto"/>
                <w:lang w:val="en-US" w:eastAsia="zh-CN"/>
              </w:rPr>
              <w:t>汞（</w:t>
            </w:r>
            <w:r>
              <w:rPr>
                <w:rFonts w:hint="default"/>
                <w:color w:val="auto"/>
                <w:lang w:val="en-US" w:eastAsia="zh-CN"/>
              </w:rPr>
              <w:t>µg/L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5D8A3">
            <w:pPr>
              <w:pStyle w:val="31"/>
              <w:bidi w:val="0"/>
              <w:jc w:val="center"/>
              <w:rPr>
                <w:rFonts w:hint="default"/>
                <w:color w:val="auto"/>
              </w:rPr>
            </w:pPr>
            <w:r>
              <w:rPr>
                <w:rFonts w:hint="default"/>
                <w:color w:val="auto"/>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D17B">
            <w:pPr>
              <w:pStyle w:val="31"/>
              <w:bidi w:val="0"/>
              <w:jc w:val="center"/>
              <w:rPr>
                <w:rFonts w:hint="default"/>
                <w:color w:val="auto"/>
              </w:rPr>
            </w:pPr>
            <w:r>
              <w:rPr>
                <w:rFonts w:hint="default"/>
                <w:color w:val="auto"/>
                <w:lang w:val="en-US" w:eastAsia="zh-CN"/>
              </w:rPr>
              <w:t>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EF5FB">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391D">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A0F91">
            <w:pPr>
              <w:pStyle w:val="31"/>
              <w:bidi w:val="0"/>
              <w:jc w:val="center"/>
              <w:rPr>
                <w:rFonts w:hint="default"/>
                <w:color w:val="auto"/>
              </w:rPr>
            </w:pPr>
            <w:r>
              <w:rPr>
                <w:rFonts w:hint="default"/>
                <w:color w:val="auto"/>
                <w:lang w:val="en-US" w:eastAsia="zh-CN"/>
              </w:rPr>
              <w:t>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25FF8">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CEC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84DC">
            <w:pPr>
              <w:pStyle w:val="31"/>
              <w:bidi w:val="0"/>
              <w:jc w:val="center"/>
              <w:rPr>
                <w:rFonts w:hint="default"/>
                <w:color w:val="auto"/>
              </w:rPr>
            </w:pPr>
            <w:r>
              <w:rPr>
                <w:rFonts w:hint="default"/>
                <w:color w:val="auto"/>
                <w:lang w:val="en-US" w:eastAsia="zh-CN"/>
              </w:rPr>
              <w:t>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2988">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E2E8">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4E02">
            <w:pPr>
              <w:pStyle w:val="31"/>
              <w:bidi w:val="0"/>
              <w:jc w:val="center"/>
              <w:rPr>
                <w:rFonts w:hint="default"/>
                <w:color w:val="auto"/>
              </w:rPr>
            </w:pPr>
            <w:r>
              <w:rPr>
                <w:rFonts w:hint="default"/>
                <w:color w:val="auto"/>
                <w:lang w:val="en-US" w:eastAsia="zh-CN"/>
              </w:rPr>
              <w:t>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0D88A">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C817">
            <w:pPr>
              <w:pStyle w:val="31"/>
              <w:bidi w:val="0"/>
              <w:jc w:val="center"/>
              <w:rPr>
                <w:rFonts w:hint="eastAsia"/>
                <w:color w:val="auto"/>
              </w:rPr>
            </w:pPr>
            <w:r>
              <w:rPr>
                <w:rFonts w:hint="eastAsia"/>
                <w:color w:val="auto"/>
                <w:lang w:val="en-US" w:eastAsia="zh-CN"/>
              </w:rPr>
              <w:t>达标</w:t>
            </w:r>
          </w:p>
        </w:tc>
      </w:tr>
      <w:tr w14:paraId="60864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58AD">
            <w:pPr>
              <w:pStyle w:val="31"/>
              <w:bidi w:val="0"/>
              <w:jc w:val="center"/>
              <w:rPr>
                <w:rFonts w:hint="eastAsia"/>
                <w:color w:val="auto"/>
              </w:rPr>
            </w:pPr>
            <w:r>
              <w:rPr>
                <w:rFonts w:hint="eastAsia"/>
                <w:color w:val="auto"/>
                <w:lang w:val="en-US" w:eastAsia="zh-CN"/>
              </w:rPr>
              <w:t>六价铬（</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A8377">
            <w:pPr>
              <w:pStyle w:val="31"/>
              <w:bidi w:val="0"/>
              <w:jc w:val="center"/>
              <w:rPr>
                <w:rFonts w:hint="default"/>
                <w:color w:val="auto"/>
              </w:rPr>
            </w:pPr>
            <w:r>
              <w:rPr>
                <w:rFonts w:hint="default"/>
                <w:color w:val="auto"/>
                <w:lang w:val="en-US" w:eastAsia="zh-CN"/>
              </w:rPr>
              <w:t>0.05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1DD1">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DD85">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207B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C615">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2A73">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2A612">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B280">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3AE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0A651">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AC36A">
            <w:pPr>
              <w:pStyle w:val="31"/>
              <w:bidi w:val="0"/>
              <w:jc w:val="center"/>
              <w:rPr>
                <w:rFonts w:hint="default"/>
                <w:color w:val="auto"/>
              </w:rPr>
            </w:pPr>
            <w:r>
              <w:rPr>
                <w:rFonts w:hint="default"/>
                <w:color w:val="auto"/>
                <w:lang w:val="en-US" w:eastAsia="zh-CN"/>
              </w:rPr>
              <w:t>0.004L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76AA">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4672">
            <w:pPr>
              <w:pStyle w:val="31"/>
              <w:bidi w:val="0"/>
              <w:jc w:val="center"/>
              <w:rPr>
                <w:rFonts w:hint="eastAsia"/>
                <w:color w:val="auto"/>
              </w:rPr>
            </w:pPr>
            <w:r>
              <w:rPr>
                <w:rFonts w:hint="eastAsia"/>
                <w:color w:val="auto"/>
                <w:lang w:val="en-US" w:eastAsia="zh-CN"/>
              </w:rPr>
              <w:t>达标</w:t>
            </w:r>
          </w:p>
        </w:tc>
      </w:tr>
      <w:tr w14:paraId="451ED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6430">
            <w:pPr>
              <w:pStyle w:val="31"/>
              <w:bidi w:val="0"/>
              <w:jc w:val="center"/>
              <w:rPr>
                <w:rFonts w:hint="eastAsia"/>
                <w:color w:val="auto"/>
              </w:rPr>
            </w:pPr>
            <w:r>
              <w:rPr>
                <w:rFonts w:hint="eastAsia"/>
                <w:color w:val="auto"/>
                <w:lang w:val="en-US" w:eastAsia="zh-CN"/>
              </w:rPr>
              <w:t>总硬度（钙和镁总量）（</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AE60">
            <w:pPr>
              <w:pStyle w:val="31"/>
              <w:bidi w:val="0"/>
              <w:jc w:val="center"/>
              <w:rPr>
                <w:rFonts w:hint="default"/>
                <w:color w:val="auto"/>
              </w:rPr>
            </w:pPr>
            <w:r>
              <w:rPr>
                <w:rFonts w:hint="default"/>
                <w:color w:val="auto"/>
                <w:lang w:val="en-US" w:eastAsia="zh-CN"/>
              </w:rPr>
              <w:t>450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6246">
            <w:pPr>
              <w:pStyle w:val="31"/>
              <w:bidi w:val="0"/>
              <w:jc w:val="center"/>
              <w:rPr>
                <w:rFonts w:hint="default"/>
                <w:color w:val="auto"/>
              </w:rPr>
            </w:pPr>
            <w:r>
              <w:rPr>
                <w:rFonts w:hint="default"/>
                <w:color w:val="auto"/>
                <w:lang w:val="en-US" w:eastAsia="zh-CN"/>
              </w:rPr>
              <w:t>374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0EF5">
            <w:pPr>
              <w:pStyle w:val="31"/>
              <w:bidi w:val="0"/>
              <w:jc w:val="center"/>
              <w:rPr>
                <w:rFonts w:hint="default"/>
                <w:color w:val="auto"/>
              </w:rPr>
            </w:pPr>
            <w:r>
              <w:rPr>
                <w:rFonts w:hint="default"/>
                <w:color w:val="auto"/>
                <w:lang w:val="en-US" w:eastAsia="zh-CN"/>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9EFE">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10281">
            <w:pPr>
              <w:pStyle w:val="31"/>
              <w:bidi w:val="0"/>
              <w:jc w:val="center"/>
              <w:rPr>
                <w:rFonts w:hint="default"/>
                <w:color w:val="auto"/>
              </w:rPr>
            </w:pPr>
            <w:r>
              <w:rPr>
                <w:rFonts w:hint="default"/>
                <w:color w:val="auto"/>
                <w:lang w:val="en-US" w:eastAsia="zh-CN"/>
              </w:rPr>
              <w:t>144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684B">
            <w:pPr>
              <w:pStyle w:val="31"/>
              <w:bidi w:val="0"/>
              <w:jc w:val="center"/>
              <w:rPr>
                <w:rFonts w:hint="default"/>
                <w:color w:val="auto"/>
              </w:rPr>
            </w:pPr>
            <w:r>
              <w:rPr>
                <w:rFonts w:hint="default"/>
                <w:color w:val="auto"/>
                <w:lang w:val="en-US" w:eastAsia="zh-CN"/>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C0A5">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A729">
            <w:pPr>
              <w:pStyle w:val="31"/>
              <w:bidi w:val="0"/>
              <w:jc w:val="center"/>
              <w:rPr>
                <w:rFonts w:hint="default"/>
                <w:color w:val="auto"/>
              </w:rPr>
            </w:pPr>
            <w:r>
              <w:rPr>
                <w:rFonts w:hint="default"/>
                <w:color w:val="auto"/>
                <w:lang w:val="en-US" w:eastAsia="zh-CN"/>
              </w:rPr>
              <w:t>70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5BBE">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0A92">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6075">
            <w:pPr>
              <w:pStyle w:val="31"/>
              <w:bidi w:val="0"/>
              <w:jc w:val="center"/>
              <w:rPr>
                <w:rFonts w:hint="default"/>
                <w:color w:val="auto"/>
              </w:rPr>
            </w:pPr>
            <w:r>
              <w:rPr>
                <w:rFonts w:hint="default"/>
                <w:color w:val="auto"/>
                <w:lang w:val="en-US" w:eastAsia="zh-CN"/>
              </w:rPr>
              <w:t>89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6955">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F2A9">
            <w:pPr>
              <w:pStyle w:val="31"/>
              <w:bidi w:val="0"/>
              <w:jc w:val="center"/>
              <w:rPr>
                <w:rFonts w:hint="eastAsia"/>
                <w:color w:val="auto"/>
              </w:rPr>
            </w:pPr>
            <w:r>
              <w:rPr>
                <w:rFonts w:hint="eastAsia"/>
                <w:color w:val="auto"/>
                <w:lang w:val="en-US" w:eastAsia="zh-CN"/>
              </w:rPr>
              <w:t>达标</w:t>
            </w:r>
          </w:p>
        </w:tc>
      </w:tr>
      <w:tr w14:paraId="5DF13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AF6A">
            <w:pPr>
              <w:pStyle w:val="31"/>
              <w:bidi w:val="0"/>
              <w:jc w:val="center"/>
              <w:rPr>
                <w:rFonts w:hint="eastAsia"/>
                <w:color w:val="auto"/>
              </w:rPr>
            </w:pPr>
            <w:r>
              <w:rPr>
                <w:rFonts w:hint="eastAsia"/>
                <w:color w:val="auto"/>
                <w:lang w:val="en-US" w:eastAsia="zh-CN"/>
              </w:rPr>
              <w:t>铅（</w:t>
            </w:r>
            <w:r>
              <w:rPr>
                <w:rFonts w:hint="default"/>
                <w:color w:val="auto"/>
                <w:lang w:val="en-US" w:eastAsia="zh-CN"/>
              </w:rPr>
              <w:t>µg/LL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263D">
            <w:pPr>
              <w:pStyle w:val="31"/>
              <w:bidi w:val="0"/>
              <w:jc w:val="center"/>
              <w:rPr>
                <w:rFonts w:hint="default"/>
                <w:color w:val="auto"/>
              </w:rPr>
            </w:pPr>
            <w:r>
              <w:rPr>
                <w:rFonts w:hint="default"/>
                <w:color w:val="auto"/>
                <w:lang w:val="en-US" w:eastAsia="zh-CN"/>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80FC">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24B6">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167FE">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5D13">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A963">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7AFF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0344">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2BB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937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EC7C">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52C2">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1975">
            <w:pPr>
              <w:pStyle w:val="31"/>
              <w:bidi w:val="0"/>
              <w:jc w:val="center"/>
              <w:rPr>
                <w:rFonts w:hint="eastAsia"/>
                <w:color w:val="auto"/>
              </w:rPr>
            </w:pPr>
            <w:r>
              <w:rPr>
                <w:rFonts w:hint="eastAsia"/>
                <w:color w:val="auto"/>
                <w:lang w:val="en-US" w:eastAsia="zh-CN"/>
              </w:rPr>
              <w:t>达标</w:t>
            </w:r>
          </w:p>
        </w:tc>
      </w:tr>
      <w:tr w14:paraId="0E70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CD76">
            <w:pPr>
              <w:pStyle w:val="31"/>
              <w:bidi w:val="0"/>
              <w:jc w:val="center"/>
              <w:rPr>
                <w:rFonts w:hint="eastAsia"/>
                <w:color w:val="auto"/>
              </w:rPr>
            </w:pPr>
            <w:r>
              <w:rPr>
                <w:rFonts w:hint="eastAsia"/>
                <w:color w:val="auto"/>
                <w:lang w:val="en-US" w:eastAsia="zh-CN"/>
              </w:rPr>
              <w:t>氟化物（</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5A708">
            <w:pPr>
              <w:pStyle w:val="31"/>
              <w:bidi w:val="0"/>
              <w:jc w:val="center"/>
              <w:rPr>
                <w:rFonts w:hint="default"/>
                <w:color w:val="auto"/>
              </w:rPr>
            </w:pPr>
            <w:r>
              <w:rPr>
                <w:rFonts w:hint="default"/>
                <w:color w:val="auto"/>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94B8">
            <w:pPr>
              <w:pStyle w:val="31"/>
              <w:bidi w:val="0"/>
              <w:jc w:val="center"/>
              <w:rPr>
                <w:rFonts w:hint="default"/>
                <w:color w:val="auto"/>
              </w:rPr>
            </w:pPr>
            <w:r>
              <w:rPr>
                <w:rFonts w:hint="default"/>
                <w:color w:val="auto"/>
                <w:lang w:val="en-US" w:eastAsia="zh-CN"/>
              </w:rPr>
              <w:t>0.22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49215">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7C7DF">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1483">
            <w:pPr>
              <w:pStyle w:val="31"/>
              <w:bidi w:val="0"/>
              <w:jc w:val="center"/>
              <w:rPr>
                <w:rFonts w:hint="default"/>
                <w:color w:val="auto"/>
              </w:rPr>
            </w:pPr>
            <w:r>
              <w:rPr>
                <w:rFonts w:hint="default"/>
                <w:color w:val="auto"/>
                <w:lang w:val="en-US" w:eastAsia="zh-CN"/>
              </w:rPr>
              <w:t>0.16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8DBE1">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62184">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7BA2">
            <w:pPr>
              <w:pStyle w:val="31"/>
              <w:bidi w:val="0"/>
              <w:jc w:val="center"/>
              <w:rPr>
                <w:rFonts w:hint="default"/>
                <w:color w:val="auto"/>
              </w:rPr>
            </w:pPr>
            <w:r>
              <w:rPr>
                <w:rFonts w:hint="default"/>
                <w:color w:val="auto"/>
                <w:lang w:val="en-US" w:eastAsia="zh-CN"/>
              </w:rPr>
              <w:t>0.09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66F9">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C601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926B">
            <w:pPr>
              <w:pStyle w:val="31"/>
              <w:bidi w:val="0"/>
              <w:jc w:val="center"/>
              <w:rPr>
                <w:rFonts w:hint="default"/>
                <w:color w:val="auto"/>
              </w:rPr>
            </w:pPr>
            <w:r>
              <w:rPr>
                <w:rFonts w:hint="default"/>
                <w:color w:val="auto"/>
                <w:lang w:val="en-US" w:eastAsia="zh-CN"/>
              </w:rPr>
              <w:t>0.1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0A98F">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0DC3">
            <w:pPr>
              <w:pStyle w:val="31"/>
              <w:bidi w:val="0"/>
              <w:jc w:val="center"/>
              <w:rPr>
                <w:rFonts w:hint="eastAsia"/>
                <w:color w:val="auto"/>
              </w:rPr>
            </w:pPr>
            <w:r>
              <w:rPr>
                <w:rFonts w:hint="eastAsia"/>
                <w:color w:val="auto"/>
                <w:lang w:val="en-US" w:eastAsia="zh-CN"/>
              </w:rPr>
              <w:t>达标</w:t>
            </w:r>
          </w:p>
        </w:tc>
      </w:tr>
      <w:tr w14:paraId="5A633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7F48">
            <w:pPr>
              <w:pStyle w:val="31"/>
              <w:bidi w:val="0"/>
              <w:jc w:val="center"/>
              <w:rPr>
                <w:rFonts w:hint="eastAsia"/>
                <w:color w:val="auto"/>
              </w:rPr>
            </w:pPr>
            <w:r>
              <w:rPr>
                <w:rFonts w:hint="eastAsia"/>
                <w:color w:val="auto"/>
                <w:lang w:val="en-US" w:eastAsia="zh-CN"/>
              </w:rPr>
              <w:t>镉（</w:t>
            </w:r>
            <w:r>
              <w:rPr>
                <w:rFonts w:hint="default"/>
                <w:color w:val="auto"/>
                <w:lang w:val="en-US" w:eastAsia="zh-CN"/>
              </w:rPr>
              <w:t>µg/LL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0A280">
            <w:pPr>
              <w:pStyle w:val="31"/>
              <w:bidi w:val="0"/>
              <w:jc w:val="center"/>
              <w:rPr>
                <w:rFonts w:hint="default"/>
                <w:color w:val="auto"/>
              </w:rPr>
            </w:pPr>
            <w:r>
              <w:rPr>
                <w:rFonts w:hint="default"/>
                <w:color w:val="auto"/>
                <w:lang w:val="en-US" w:eastAsia="zh-CN"/>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711A">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4792">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0E36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A77F">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2CEF">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2DEB2">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DCA8">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1DE0">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9BBE">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E434">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FC50">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2B14C">
            <w:pPr>
              <w:pStyle w:val="31"/>
              <w:bidi w:val="0"/>
              <w:jc w:val="center"/>
              <w:rPr>
                <w:rFonts w:hint="eastAsia"/>
                <w:color w:val="auto"/>
              </w:rPr>
            </w:pPr>
            <w:r>
              <w:rPr>
                <w:rFonts w:hint="eastAsia"/>
                <w:color w:val="auto"/>
                <w:lang w:val="en-US" w:eastAsia="zh-CN"/>
              </w:rPr>
              <w:t>达标</w:t>
            </w:r>
          </w:p>
        </w:tc>
      </w:tr>
      <w:tr w14:paraId="6DA01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6F41">
            <w:pPr>
              <w:pStyle w:val="31"/>
              <w:bidi w:val="0"/>
              <w:jc w:val="center"/>
              <w:rPr>
                <w:rFonts w:hint="eastAsia"/>
                <w:color w:val="auto"/>
              </w:rPr>
            </w:pPr>
            <w:r>
              <w:rPr>
                <w:rFonts w:hint="eastAsia"/>
                <w:color w:val="auto"/>
                <w:lang w:val="en-US" w:eastAsia="zh-CN"/>
              </w:rPr>
              <w:t>铁（</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5BECD">
            <w:pPr>
              <w:pStyle w:val="31"/>
              <w:bidi w:val="0"/>
              <w:jc w:val="center"/>
              <w:rPr>
                <w:rFonts w:hint="default"/>
                <w:color w:val="auto"/>
              </w:rPr>
            </w:pPr>
            <w:r>
              <w:rPr>
                <w:rFonts w:hint="default"/>
                <w:color w:val="auto"/>
                <w:lang w:val="en-US" w:eastAsia="zh-CN"/>
              </w:rPr>
              <w:t>0.3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E6A9">
            <w:pPr>
              <w:pStyle w:val="31"/>
              <w:bidi w:val="0"/>
              <w:jc w:val="center"/>
              <w:rPr>
                <w:rFonts w:hint="default"/>
                <w:color w:val="auto"/>
              </w:rPr>
            </w:pPr>
            <w:r>
              <w:rPr>
                <w:rFonts w:hint="default"/>
                <w:color w:val="auto"/>
                <w:lang w:val="en-US" w:eastAsia="zh-CN"/>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D4C8">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BF48E">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61E8">
            <w:pPr>
              <w:pStyle w:val="31"/>
              <w:bidi w:val="0"/>
              <w:jc w:val="center"/>
              <w:rPr>
                <w:rFonts w:hint="default"/>
                <w:color w:val="auto"/>
              </w:rPr>
            </w:pPr>
            <w:r>
              <w:rPr>
                <w:rFonts w:hint="default"/>
                <w:color w:val="auto"/>
                <w:lang w:val="en-US" w:eastAsia="zh-CN"/>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E630">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392F">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336B">
            <w:pPr>
              <w:pStyle w:val="31"/>
              <w:bidi w:val="0"/>
              <w:jc w:val="center"/>
              <w:rPr>
                <w:rFonts w:hint="default"/>
                <w:color w:val="auto"/>
              </w:rPr>
            </w:pPr>
            <w:r>
              <w:rPr>
                <w:rFonts w:hint="default"/>
                <w:color w:val="auto"/>
                <w:lang w:val="en-US" w:eastAsia="zh-CN"/>
              </w:rPr>
              <w:t>0.05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3DBA">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A2D5">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12A8">
            <w:pPr>
              <w:pStyle w:val="31"/>
              <w:bidi w:val="0"/>
              <w:jc w:val="center"/>
              <w:rPr>
                <w:rFonts w:hint="default"/>
                <w:color w:val="auto"/>
              </w:rPr>
            </w:pPr>
            <w:r>
              <w:rPr>
                <w:rFonts w:hint="default"/>
                <w:color w:val="auto"/>
                <w:lang w:val="en-US" w:eastAsia="zh-CN"/>
              </w:rPr>
              <w:t>0.03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0A37">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BBBA3">
            <w:pPr>
              <w:pStyle w:val="31"/>
              <w:bidi w:val="0"/>
              <w:jc w:val="center"/>
              <w:rPr>
                <w:rFonts w:hint="eastAsia"/>
                <w:color w:val="auto"/>
              </w:rPr>
            </w:pPr>
            <w:r>
              <w:rPr>
                <w:rFonts w:hint="eastAsia"/>
                <w:color w:val="auto"/>
                <w:lang w:val="en-US" w:eastAsia="zh-CN"/>
              </w:rPr>
              <w:t>达标</w:t>
            </w:r>
          </w:p>
        </w:tc>
      </w:tr>
      <w:tr w14:paraId="091FA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2593">
            <w:pPr>
              <w:pStyle w:val="31"/>
              <w:bidi w:val="0"/>
              <w:jc w:val="center"/>
              <w:rPr>
                <w:rFonts w:hint="eastAsia"/>
                <w:color w:val="auto"/>
              </w:rPr>
            </w:pPr>
            <w:r>
              <w:rPr>
                <w:rFonts w:hint="eastAsia"/>
                <w:color w:val="auto"/>
                <w:lang w:val="en-US" w:eastAsia="zh-CN"/>
              </w:rPr>
              <w:t>锰（</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A32B">
            <w:pPr>
              <w:pStyle w:val="31"/>
              <w:bidi w:val="0"/>
              <w:jc w:val="center"/>
              <w:rPr>
                <w:rFonts w:hint="default"/>
                <w:color w:val="auto"/>
              </w:rPr>
            </w:pPr>
            <w:r>
              <w:rPr>
                <w:rFonts w:hint="default"/>
                <w:color w:val="auto"/>
                <w:lang w:val="en-US" w:eastAsia="zh-CN"/>
              </w:rPr>
              <w:t>0.1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FE5E">
            <w:pPr>
              <w:pStyle w:val="31"/>
              <w:bidi w:val="0"/>
              <w:jc w:val="center"/>
              <w:rPr>
                <w:rFonts w:hint="default"/>
                <w:color w:val="auto"/>
              </w:rPr>
            </w:pPr>
            <w:r>
              <w:rPr>
                <w:rFonts w:hint="default"/>
                <w:color w:val="auto"/>
                <w:lang w:val="en-US" w:eastAsia="zh-CN"/>
              </w:rPr>
              <w:t>0.06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66E1">
            <w:pPr>
              <w:pStyle w:val="31"/>
              <w:bidi w:val="0"/>
              <w:jc w:val="center"/>
              <w:rPr>
                <w:rFonts w:hint="default"/>
                <w:color w:val="auto"/>
              </w:rPr>
            </w:pPr>
            <w:r>
              <w:rPr>
                <w:rFonts w:hint="default"/>
                <w:color w:val="auto"/>
                <w:lang w:val="en-US" w:eastAsia="zh-CN"/>
              </w:rPr>
              <w:t>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0B84">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EEEF">
            <w:pPr>
              <w:pStyle w:val="31"/>
              <w:bidi w:val="0"/>
              <w:jc w:val="center"/>
              <w:rPr>
                <w:rFonts w:hint="default"/>
                <w:color w:val="auto"/>
              </w:rPr>
            </w:pPr>
            <w:r>
              <w:rPr>
                <w:rFonts w:hint="default"/>
                <w:color w:val="auto"/>
                <w:lang w:val="en-US" w:eastAsia="zh-CN"/>
              </w:rPr>
              <w:t>0.03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0EEA">
            <w:pPr>
              <w:pStyle w:val="31"/>
              <w:bidi w:val="0"/>
              <w:jc w:val="center"/>
              <w:rPr>
                <w:rFonts w:hint="default"/>
                <w:color w:val="auto"/>
              </w:rPr>
            </w:pPr>
            <w:r>
              <w:rPr>
                <w:rFonts w:hint="default"/>
                <w:color w:val="auto"/>
                <w:lang w:val="en-US" w:eastAsia="zh-CN"/>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945C1">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DF245">
            <w:pPr>
              <w:pStyle w:val="31"/>
              <w:bidi w:val="0"/>
              <w:jc w:val="center"/>
              <w:rPr>
                <w:rFonts w:hint="default"/>
                <w:color w:val="auto"/>
              </w:rPr>
            </w:pPr>
            <w:r>
              <w:rPr>
                <w:rFonts w:hint="default"/>
                <w:color w:val="auto"/>
                <w:lang w:val="en-US" w:eastAsia="zh-CN"/>
              </w:rPr>
              <w:t>0.05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C9DF">
            <w:pPr>
              <w:pStyle w:val="31"/>
              <w:bidi w:val="0"/>
              <w:jc w:val="center"/>
              <w:rPr>
                <w:rFonts w:hint="default"/>
                <w:color w:val="auto"/>
              </w:rPr>
            </w:pPr>
            <w:r>
              <w:rPr>
                <w:rFonts w:hint="default"/>
                <w:color w:val="auto"/>
                <w:lang w:val="en-US" w:eastAsia="zh-CN"/>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4277">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C0EAB">
            <w:pPr>
              <w:pStyle w:val="31"/>
              <w:bidi w:val="0"/>
              <w:jc w:val="center"/>
              <w:rPr>
                <w:rFonts w:hint="default"/>
                <w:color w:val="auto"/>
              </w:rPr>
            </w:pPr>
            <w:r>
              <w:rPr>
                <w:rFonts w:hint="default"/>
                <w:color w:val="auto"/>
                <w:lang w:val="en-US" w:eastAsia="zh-CN"/>
              </w:rPr>
              <w:t>0.08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F894">
            <w:pPr>
              <w:pStyle w:val="31"/>
              <w:bidi w:val="0"/>
              <w:jc w:val="center"/>
              <w:rPr>
                <w:rFonts w:hint="default"/>
                <w:color w:val="auto"/>
              </w:rPr>
            </w:pPr>
            <w:r>
              <w:rPr>
                <w:rFonts w:hint="default"/>
                <w:color w:val="auto"/>
                <w:lang w:val="en-US" w:eastAsia="zh-CN"/>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7A951">
            <w:pPr>
              <w:pStyle w:val="31"/>
              <w:bidi w:val="0"/>
              <w:jc w:val="center"/>
              <w:rPr>
                <w:rFonts w:hint="eastAsia"/>
                <w:color w:val="auto"/>
              </w:rPr>
            </w:pPr>
            <w:r>
              <w:rPr>
                <w:rFonts w:hint="eastAsia"/>
                <w:color w:val="auto"/>
                <w:lang w:val="en-US" w:eastAsia="zh-CN"/>
              </w:rPr>
              <w:t>达标</w:t>
            </w:r>
          </w:p>
        </w:tc>
      </w:tr>
      <w:tr w14:paraId="4F65D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87DA">
            <w:pPr>
              <w:pStyle w:val="31"/>
              <w:bidi w:val="0"/>
              <w:jc w:val="center"/>
              <w:rPr>
                <w:rFonts w:hint="eastAsia"/>
                <w:color w:val="auto"/>
              </w:rPr>
            </w:pPr>
            <w:r>
              <w:rPr>
                <w:rFonts w:hint="eastAsia"/>
                <w:color w:val="auto"/>
                <w:lang w:val="en-US" w:eastAsia="zh-CN"/>
              </w:rPr>
              <w:t>溶解性总固体（</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3F779">
            <w:pPr>
              <w:pStyle w:val="31"/>
              <w:bidi w:val="0"/>
              <w:jc w:val="center"/>
              <w:rPr>
                <w:rFonts w:hint="default"/>
                <w:color w:val="auto"/>
              </w:rPr>
            </w:pPr>
            <w:r>
              <w:rPr>
                <w:rFonts w:hint="default"/>
                <w:color w:val="auto"/>
                <w:lang w:val="en-US" w:eastAsia="zh-CN"/>
              </w:rPr>
              <w:t>1000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B4CB">
            <w:pPr>
              <w:pStyle w:val="31"/>
              <w:bidi w:val="0"/>
              <w:jc w:val="center"/>
              <w:rPr>
                <w:rFonts w:hint="default"/>
                <w:color w:val="auto"/>
              </w:rPr>
            </w:pPr>
            <w:r>
              <w:rPr>
                <w:rFonts w:hint="default"/>
                <w:color w:val="auto"/>
                <w:lang w:val="en-US" w:eastAsia="zh-CN"/>
              </w:rPr>
              <w:t>302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EAD12">
            <w:pPr>
              <w:pStyle w:val="31"/>
              <w:bidi w:val="0"/>
              <w:jc w:val="center"/>
              <w:rPr>
                <w:rFonts w:hint="default"/>
                <w:color w:val="auto"/>
              </w:rPr>
            </w:pPr>
            <w:r>
              <w:rPr>
                <w:rFonts w:hint="default"/>
                <w:color w:val="auto"/>
                <w:lang w:val="en-US" w:eastAsia="zh-CN"/>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F823">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75B8">
            <w:pPr>
              <w:pStyle w:val="31"/>
              <w:bidi w:val="0"/>
              <w:jc w:val="center"/>
              <w:rPr>
                <w:rFonts w:hint="default"/>
                <w:color w:val="auto"/>
              </w:rPr>
            </w:pPr>
            <w:r>
              <w:rPr>
                <w:rFonts w:hint="default"/>
                <w:color w:val="auto"/>
                <w:lang w:val="en-US" w:eastAsia="zh-CN"/>
              </w:rPr>
              <w:t>227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D3836">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4C22">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CF0ED">
            <w:pPr>
              <w:pStyle w:val="31"/>
              <w:bidi w:val="0"/>
              <w:jc w:val="center"/>
              <w:rPr>
                <w:rFonts w:hint="default"/>
                <w:color w:val="auto"/>
              </w:rPr>
            </w:pPr>
            <w:r>
              <w:rPr>
                <w:rFonts w:hint="default"/>
                <w:color w:val="auto"/>
                <w:lang w:val="en-US" w:eastAsia="zh-CN"/>
              </w:rPr>
              <w:t>183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882E">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8D18">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909E">
            <w:pPr>
              <w:pStyle w:val="31"/>
              <w:bidi w:val="0"/>
              <w:jc w:val="center"/>
              <w:rPr>
                <w:rFonts w:hint="default"/>
                <w:color w:val="auto"/>
              </w:rPr>
            </w:pPr>
            <w:r>
              <w:rPr>
                <w:rFonts w:hint="default"/>
                <w:color w:val="auto"/>
                <w:lang w:val="en-US" w:eastAsia="zh-CN"/>
              </w:rPr>
              <w:t>175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5AC5">
            <w:pPr>
              <w:pStyle w:val="31"/>
              <w:bidi w:val="0"/>
              <w:jc w:val="center"/>
              <w:rPr>
                <w:rFonts w:hint="default"/>
                <w:color w:val="auto"/>
              </w:rPr>
            </w:pPr>
            <w:r>
              <w:rPr>
                <w:rFonts w:hint="default"/>
                <w:color w:val="auto"/>
                <w:lang w:val="en-US" w:eastAsia="zh-CN"/>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8A85D">
            <w:pPr>
              <w:pStyle w:val="31"/>
              <w:bidi w:val="0"/>
              <w:jc w:val="center"/>
              <w:rPr>
                <w:rFonts w:hint="eastAsia"/>
                <w:color w:val="auto"/>
              </w:rPr>
            </w:pPr>
            <w:r>
              <w:rPr>
                <w:rFonts w:hint="eastAsia"/>
                <w:color w:val="auto"/>
                <w:lang w:val="en-US" w:eastAsia="zh-CN"/>
              </w:rPr>
              <w:t>达标</w:t>
            </w:r>
          </w:p>
        </w:tc>
      </w:tr>
      <w:tr w14:paraId="0BD47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2A3B6">
            <w:pPr>
              <w:pStyle w:val="31"/>
              <w:bidi w:val="0"/>
              <w:jc w:val="center"/>
              <w:rPr>
                <w:rFonts w:hint="eastAsia"/>
                <w:color w:val="auto"/>
              </w:rPr>
            </w:pPr>
            <w:r>
              <w:rPr>
                <w:rFonts w:hint="eastAsia"/>
                <w:color w:val="auto"/>
                <w:lang w:val="en-US" w:eastAsia="zh-CN"/>
              </w:rPr>
              <w:t>高锰酸盐指数（</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06C80">
            <w:pPr>
              <w:pStyle w:val="31"/>
              <w:bidi w:val="0"/>
              <w:jc w:val="center"/>
              <w:rPr>
                <w:rFonts w:hint="default"/>
                <w:color w:val="auto"/>
              </w:rPr>
            </w:pPr>
            <w:r>
              <w:rPr>
                <w:rFonts w:hint="default"/>
                <w:color w:val="auto"/>
                <w:lang w:val="en-US" w:eastAsia="zh-CN"/>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065E">
            <w:pPr>
              <w:pStyle w:val="31"/>
              <w:bidi w:val="0"/>
              <w:jc w:val="center"/>
              <w:rPr>
                <w:rFonts w:hint="default"/>
                <w:color w:val="auto"/>
              </w:rPr>
            </w:pPr>
            <w:r>
              <w:rPr>
                <w:rFonts w:hint="default"/>
                <w:color w:val="auto"/>
                <w:lang w:val="en-US" w:eastAsia="zh-CN"/>
              </w:rPr>
              <w:t>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0DF0">
            <w:pPr>
              <w:pStyle w:val="31"/>
              <w:bidi w:val="0"/>
              <w:jc w:val="center"/>
              <w:rPr>
                <w:rFonts w:hint="default"/>
                <w:color w:val="auto"/>
              </w:rPr>
            </w:pPr>
            <w:r>
              <w:rPr>
                <w:rFonts w:hint="default"/>
                <w:color w:val="auto"/>
                <w:lang w:val="en-US" w:eastAsia="zh-CN"/>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CF3A0">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84A2B">
            <w:pPr>
              <w:pStyle w:val="31"/>
              <w:bidi w:val="0"/>
              <w:jc w:val="center"/>
              <w:rPr>
                <w:rFonts w:hint="default"/>
                <w:color w:val="auto"/>
              </w:rPr>
            </w:pPr>
            <w:r>
              <w:rPr>
                <w:rFonts w:hint="default"/>
                <w:color w:val="auto"/>
                <w:lang w:val="en-US" w:eastAsia="zh-CN"/>
              </w:rPr>
              <w:t>2.1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382E">
            <w:pPr>
              <w:pStyle w:val="31"/>
              <w:bidi w:val="0"/>
              <w:jc w:val="center"/>
              <w:rPr>
                <w:rFonts w:hint="default"/>
                <w:color w:val="auto"/>
              </w:rPr>
            </w:pPr>
            <w:r>
              <w:rPr>
                <w:rFonts w:hint="default"/>
                <w:color w:val="auto"/>
                <w:lang w:val="en-US" w:eastAsia="zh-CN"/>
              </w:rPr>
              <w: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E1EE">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5849C">
            <w:pPr>
              <w:pStyle w:val="31"/>
              <w:bidi w:val="0"/>
              <w:jc w:val="center"/>
              <w:rPr>
                <w:rFonts w:hint="default"/>
                <w:color w:val="auto"/>
              </w:rPr>
            </w:pPr>
            <w:r>
              <w:rPr>
                <w:rFonts w:hint="default"/>
                <w:color w:val="auto"/>
                <w:lang w:val="en-US" w:eastAsia="zh-CN"/>
              </w:rPr>
              <w:t>1.7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8759">
            <w:pPr>
              <w:pStyle w:val="31"/>
              <w:bidi w:val="0"/>
              <w:jc w:val="center"/>
              <w:rPr>
                <w:rFonts w:hint="default"/>
                <w:color w:val="auto"/>
              </w:rPr>
            </w:pPr>
            <w:r>
              <w:rPr>
                <w:rFonts w:hint="default"/>
                <w:color w:val="auto"/>
                <w:lang w:val="en-US" w:eastAsia="zh-CN"/>
              </w:rPr>
              <w:t>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1FB2D">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9E7F">
            <w:pPr>
              <w:pStyle w:val="31"/>
              <w:bidi w:val="0"/>
              <w:jc w:val="center"/>
              <w:rPr>
                <w:rFonts w:hint="default"/>
                <w:color w:val="auto"/>
              </w:rPr>
            </w:pPr>
            <w:r>
              <w:rPr>
                <w:rFonts w:hint="default"/>
                <w:color w:val="auto"/>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42CD">
            <w:pPr>
              <w:pStyle w:val="31"/>
              <w:bidi w:val="0"/>
              <w:jc w:val="center"/>
              <w:rPr>
                <w:rFonts w:hint="default"/>
                <w:color w:val="auto"/>
              </w:rPr>
            </w:pPr>
            <w:r>
              <w:rPr>
                <w:rFonts w:hint="default"/>
                <w:color w:val="auto"/>
                <w:lang w:val="en-US" w:eastAsia="zh-CN"/>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48F2">
            <w:pPr>
              <w:pStyle w:val="31"/>
              <w:bidi w:val="0"/>
              <w:jc w:val="center"/>
              <w:rPr>
                <w:rFonts w:hint="eastAsia"/>
                <w:color w:val="auto"/>
              </w:rPr>
            </w:pPr>
            <w:r>
              <w:rPr>
                <w:rFonts w:hint="eastAsia"/>
                <w:color w:val="auto"/>
                <w:lang w:val="en-US" w:eastAsia="zh-CN"/>
              </w:rPr>
              <w:t>达标</w:t>
            </w:r>
          </w:p>
        </w:tc>
      </w:tr>
      <w:tr w14:paraId="4A246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995E">
            <w:pPr>
              <w:pStyle w:val="31"/>
              <w:bidi w:val="0"/>
              <w:jc w:val="center"/>
              <w:rPr>
                <w:rFonts w:hint="eastAsia"/>
                <w:color w:val="auto"/>
              </w:rPr>
            </w:pPr>
            <w:r>
              <w:rPr>
                <w:rFonts w:hint="eastAsia"/>
                <w:color w:val="auto"/>
                <w:lang w:val="en-US" w:eastAsia="zh-CN"/>
              </w:rPr>
              <w:t>硫酸盐（</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3181F">
            <w:pPr>
              <w:pStyle w:val="31"/>
              <w:bidi w:val="0"/>
              <w:jc w:val="center"/>
              <w:rPr>
                <w:rFonts w:hint="default"/>
                <w:color w:val="auto"/>
              </w:rPr>
            </w:pPr>
            <w:r>
              <w:rPr>
                <w:rFonts w:hint="default"/>
                <w:color w:val="auto"/>
                <w:lang w:val="en-US" w:eastAsia="zh-CN"/>
              </w:rPr>
              <w:t>250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AEE3">
            <w:pPr>
              <w:pStyle w:val="31"/>
              <w:bidi w:val="0"/>
              <w:jc w:val="center"/>
              <w:rPr>
                <w:rFonts w:hint="default"/>
                <w:color w:val="auto"/>
              </w:rPr>
            </w:pPr>
            <w:r>
              <w:rPr>
                <w:rFonts w:hint="default"/>
                <w:color w:val="auto"/>
                <w:lang w:val="en-US" w:eastAsia="zh-CN"/>
              </w:rPr>
              <w:t>77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D2FA">
            <w:pPr>
              <w:pStyle w:val="31"/>
              <w:bidi w:val="0"/>
              <w:jc w:val="center"/>
              <w:rPr>
                <w:rFonts w:hint="default"/>
                <w:color w:val="auto"/>
              </w:rPr>
            </w:pPr>
            <w:r>
              <w:rPr>
                <w:rFonts w:hint="default"/>
                <w:color w:val="auto"/>
                <w:lang w:val="en-US" w:eastAsia="zh-CN"/>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85E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FDF2">
            <w:pPr>
              <w:pStyle w:val="31"/>
              <w:bidi w:val="0"/>
              <w:jc w:val="center"/>
              <w:rPr>
                <w:rFonts w:hint="default"/>
                <w:color w:val="auto"/>
              </w:rPr>
            </w:pPr>
            <w:r>
              <w:rPr>
                <w:rFonts w:hint="default"/>
                <w:color w:val="auto"/>
                <w:lang w:val="en-US" w:eastAsia="zh-CN"/>
              </w:rPr>
              <w:t>17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BC65">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3E1C0">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8055">
            <w:pPr>
              <w:pStyle w:val="31"/>
              <w:bidi w:val="0"/>
              <w:jc w:val="center"/>
              <w:rPr>
                <w:rFonts w:hint="default"/>
                <w:color w:val="auto"/>
              </w:rPr>
            </w:pPr>
            <w:r>
              <w:rPr>
                <w:rFonts w:hint="default"/>
                <w:color w:val="auto"/>
                <w:lang w:val="en-US" w:eastAsia="zh-CN"/>
              </w:rPr>
              <w:t>19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3D2B7">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1448">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8DD0">
            <w:pPr>
              <w:pStyle w:val="31"/>
              <w:bidi w:val="0"/>
              <w:jc w:val="center"/>
              <w:rPr>
                <w:rFonts w:hint="default"/>
                <w:color w:val="auto"/>
              </w:rPr>
            </w:pPr>
            <w:r>
              <w:rPr>
                <w:rFonts w:hint="default"/>
                <w:color w:val="auto"/>
                <w:lang w:val="en-US" w:eastAsia="zh-CN"/>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DA77">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5D02">
            <w:pPr>
              <w:pStyle w:val="31"/>
              <w:bidi w:val="0"/>
              <w:jc w:val="center"/>
              <w:rPr>
                <w:rFonts w:hint="eastAsia"/>
                <w:color w:val="auto"/>
              </w:rPr>
            </w:pPr>
            <w:r>
              <w:rPr>
                <w:rFonts w:hint="eastAsia"/>
                <w:color w:val="auto"/>
                <w:lang w:val="en-US" w:eastAsia="zh-CN"/>
              </w:rPr>
              <w:t>达标</w:t>
            </w:r>
          </w:p>
        </w:tc>
      </w:tr>
      <w:tr w14:paraId="17D5C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4D62">
            <w:pPr>
              <w:pStyle w:val="31"/>
              <w:bidi w:val="0"/>
              <w:jc w:val="center"/>
              <w:rPr>
                <w:rFonts w:hint="eastAsia"/>
                <w:color w:val="auto"/>
              </w:rPr>
            </w:pPr>
            <w:r>
              <w:rPr>
                <w:rFonts w:hint="eastAsia"/>
                <w:color w:val="auto"/>
                <w:lang w:val="en-US" w:eastAsia="zh-CN"/>
              </w:rPr>
              <w:t>氯化物（</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69AF">
            <w:pPr>
              <w:pStyle w:val="31"/>
              <w:bidi w:val="0"/>
              <w:jc w:val="center"/>
              <w:rPr>
                <w:rFonts w:hint="default"/>
                <w:color w:val="auto"/>
              </w:rPr>
            </w:pPr>
            <w:r>
              <w:rPr>
                <w:rFonts w:hint="default"/>
                <w:color w:val="auto"/>
                <w:lang w:val="en-US" w:eastAsia="zh-CN"/>
              </w:rPr>
              <w:t>250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CA618">
            <w:pPr>
              <w:pStyle w:val="31"/>
              <w:bidi w:val="0"/>
              <w:jc w:val="center"/>
              <w:rPr>
                <w:rFonts w:hint="default"/>
                <w:color w:val="auto"/>
              </w:rPr>
            </w:pPr>
            <w:r>
              <w:rPr>
                <w:rFonts w:hint="default"/>
                <w:color w:val="auto"/>
                <w:lang w:val="en-US" w:eastAsia="zh-CN"/>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75CC">
            <w:pPr>
              <w:pStyle w:val="31"/>
              <w:bidi w:val="0"/>
              <w:jc w:val="center"/>
              <w:rPr>
                <w:rFonts w:hint="default"/>
                <w:color w:val="auto"/>
              </w:rPr>
            </w:pPr>
            <w:r>
              <w:rPr>
                <w:rFonts w:hint="default"/>
                <w:color w:val="auto"/>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82C61">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6B560">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9F8B">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90BF5">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98DF">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C5ACB">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C835">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F608">
            <w:pPr>
              <w:pStyle w:val="31"/>
              <w:bidi w:val="0"/>
              <w:jc w:val="center"/>
              <w:rPr>
                <w:rFonts w:hint="default"/>
                <w:color w:val="auto"/>
              </w:rPr>
            </w:pPr>
            <w:r>
              <w:rPr>
                <w:rFonts w:hint="default"/>
                <w:color w:val="auto"/>
                <w:lang w:val="en-US" w:eastAsia="zh-CN"/>
              </w:rPr>
              <w:t>10L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2497">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D362A">
            <w:pPr>
              <w:pStyle w:val="31"/>
              <w:bidi w:val="0"/>
              <w:jc w:val="center"/>
              <w:rPr>
                <w:rFonts w:hint="eastAsia"/>
                <w:color w:val="auto"/>
              </w:rPr>
            </w:pPr>
            <w:r>
              <w:rPr>
                <w:rFonts w:hint="eastAsia"/>
                <w:color w:val="auto"/>
                <w:lang w:val="en-US" w:eastAsia="zh-CN"/>
              </w:rPr>
              <w:t>达标</w:t>
            </w:r>
          </w:p>
        </w:tc>
      </w:tr>
      <w:tr w14:paraId="48415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BC91">
            <w:pPr>
              <w:pStyle w:val="31"/>
              <w:bidi w:val="0"/>
              <w:jc w:val="center"/>
              <w:rPr>
                <w:rFonts w:hint="eastAsia"/>
                <w:color w:val="auto"/>
              </w:rPr>
            </w:pPr>
            <w:r>
              <w:rPr>
                <w:rFonts w:hint="eastAsia"/>
                <w:color w:val="auto"/>
                <w:lang w:val="en-US" w:eastAsia="zh-CN"/>
              </w:rPr>
              <w:t>总大肠菌群</w:t>
            </w:r>
            <w:r>
              <w:rPr>
                <w:rFonts w:hint="default"/>
                <w:color w:val="auto"/>
                <w:lang w:val="en-US" w:eastAsia="zh-CN"/>
              </w:rPr>
              <w:t>*</w:t>
            </w:r>
            <w:r>
              <w:rPr>
                <w:rFonts w:hint="eastAsia"/>
                <w:color w:val="auto"/>
                <w:lang w:val="en-US" w:eastAsia="zh-CN"/>
              </w:rPr>
              <w:t>（</w:t>
            </w:r>
            <w:r>
              <w:rPr>
                <w:rFonts w:hint="default"/>
                <w:color w:val="auto"/>
                <w:lang w:val="en-US" w:eastAsia="zh-CN"/>
              </w:rPr>
              <w:t>MPN/100ml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56E5">
            <w:pPr>
              <w:pStyle w:val="31"/>
              <w:bidi w:val="0"/>
              <w:jc w:val="center"/>
              <w:rPr>
                <w:rFonts w:hint="default"/>
                <w:color w:val="auto"/>
              </w:rPr>
            </w:pPr>
            <w:r>
              <w:rPr>
                <w:rFonts w:hint="default"/>
                <w:color w:val="auto"/>
                <w:lang w:val="en-US" w:eastAsia="zh-CN"/>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034BB">
            <w:pPr>
              <w:pStyle w:val="31"/>
              <w:bidi w:val="0"/>
              <w:jc w:val="center"/>
              <w:rPr>
                <w:rFonts w:hint="default"/>
                <w:color w:val="auto"/>
              </w:rPr>
            </w:pPr>
            <w:r>
              <w:rPr>
                <w:rFonts w:hint="default"/>
                <w:color w:val="auto"/>
                <w:lang w:val="en-US" w:eastAsia="zh-CN"/>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B34CD">
            <w:pPr>
              <w:pStyle w:val="31"/>
              <w:bidi w:val="0"/>
              <w:jc w:val="center"/>
              <w:rPr>
                <w:rFonts w:hint="default"/>
                <w:color w:val="auto"/>
              </w:rPr>
            </w:pPr>
            <w:r>
              <w:rPr>
                <w:rFonts w:hint="default"/>
                <w:color w:val="auto"/>
                <w:lang w:val="en-US" w:eastAsia="zh-CN"/>
              </w:rPr>
              <w: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FDB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3B43">
            <w:pPr>
              <w:pStyle w:val="31"/>
              <w:bidi w:val="0"/>
              <w:jc w:val="center"/>
              <w:rPr>
                <w:rFonts w:hint="default"/>
                <w:color w:val="auto"/>
              </w:rPr>
            </w:pPr>
            <w:r>
              <w:rPr>
                <w:rFonts w:hint="default"/>
                <w:color w:val="auto"/>
                <w:lang w:val="en-US" w:eastAsia="zh-CN"/>
              </w:rPr>
              <w:t>2L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D046">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B09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04B9">
            <w:pPr>
              <w:pStyle w:val="31"/>
              <w:bidi w:val="0"/>
              <w:jc w:val="center"/>
              <w:rPr>
                <w:rFonts w:hint="default"/>
                <w:color w:val="auto"/>
              </w:rPr>
            </w:pPr>
            <w:r>
              <w:rPr>
                <w:rFonts w:hint="default"/>
                <w:color w:val="auto"/>
                <w:lang w:val="en-US" w:eastAsia="zh-CN"/>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1596C">
            <w:pPr>
              <w:pStyle w:val="31"/>
              <w:bidi w:val="0"/>
              <w:jc w:val="center"/>
              <w:rPr>
                <w:rFonts w:hint="default"/>
                <w:color w:val="auto"/>
              </w:rPr>
            </w:pPr>
            <w:r>
              <w:rPr>
                <w:rFonts w:hint="default"/>
                <w:color w:val="auto"/>
                <w:lang w:val="en-US" w:eastAsia="zh-CN"/>
              </w:rPr>
              <w: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86BCB">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A9CB4">
            <w:pPr>
              <w:pStyle w:val="31"/>
              <w:bidi w:val="0"/>
              <w:jc w:val="center"/>
              <w:rPr>
                <w:rFonts w:hint="default"/>
                <w:color w:val="auto"/>
              </w:rPr>
            </w:pPr>
            <w:r>
              <w:rPr>
                <w:rFonts w:hint="default"/>
                <w:color w:val="auto"/>
                <w:lang w:val="en-US" w:eastAsia="zh-CN"/>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3664">
            <w:pPr>
              <w:pStyle w:val="31"/>
              <w:bidi w:val="0"/>
              <w:jc w:val="center"/>
              <w:rPr>
                <w:rFonts w:hint="default"/>
                <w:color w:val="auto"/>
              </w:rPr>
            </w:pPr>
            <w:r>
              <w:rPr>
                <w:rFonts w:hint="default"/>
                <w:color w:val="auto"/>
                <w:lang w:val="en-US" w:eastAsia="zh-CN"/>
              </w:rPr>
              <w: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F951">
            <w:pPr>
              <w:pStyle w:val="31"/>
              <w:bidi w:val="0"/>
              <w:jc w:val="center"/>
              <w:rPr>
                <w:rFonts w:hint="eastAsia"/>
                <w:color w:val="auto"/>
              </w:rPr>
            </w:pPr>
            <w:r>
              <w:rPr>
                <w:rFonts w:hint="eastAsia"/>
                <w:color w:val="auto"/>
                <w:lang w:val="en-US" w:eastAsia="zh-CN"/>
              </w:rPr>
              <w:t>达标</w:t>
            </w:r>
          </w:p>
        </w:tc>
      </w:tr>
      <w:tr w14:paraId="61670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9B13F">
            <w:pPr>
              <w:pStyle w:val="31"/>
              <w:bidi w:val="0"/>
              <w:jc w:val="center"/>
              <w:rPr>
                <w:rFonts w:hint="eastAsia"/>
                <w:color w:val="auto"/>
              </w:rPr>
            </w:pPr>
            <w:r>
              <w:rPr>
                <w:rFonts w:hint="eastAsia"/>
                <w:color w:val="auto"/>
                <w:lang w:val="en-US" w:eastAsia="zh-CN"/>
              </w:rPr>
              <w:t>细菌总数</w:t>
            </w:r>
            <w:r>
              <w:rPr>
                <w:rFonts w:hint="default"/>
                <w:color w:val="auto"/>
                <w:lang w:val="en-US" w:eastAsia="zh-CN"/>
              </w:rPr>
              <w:t>*</w:t>
            </w:r>
            <w:r>
              <w:rPr>
                <w:rFonts w:hint="eastAsia"/>
                <w:color w:val="auto"/>
                <w:lang w:val="en-US" w:eastAsia="zh-CN"/>
              </w:rPr>
              <w:t>（</w:t>
            </w:r>
            <w:r>
              <w:rPr>
                <w:rFonts w:hint="default"/>
                <w:color w:val="auto"/>
                <w:lang w:val="en-US" w:eastAsia="zh-CN"/>
              </w:rPr>
              <w:t>CFU/ml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09DD">
            <w:pPr>
              <w:pStyle w:val="31"/>
              <w:bidi w:val="0"/>
              <w:jc w:val="center"/>
              <w:rPr>
                <w:rFonts w:hint="default"/>
                <w:color w:val="auto"/>
              </w:rPr>
            </w:pPr>
            <w:r>
              <w:rPr>
                <w:rFonts w:hint="default"/>
                <w:color w:val="auto"/>
                <w:lang w:val="en-US" w:eastAsia="zh-CN"/>
              </w:rPr>
              <w:t>1000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175D">
            <w:pPr>
              <w:pStyle w:val="31"/>
              <w:bidi w:val="0"/>
              <w:jc w:val="center"/>
              <w:rPr>
                <w:rFonts w:hint="default"/>
                <w:color w:val="auto"/>
              </w:rPr>
            </w:pPr>
            <w:r>
              <w:rPr>
                <w:rFonts w:hint="default"/>
                <w:color w:val="auto"/>
                <w:lang w:val="en-US" w:eastAsia="zh-CN"/>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63627">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8BED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FBA8">
            <w:pPr>
              <w:pStyle w:val="31"/>
              <w:bidi w:val="0"/>
              <w:jc w:val="center"/>
              <w:rPr>
                <w:rFonts w:hint="default"/>
                <w:color w:val="auto"/>
              </w:rPr>
            </w:pPr>
            <w:r>
              <w:rPr>
                <w:rFonts w:hint="default"/>
                <w:color w:val="auto"/>
                <w:lang w:val="en-US" w:eastAsia="zh-CN"/>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7B60">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B11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7616">
            <w:pPr>
              <w:pStyle w:val="31"/>
              <w:bidi w:val="0"/>
              <w:jc w:val="center"/>
              <w:rPr>
                <w:rFonts w:hint="default"/>
                <w:color w:val="auto"/>
              </w:rPr>
            </w:pPr>
            <w:r>
              <w:rPr>
                <w:rFonts w:hint="default"/>
                <w:color w:val="auto"/>
                <w:lang w:val="en-US" w:eastAsia="zh-CN"/>
              </w:rPr>
              <w:t>39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5134">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4D7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D29F">
            <w:pPr>
              <w:pStyle w:val="31"/>
              <w:bidi w:val="0"/>
              <w:jc w:val="center"/>
              <w:rPr>
                <w:rFonts w:hint="default"/>
                <w:color w:val="auto"/>
              </w:rPr>
            </w:pPr>
            <w:r>
              <w:rPr>
                <w:rFonts w:hint="default"/>
                <w:color w:val="auto"/>
                <w:lang w:val="en-US" w:eastAsia="zh-CN"/>
              </w:rPr>
              <w:t>38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9613">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26B72">
            <w:pPr>
              <w:pStyle w:val="31"/>
              <w:bidi w:val="0"/>
              <w:jc w:val="center"/>
              <w:rPr>
                <w:rFonts w:hint="eastAsia"/>
                <w:color w:val="auto"/>
              </w:rPr>
            </w:pPr>
            <w:r>
              <w:rPr>
                <w:rFonts w:hint="eastAsia"/>
                <w:color w:val="auto"/>
                <w:lang w:val="en-US" w:eastAsia="zh-CN"/>
              </w:rPr>
              <w:t>达标</w:t>
            </w:r>
          </w:p>
        </w:tc>
      </w:tr>
      <w:tr w14:paraId="6702E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4FBE">
            <w:pPr>
              <w:pStyle w:val="31"/>
              <w:bidi w:val="0"/>
              <w:jc w:val="center"/>
              <w:rPr>
                <w:rFonts w:hint="eastAsia"/>
                <w:color w:val="auto"/>
              </w:rPr>
            </w:pPr>
            <w:r>
              <w:rPr>
                <w:rFonts w:hint="eastAsia"/>
                <w:color w:val="auto"/>
                <w:lang w:val="en-US" w:eastAsia="zh-CN"/>
              </w:rPr>
              <w:t>锌（</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F331E">
            <w:pPr>
              <w:pStyle w:val="31"/>
              <w:bidi w:val="0"/>
              <w:jc w:val="center"/>
              <w:rPr>
                <w:rFonts w:hint="default"/>
                <w:color w:val="auto"/>
              </w:rPr>
            </w:pPr>
            <w:r>
              <w:rPr>
                <w:rFonts w:hint="default"/>
                <w:color w:val="auto"/>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D194">
            <w:pPr>
              <w:pStyle w:val="31"/>
              <w:bidi w:val="0"/>
              <w:jc w:val="center"/>
              <w:rPr>
                <w:rFonts w:hint="default"/>
                <w:color w:val="auto"/>
              </w:rPr>
            </w:pPr>
            <w:r>
              <w:rPr>
                <w:rFonts w:hint="default"/>
                <w:color w:val="auto"/>
                <w:lang w:val="en-US" w:eastAsia="zh-CN"/>
              </w:rPr>
              <w:t>0.019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62C7">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1DDD6">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1865">
            <w:pPr>
              <w:pStyle w:val="31"/>
              <w:bidi w:val="0"/>
              <w:jc w:val="center"/>
              <w:rPr>
                <w:rFonts w:hint="default"/>
                <w:color w:val="auto"/>
              </w:rPr>
            </w:pPr>
            <w:r>
              <w:rPr>
                <w:rFonts w:hint="default"/>
                <w:color w:val="auto"/>
                <w:lang w:val="en-US" w:eastAsia="zh-CN"/>
              </w:rPr>
              <w:t>0.023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FAB9">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F58D1">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9A2D">
            <w:pPr>
              <w:pStyle w:val="31"/>
              <w:bidi w:val="0"/>
              <w:jc w:val="center"/>
              <w:rPr>
                <w:rFonts w:hint="default"/>
                <w:color w:val="auto"/>
              </w:rPr>
            </w:pPr>
            <w:r>
              <w:rPr>
                <w:rFonts w:hint="default"/>
                <w:color w:val="auto"/>
                <w:lang w:val="en-US" w:eastAsia="zh-CN"/>
              </w:rPr>
              <w:t>0.032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31C1">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6210E">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7C6B">
            <w:pPr>
              <w:pStyle w:val="31"/>
              <w:bidi w:val="0"/>
              <w:jc w:val="center"/>
              <w:rPr>
                <w:rFonts w:hint="default"/>
                <w:color w:val="auto"/>
              </w:rPr>
            </w:pPr>
            <w:r>
              <w:rPr>
                <w:rFonts w:hint="default"/>
                <w:color w:val="auto"/>
                <w:lang w:val="en-US" w:eastAsia="zh-CN"/>
              </w:rPr>
              <w:t>0.013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3191">
            <w:pPr>
              <w:pStyle w:val="31"/>
              <w:bidi w:val="0"/>
              <w:jc w:val="center"/>
              <w:rPr>
                <w:rFonts w:hint="default"/>
                <w:color w:val="auto"/>
              </w:rPr>
            </w:pPr>
            <w:r>
              <w:rPr>
                <w:rFonts w:hint="default"/>
                <w:color w:val="auto"/>
                <w:lang w:val="en-US" w:eastAsia="zh-CN"/>
              </w:rPr>
              <w:t>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81EC4">
            <w:pPr>
              <w:pStyle w:val="31"/>
              <w:bidi w:val="0"/>
              <w:jc w:val="center"/>
              <w:rPr>
                <w:rFonts w:hint="eastAsia"/>
                <w:color w:val="auto"/>
              </w:rPr>
            </w:pPr>
            <w:r>
              <w:rPr>
                <w:rFonts w:hint="eastAsia"/>
                <w:color w:val="auto"/>
                <w:lang w:val="en-US" w:eastAsia="zh-CN"/>
              </w:rPr>
              <w:t>达标</w:t>
            </w:r>
          </w:p>
        </w:tc>
      </w:tr>
      <w:tr w14:paraId="359AC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444E">
            <w:pPr>
              <w:pStyle w:val="31"/>
              <w:bidi w:val="0"/>
              <w:jc w:val="center"/>
              <w:rPr>
                <w:rFonts w:hint="eastAsia"/>
                <w:color w:val="auto"/>
              </w:rPr>
            </w:pPr>
            <w:r>
              <w:rPr>
                <w:rFonts w:hint="eastAsia"/>
                <w:color w:val="auto"/>
                <w:lang w:val="en-US" w:eastAsia="zh-CN"/>
              </w:rPr>
              <w:t>铜（</w:t>
            </w:r>
            <w:r>
              <w:rPr>
                <w:rFonts w:hint="default"/>
                <w:color w:val="auto"/>
                <w:lang w:val="en-US" w:eastAsia="zh-CN"/>
              </w:rPr>
              <w:t>µg/L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45D3">
            <w:pPr>
              <w:pStyle w:val="31"/>
              <w:bidi w:val="0"/>
              <w:jc w:val="center"/>
              <w:rPr>
                <w:rFonts w:hint="default"/>
                <w:color w:val="auto"/>
              </w:rPr>
            </w:pPr>
            <w:r>
              <w:rPr>
                <w:rFonts w:hint="default"/>
                <w:color w:val="auto"/>
                <w:lang w:val="en-US" w:eastAsia="zh-CN"/>
              </w:rPr>
              <w:t>1000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4CFC">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C2D1">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CB00">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9F27">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9AD2D">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44EB">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1AB8">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1705">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AB2F">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63C8">
            <w:pPr>
              <w:pStyle w:val="31"/>
              <w:bidi w:val="0"/>
              <w:jc w:val="center"/>
              <w:rPr>
                <w:rFonts w:hint="default"/>
                <w:color w:val="auto"/>
              </w:rPr>
            </w:pPr>
            <w:r>
              <w:rPr>
                <w:rFonts w:hint="default"/>
                <w:color w:val="auto"/>
                <w:lang w:val="en-US" w:eastAsia="zh-CN"/>
              </w:rPr>
              <w:t>1L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E198">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BC52">
            <w:pPr>
              <w:pStyle w:val="31"/>
              <w:bidi w:val="0"/>
              <w:jc w:val="center"/>
              <w:rPr>
                <w:rFonts w:hint="eastAsia"/>
                <w:color w:val="auto"/>
              </w:rPr>
            </w:pPr>
            <w:r>
              <w:rPr>
                <w:rFonts w:hint="eastAsia"/>
                <w:color w:val="auto"/>
                <w:lang w:val="en-US" w:eastAsia="zh-CN"/>
              </w:rPr>
              <w:t>达标</w:t>
            </w:r>
          </w:p>
        </w:tc>
      </w:tr>
      <w:tr w14:paraId="125D0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4B8E">
            <w:pPr>
              <w:pStyle w:val="31"/>
              <w:bidi w:val="0"/>
              <w:jc w:val="center"/>
              <w:rPr>
                <w:rFonts w:hint="eastAsia"/>
                <w:color w:val="auto"/>
              </w:rPr>
            </w:pPr>
            <w:r>
              <w:rPr>
                <w:rFonts w:hint="eastAsia"/>
                <w:color w:val="auto"/>
                <w:lang w:val="en-US" w:eastAsia="zh-CN"/>
              </w:rPr>
              <w:t>镍（</w:t>
            </w:r>
            <w:r>
              <w:rPr>
                <w:rFonts w:hint="default"/>
                <w:color w:val="auto"/>
                <w:lang w:val="en-US" w:eastAsia="zh-CN"/>
              </w:rPr>
              <w:t>mg/L</w:t>
            </w:r>
            <w:r>
              <w:rPr>
                <w:rFonts w:hint="eastAsia"/>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EC536">
            <w:pPr>
              <w:pStyle w:val="31"/>
              <w:bidi w:val="0"/>
              <w:jc w:val="center"/>
              <w:rPr>
                <w:rFonts w:hint="default"/>
                <w:color w:val="auto"/>
              </w:rPr>
            </w:pPr>
            <w:r>
              <w:rPr>
                <w:rFonts w:hint="default"/>
                <w:color w:val="auto"/>
                <w:lang w:val="en-US" w:eastAsia="zh-CN"/>
              </w:rPr>
              <w:t>0.02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D64CF">
            <w:pPr>
              <w:pStyle w:val="31"/>
              <w:bidi w:val="0"/>
              <w:jc w:val="center"/>
              <w:rPr>
                <w:rFonts w:hint="default"/>
                <w:color w:val="auto"/>
              </w:rPr>
            </w:pPr>
            <w:r>
              <w:rPr>
                <w:rFonts w:hint="default"/>
                <w:color w:val="auto"/>
                <w:lang w:val="en-US" w:eastAsia="zh-CN"/>
              </w:rPr>
              <w:t>0.007L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6C1E">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26B82">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26F7">
            <w:pPr>
              <w:pStyle w:val="31"/>
              <w:bidi w:val="0"/>
              <w:jc w:val="center"/>
              <w:rPr>
                <w:rFonts w:hint="default"/>
                <w:color w:val="auto"/>
              </w:rPr>
            </w:pPr>
            <w:r>
              <w:rPr>
                <w:rFonts w:hint="default"/>
                <w:color w:val="auto"/>
                <w:lang w:val="en-US" w:eastAsia="zh-CN"/>
              </w:rPr>
              <w:t>0.007L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8947">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940E4">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9A62">
            <w:pPr>
              <w:pStyle w:val="31"/>
              <w:bidi w:val="0"/>
              <w:jc w:val="center"/>
              <w:rPr>
                <w:rFonts w:hint="default"/>
                <w:color w:val="auto"/>
              </w:rPr>
            </w:pPr>
            <w:r>
              <w:rPr>
                <w:rFonts w:hint="default"/>
                <w:color w:val="auto"/>
                <w:lang w:val="en-US" w:eastAsia="zh-CN"/>
              </w:rPr>
              <w:t>0.007L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37D3">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A279">
            <w:pPr>
              <w:pStyle w:val="31"/>
              <w:bidi w:val="0"/>
              <w:jc w:val="center"/>
              <w:rPr>
                <w:rFonts w:hint="eastAsia"/>
                <w:color w:val="auto"/>
              </w:rPr>
            </w:pPr>
            <w:r>
              <w:rPr>
                <w:rFonts w:hint="eastAsia"/>
                <w:color w:val="auto"/>
                <w:lang w:val="en-US" w:eastAsia="zh-CN"/>
              </w:rPr>
              <w:t>达标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DFC6">
            <w:pPr>
              <w:pStyle w:val="31"/>
              <w:bidi w:val="0"/>
              <w:jc w:val="center"/>
              <w:rPr>
                <w:rFonts w:hint="default"/>
                <w:color w:val="auto"/>
              </w:rPr>
            </w:pPr>
            <w:r>
              <w:rPr>
                <w:rFonts w:hint="default"/>
                <w:color w:val="auto"/>
                <w:lang w:val="en-US" w:eastAsia="zh-CN"/>
              </w:rPr>
              <w:t>0.007L</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5180">
            <w:pPr>
              <w:pStyle w:val="31"/>
              <w:bidi w:val="0"/>
              <w:jc w:val="center"/>
              <w:rPr>
                <w:rFonts w:hint="default"/>
                <w:color w:val="auto"/>
              </w:rPr>
            </w:pPr>
            <w:r>
              <w:rPr>
                <w:rFonts w:hint="default"/>
                <w:color w:val="auto"/>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8295C">
            <w:pPr>
              <w:pStyle w:val="31"/>
              <w:bidi w:val="0"/>
              <w:jc w:val="center"/>
              <w:rPr>
                <w:rFonts w:hint="eastAsia"/>
                <w:color w:val="auto"/>
              </w:rPr>
            </w:pPr>
            <w:r>
              <w:rPr>
                <w:rFonts w:hint="eastAsia"/>
                <w:color w:val="auto"/>
                <w:lang w:val="en-US" w:eastAsia="zh-CN"/>
              </w:rPr>
              <w:t>达标</w:t>
            </w:r>
          </w:p>
        </w:tc>
      </w:tr>
      <w:tr w14:paraId="4776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gridSpan w:val="1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2979">
            <w:pPr>
              <w:pStyle w:val="31"/>
              <w:bidi w:val="0"/>
              <w:jc w:val="left"/>
              <w:rPr>
                <w:rFonts w:hint="eastAsia"/>
                <w:color w:val="auto"/>
              </w:rPr>
            </w:pPr>
            <w:r>
              <w:rPr>
                <w:rFonts w:hint="eastAsia"/>
                <w:color w:val="auto"/>
                <w:lang w:val="en-US" w:eastAsia="zh-CN"/>
              </w:rPr>
              <w:t>1、结果有“L”表示检测结果低于方法检出限，其数值为该项目检出限。2、标注“*”项目为分包项目，分包单位为安徽绿健检测技术服务有限公司，证书编号：221221110286，检测报告编号：AHLJH2501-019S。</w:t>
            </w:r>
          </w:p>
        </w:tc>
      </w:tr>
    </w:tbl>
    <w:p w14:paraId="618303DE">
      <w:pPr>
        <w:pStyle w:val="11"/>
        <w:bidi w:val="0"/>
        <w:rPr>
          <w:rFonts w:hint="eastAsia"/>
          <w:color w:val="auto"/>
          <w:lang w:val="zh-CN" w:eastAsia="zh-CN"/>
        </w:rPr>
      </w:pPr>
      <w:r>
        <w:rPr>
          <w:rFonts w:hint="eastAsia"/>
          <w:color w:val="auto"/>
          <w:lang w:val="en-US" w:eastAsia="zh-CN"/>
        </w:rPr>
        <w:t>续</w:t>
      </w:r>
      <w:r>
        <w:rPr>
          <w:color w:val="auto"/>
        </w:rPr>
        <w:t>表</w:t>
      </w:r>
      <w:r>
        <w:rPr>
          <w:color w:val="auto"/>
        </w:rPr>
        <w:fldChar w:fldCharType="begin"/>
      </w:r>
      <w:r>
        <w:rPr>
          <w:color w:val="auto"/>
        </w:rPr>
        <w:instrText xml:space="preserve"> STYLEREF 2 \s </w:instrText>
      </w:r>
      <w:r>
        <w:rPr>
          <w:color w:val="auto"/>
        </w:rPr>
        <w:fldChar w:fldCharType="separate"/>
      </w:r>
      <w:r>
        <w:rPr>
          <w:color w:val="auto"/>
        </w:rPr>
        <w:t>4.2</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11</w:t>
      </w:r>
      <w:r>
        <w:rPr>
          <w:color w:val="auto"/>
        </w:rPr>
        <w:fldChar w:fldCharType="end"/>
      </w:r>
      <w:r>
        <w:rPr>
          <w:rFonts w:hint="eastAsia"/>
          <w:color w:val="auto"/>
          <w:lang w:val="en-US" w:eastAsia="zh-CN"/>
        </w:rPr>
        <w:t>地下水监测结果及评价结果表</w:t>
      </w:r>
    </w:p>
    <w:tbl>
      <w:tblPr>
        <w:tblStyle w:val="24"/>
        <w:tblW w:w="14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38"/>
        <w:gridCol w:w="1139"/>
        <w:gridCol w:w="1061"/>
        <w:gridCol w:w="843"/>
        <w:gridCol w:w="920"/>
        <w:gridCol w:w="1061"/>
        <w:gridCol w:w="843"/>
        <w:gridCol w:w="920"/>
        <w:gridCol w:w="1061"/>
        <w:gridCol w:w="843"/>
        <w:gridCol w:w="920"/>
        <w:gridCol w:w="1061"/>
        <w:gridCol w:w="843"/>
        <w:gridCol w:w="921"/>
      </w:tblGrid>
      <w:tr w14:paraId="0A61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Merge w:val="restart"/>
            <w:shd w:val="clear" w:color="auto" w:fill="auto"/>
            <w:vAlign w:val="center"/>
          </w:tcPr>
          <w:p w14:paraId="47ACF260">
            <w:pPr>
              <w:pStyle w:val="31"/>
              <w:bidi w:val="0"/>
              <w:jc w:val="center"/>
              <w:rPr>
                <w:rFonts w:hint="eastAsia"/>
                <w:color w:val="auto"/>
              </w:rPr>
            </w:pPr>
            <w:r>
              <w:rPr>
                <w:rFonts w:hint="eastAsia"/>
                <w:color w:val="auto"/>
                <w:lang w:val="en-US" w:eastAsia="zh-CN"/>
              </w:rPr>
              <w:t>检测项目</w:t>
            </w:r>
          </w:p>
        </w:tc>
        <w:tc>
          <w:tcPr>
            <w:tcW w:w="1080" w:type="dxa"/>
            <w:vMerge w:val="restart"/>
            <w:shd w:val="clear" w:color="auto" w:fill="auto"/>
            <w:noWrap/>
            <w:vAlign w:val="center"/>
          </w:tcPr>
          <w:p w14:paraId="3BEB279F">
            <w:pPr>
              <w:pStyle w:val="31"/>
              <w:bidi w:val="0"/>
              <w:jc w:val="center"/>
              <w:rPr>
                <w:rFonts w:hint="eastAsia"/>
                <w:color w:val="auto"/>
              </w:rPr>
            </w:pPr>
            <w:r>
              <w:rPr>
                <w:rFonts w:hint="eastAsia"/>
                <w:color w:val="auto"/>
                <w:lang w:val="en-US" w:eastAsia="zh-CN"/>
              </w:rPr>
              <w:t>评价标准</w:t>
            </w:r>
          </w:p>
        </w:tc>
        <w:tc>
          <w:tcPr>
            <w:tcW w:w="3240" w:type="dxa"/>
            <w:gridSpan w:val="3"/>
            <w:shd w:val="clear" w:color="auto" w:fill="auto"/>
            <w:vAlign w:val="center"/>
          </w:tcPr>
          <w:p w14:paraId="058656CC">
            <w:pPr>
              <w:pStyle w:val="31"/>
              <w:bidi w:val="0"/>
              <w:jc w:val="center"/>
              <w:rPr>
                <w:rFonts w:hint="default"/>
                <w:color w:val="auto"/>
              </w:rPr>
            </w:pPr>
            <w:r>
              <w:rPr>
                <w:rFonts w:hint="default"/>
                <w:color w:val="auto"/>
                <w:lang w:val="en-US" w:eastAsia="zh-CN"/>
              </w:rPr>
              <w:t>D9</w:t>
            </w:r>
          </w:p>
        </w:tc>
        <w:tc>
          <w:tcPr>
            <w:tcW w:w="3240" w:type="dxa"/>
            <w:gridSpan w:val="3"/>
            <w:shd w:val="clear" w:color="auto" w:fill="auto"/>
            <w:vAlign w:val="center"/>
          </w:tcPr>
          <w:p w14:paraId="20A837DD">
            <w:pPr>
              <w:pStyle w:val="31"/>
              <w:bidi w:val="0"/>
              <w:jc w:val="center"/>
              <w:rPr>
                <w:rFonts w:hint="default"/>
                <w:color w:val="auto"/>
              </w:rPr>
            </w:pPr>
            <w:r>
              <w:rPr>
                <w:rFonts w:hint="default"/>
                <w:color w:val="auto"/>
                <w:lang w:val="en-US" w:eastAsia="zh-CN"/>
              </w:rPr>
              <w:t>D12</w:t>
            </w:r>
          </w:p>
        </w:tc>
        <w:tc>
          <w:tcPr>
            <w:tcW w:w="3240" w:type="dxa"/>
            <w:gridSpan w:val="3"/>
            <w:shd w:val="clear" w:color="auto" w:fill="auto"/>
            <w:vAlign w:val="center"/>
          </w:tcPr>
          <w:p w14:paraId="7C6DF304">
            <w:pPr>
              <w:pStyle w:val="31"/>
              <w:bidi w:val="0"/>
              <w:jc w:val="center"/>
              <w:rPr>
                <w:rFonts w:hint="default"/>
                <w:color w:val="auto"/>
              </w:rPr>
            </w:pPr>
            <w:r>
              <w:rPr>
                <w:rFonts w:hint="default"/>
                <w:color w:val="auto"/>
                <w:lang w:val="en-US" w:eastAsia="zh-CN"/>
              </w:rPr>
              <w:t>D15</w:t>
            </w:r>
          </w:p>
        </w:tc>
        <w:tc>
          <w:tcPr>
            <w:tcW w:w="3240" w:type="dxa"/>
            <w:gridSpan w:val="3"/>
            <w:shd w:val="clear" w:color="auto" w:fill="auto"/>
            <w:vAlign w:val="center"/>
          </w:tcPr>
          <w:p w14:paraId="29F51B59">
            <w:pPr>
              <w:pStyle w:val="31"/>
              <w:bidi w:val="0"/>
              <w:jc w:val="center"/>
              <w:rPr>
                <w:rFonts w:hint="default"/>
                <w:color w:val="auto"/>
              </w:rPr>
            </w:pPr>
            <w:r>
              <w:rPr>
                <w:rFonts w:hint="default"/>
                <w:color w:val="auto"/>
                <w:lang w:val="en-US" w:eastAsia="zh-CN"/>
              </w:rPr>
              <w:t>D18</w:t>
            </w:r>
          </w:p>
        </w:tc>
      </w:tr>
      <w:tr w14:paraId="5A81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vMerge w:val="continue"/>
            <w:shd w:val="clear" w:color="auto" w:fill="auto"/>
            <w:vAlign w:val="center"/>
          </w:tcPr>
          <w:p w14:paraId="4C1090B3">
            <w:pPr>
              <w:pStyle w:val="31"/>
              <w:bidi w:val="0"/>
              <w:jc w:val="center"/>
              <w:rPr>
                <w:rFonts w:hint="eastAsia"/>
                <w:color w:val="auto"/>
              </w:rPr>
            </w:pPr>
          </w:p>
        </w:tc>
        <w:tc>
          <w:tcPr>
            <w:tcW w:w="1080" w:type="dxa"/>
            <w:vMerge w:val="continue"/>
            <w:shd w:val="clear" w:color="auto" w:fill="auto"/>
            <w:noWrap/>
            <w:vAlign w:val="center"/>
          </w:tcPr>
          <w:p w14:paraId="77698F09">
            <w:pPr>
              <w:pStyle w:val="31"/>
              <w:bidi w:val="0"/>
              <w:jc w:val="center"/>
              <w:rPr>
                <w:rFonts w:hint="eastAsia"/>
                <w:color w:val="auto"/>
              </w:rPr>
            </w:pPr>
          </w:p>
        </w:tc>
        <w:tc>
          <w:tcPr>
            <w:tcW w:w="1080" w:type="dxa"/>
            <w:shd w:val="clear" w:color="auto" w:fill="auto"/>
            <w:vAlign w:val="center"/>
          </w:tcPr>
          <w:p w14:paraId="17345FF7">
            <w:pPr>
              <w:pStyle w:val="31"/>
              <w:bidi w:val="0"/>
              <w:jc w:val="center"/>
              <w:rPr>
                <w:rFonts w:hint="eastAsia"/>
                <w:color w:val="auto"/>
              </w:rPr>
            </w:pPr>
            <w:r>
              <w:rPr>
                <w:rFonts w:hint="eastAsia"/>
                <w:color w:val="auto"/>
                <w:lang w:val="en-US" w:eastAsia="zh-CN"/>
              </w:rPr>
              <w:t>结果</w:t>
            </w:r>
          </w:p>
        </w:tc>
        <w:tc>
          <w:tcPr>
            <w:tcW w:w="1080" w:type="dxa"/>
            <w:shd w:val="clear" w:color="auto" w:fill="auto"/>
            <w:vAlign w:val="center"/>
          </w:tcPr>
          <w:p w14:paraId="1C2B49CD">
            <w:pPr>
              <w:pStyle w:val="31"/>
              <w:bidi w:val="0"/>
              <w:jc w:val="center"/>
              <w:rPr>
                <w:rFonts w:hint="eastAsia"/>
                <w:color w:val="auto"/>
              </w:rPr>
            </w:pPr>
            <w:r>
              <w:rPr>
                <w:rFonts w:hint="eastAsia"/>
                <w:color w:val="auto"/>
                <w:lang w:val="en-US" w:eastAsia="zh-CN"/>
              </w:rPr>
              <w:t>标准指数</w:t>
            </w:r>
          </w:p>
        </w:tc>
        <w:tc>
          <w:tcPr>
            <w:tcW w:w="1080" w:type="dxa"/>
            <w:shd w:val="clear" w:color="auto" w:fill="auto"/>
            <w:vAlign w:val="center"/>
          </w:tcPr>
          <w:p w14:paraId="34C8ABA2">
            <w:pPr>
              <w:pStyle w:val="31"/>
              <w:bidi w:val="0"/>
              <w:jc w:val="center"/>
              <w:rPr>
                <w:rFonts w:hint="eastAsia"/>
                <w:color w:val="auto"/>
              </w:rPr>
            </w:pPr>
            <w:r>
              <w:rPr>
                <w:rFonts w:hint="eastAsia"/>
                <w:color w:val="auto"/>
                <w:lang w:val="en-US" w:eastAsia="zh-CN"/>
              </w:rPr>
              <w:t>达标情况</w:t>
            </w:r>
          </w:p>
        </w:tc>
        <w:tc>
          <w:tcPr>
            <w:tcW w:w="1080" w:type="dxa"/>
            <w:shd w:val="clear" w:color="auto" w:fill="auto"/>
            <w:vAlign w:val="center"/>
          </w:tcPr>
          <w:p w14:paraId="16FE4E32">
            <w:pPr>
              <w:pStyle w:val="31"/>
              <w:bidi w:val="0"/>
              <w:jc w:val="center"/>
              <w:rPr>
                <w:rFonts w:hint="eastAsia"/>
                <w:color w:val="auto"/>
              </w:rPr>
            </w:pPr>
            <w:r>
              <w:rPr>
                <w:rFonts w:hint="eastAsia"/>
                <w:color w:val="auto"/>
                <w:lang w:val="en-US" w:eastAsia="zh-CN"/>
              </w:rPr>
              <w:t>结果</w:t>
            </w:r>
          </w:p>
        </w:tc>
        <w:tc>
          <w:tcPr>
            <w:tcW w:w="1080" w:type="dxa"/>
            <w:shd w:val="clear" w:color="auto" w:fill="auto"/>
            <w:vAlign w:val="center"/>
          </w:tcPr>
          <w:p w14:paraId="6C4A3529">
            <w:pPr>
              <w:pStyle w:val="31"/>
              <w:bidi w:val="0"/>
              <w:jc w:val="center"/>
              <w:rPr>
                <w:rFonts w:hint="eastAsia"/>
                <w:color w:val="auto"/>
              </w:rPr>
            </w:pPr>
            <w:r>
              <w:rPr>
                <w:rFonts w:hint="eastAsia"/>
                <w:color w:val="auto"/>
                <w:lang w:val="en-US" w:eastAsia="zh-CN"/>
              </w:rPr>
              <w:t>标准指数</w:t>
            </w:r>
          </w:p>
        </w:tc>
        <w:tc>
          <w:tcPr>
            <w:tcW w:w="1080" w:type="dxa"/>
            <w:shd w:val="clear" w:color="auto" w:fill="auto"/>
            <w:vAlign w:val="center"/>
          </w:tcPr>
          <w:p w14:paraId="143DC2F4">
            <w:pPr>
              <w:pStyle w:val="31"/>
              <w:bidi w:val="0"/>
              <w:jc w:val="center"/>
              <w:rPr>
                <w:rFonts w:hint="eastAsia"/>
                <w:color w:val="auto"/>
              </w:rPr>
            </w:pPr>
            <w:r>
              <w:rPr>
                <w:rFonts w:hint="eastAsia"/>
                <w:color w:val="auto"/>
                <w:lang w:val="en-US" w:eastAsia="zh-CN"/>
              </w:rPr>
              <w:t>达标情况</w:t>
            </w:r>
          </w:p>
        </w:tc>
        <w:tc>
          <w:tcPr>
            <w:tcW w:w="1080" w:type="dxa"/>
            <w:shd w:val="clear" w:color="auto" w:fill="auto"/>
            <w:vAlign w:val="center"/>
          </w:tcPr>
          <w:p w14:paraId="00E7A595">
            <w:pPr>
              <w:pStyle w:val="31"/>
              <w:bidi w:val="0"/>
              <w:jc w:val="center"/>
              <w:rPr>
                <w:rFonts w:hint="eastAsia"/>
                <w:color w:val="auto"/>
              </w:rPr>
            </w:pPr>
            <w:r>
              <w:rPr>
                <w:rFonts w:hint="eastAsia"/>
                <w:color w:val="auto"/>
                <w:lang w:val="en-US" w:eastAsia="zh-CN"/>
              </w:rPr>
              <w:t>结果</w:t>
            </w:r>
          </w:p>
        </w:tc>
        <w:tc>
          <w:tcPr>
            <w:tcW w:w="1080" w:type="dxa"/>
            <w:shd w:val="clear" w:color="auto" w:fill="auto"/>
            <w:vAlign w:val="center"/>
          </w:tcPr>
          <w:p w14:paraId="4563831A">
            <w:pPr>
              <w:pStyle w:val="31"/>
              <w:bidi w:val="0"/>
              <w:jc w:val="center"/>
              <w:rPr>
                <w:rFonts w:hint="eastAsia"/>
                <w:color w:val="auto"/>
              </w:rPr>
            </w:pPr>
            <w:r>
              <w:rPr>
                <w:rFonts w:hint="eastAsia"/>
                <w:color w:val="auto"/>
                <w:lang w:val="en-US" w:eastAsia="zh-CN"/>
              </w:rPr>
              <w:t>标准指数</w:t>
            </w:r>
          </w:p>
        </w:tc>
        <w:tc>
          <w:tcPr>
            <w:tcW w:w="1080" w:type="dxa"/>
            <w:shd w:val="clear" w:color="auto" w:fill="auto"/>
            <w:vAlign w:val="center"/>
          </w:tcPr>
          <w:p w14:paraId="27FFE947">
            <w:pPr>
              <w:pStyle w:val="31"/>
              <w:bidi w:val="0"/>
              <w:jc w:val="center"/>
              <w:rPr>
                <w:rFonts w:hint="eastAsia"/>
                <w:color w:val="auto"/>
              </w:rPr>
            </w:pPr>
            <w:r>
              <w:rPr>
                <w:rFonts w:hint="eastAsia"/>
                <w:color w:val="auto"/>
                <w:lang w:val="en-US" w:eastAsia="zh-CN"/>
              </w:rPr>
              <w:t>达标情况</w:t>
            </w:r>
          </w:p>
        </w:tc>
        <w:tc>
          <w:tcPr>
            <w:tcW w:w="1080" w:type="dxa"/>
            <w:shd w:val="clear" w:color="auto" w:fill="auto"/>
            <w:vAlign w:val="center"/>
          </w:tcPr>
          <w:p w14:paraId="063C32B3">
            <w:pPr>
              <w:pStyle w:val="31"/>
              <w:bidi w:val="0"/>
              <w:jc w:val="center"/>
              <w:rPr>
                <w:rFonts w:hint="eastAsia"/>
                <w:color w:val="auto"/>
              </w:rPr>
            </w:pPr>
            <w:r>
              <w:rPr>
                <w:rFonts w:hint="eastAsia"/>
                <w:color w:val="auto"/>
                <w:lang w:val="en-US" w:eastAsia="zh-CN"/>
              </w:rPr>
              <w:t>结果</w:t>
            </w:r>
          </w:p>
        </w:tc>
        <w:tc>
          <w:tcPr>
            <w:tcW w:w="1080" w:type="dxa"/>
            <w:shd w:val="clear" w:color="auto" w:fill="auto"/>
            <w:vAlign w:val="center"/>
          </w:tcPr>
          <w:p w14:paraId="2C0AF9AB">
            <w:pPr>
              <w:pStyle w:val="31"/>
              <w:bidi w:val="0"/>
              <w:jc w:val="center"/>
              <w:rPr>
                <w:rFonts w:hint="eastAsia"/>
                <w:color w:val="auto"/>
              </w:rPr>
            </w:pPr>
            <w:r>
              <w:rPr>
                <w:rFonts w:hint="eastAsia"/>
                <w:color w:val="auto"/>
                <w:lang w:val="en-US" w:eastAsia="zh-CN"/>
              </w:rPr>
              <w:t>标准指数</w:t>
            </w:r>
          </w:p>
        </w:tc>
        <w:tc>
          <w:tcPr>
            <w:tcW w:w="1080" w:type="dxa"/>
            <w:shd w:val="clear" w:color="auto" w:fill="auto"/>
            <w:vAlign w:val="center"/>
          </w:tcPr>
          <w:p w14:paraId="773E4315">
            <w:pPr>
              <w:pStyle w:val="31"/>
              <w:bidi w:val="0"/>
              <w:jc w:val="center"/>
              <w:rPr>
                <w:rFonts w:hint="eastAsia"/>
                <w:color w:val="auto"/>
              </w:rPr>
            </w:pPr>
            <w:r>
              <w:rPr>
                <w:rFonts w:hint="eastAsia"/>
                <w:color w:val="auto"/>
                <w:lang w:val="en-US" w:eastAsia="zh-CN"/>
              </w:rPr>
              <w:t>达标情况</w:t>
            </w:r>
          </w:p>
        </w:tc>
      </w:tr>
      <w:tr w14:paraId="382A0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B63A558">
            <w:pPr>
              <w:pStyle w:val="31"/>
              <w:bidi w:val="0"/>
              <w:jc w:val="center"/>
              <w:rPr>
                <w:rFonts w:hint="eastAsia"/>
                <w:color w:val="auto"/>
              </w:rPr>
            </w:pPr>
            <w:r>
              <w:rPr>
                <w:rFonts w:hint="eastAsia"/>
                <w:color w:val="auto"/>
                <w:lang w:val="en-US" w:eastAsia="zh-CN"/>
              </w:rPr>
              <w:t>钾（</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2073BCE1">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6CE8A678">
            <w:pPr>
              <w:pStyle w:val="31"/>
              <w:bidi w:val="0"/>
              <w:jc w:val="center"/>
              <w:rPr>
                <w:rFonts w:hint="default"/>
                <w:color w:val="auto"/>
              </w:rPr>
            </w:pPr>
            <w:r>
              <w:rPr>
                <w:rFonts w:hint="default"/>
                <w:color w:val="auto"/>
                <w:lang w:val="en-US" w:eastAsia="zh-CN"/>
              </w:rPr>
              <w:t>2.32</w:t>
            </w:r>
          </w:p>
        </w:tc>
        <w:tc>
          <w:tcPr>
            <w:tcW w:w="0" w:type="auto"/>
            <w:shd w:val="clear" w:color="auto" w:fill="auto"/>
            <w:noWrap/>
            <w:vAlign w:val="center"/>
          </w:tcPr>
          <w:p w14:paraId="41B217B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5365A40">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ABE0A8A">
            <w:pPr>
              <w:pStyle w:val="31"/>
              <w:bidi w:val="0"/>
              <w:jc w:val="center"/>
              <w:rPr>
                <w:rFonts w:hint="default"/>
                <w:color w:val="auto"/>
              </w:rPr>
            </w:pPr>
            <w:r>
              <w:rPr>
                <w:rFonts w:hint="default"/>
                <w:color w:val="auto"/>
                <w:lang w:val="en-US" w:eastAsia="zh-CN"/>
              </w:rPr>
              <w:t>2.68</w:t>
            </w:r>
          </w:p>
        </w:tc>
        <w:tc>
          <w:tcPr>
            <w:tcW w:w="0" w:type="auto"/>
            <w:shd w:val="clear" w:color="auto" w:fill="auto"/>
            <w:noWrap/>
            <w:vAlign w:val="center"/>
          </w:tcPr>
          <w:p w14:paraId="7935B3AF">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10F8DFD">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5731A3BB">
            <w:pPr>
              <w:pStyle w:val="31"/>
              <w:bidi w:val="0"/>
              <w:jc w:val="center"/>
              <w:rPr>
                <w:rFonts w:hint="default"/>
                <w:color w:val="auto"/>
              </w:rPr>
            </w:pPr>
            <w:r>
              <w:rPr>
                <w:rFonts w:hint="default"/>
                <w:color w:val="auto"/>
                <w:lang w:val="en-US" w:eastAsia="zh-CN"/>
              </w:rPr>
              <w:t>2.33</w:t>
            </w:r>
          </w:p>
        </w:tc>
        <w:tc>
          <w:tcPr>
            <w:tcW w:w="0" w:type="auto"/>
            <w:shd w:val="clear" w:color="auto" w:fill="auto"/>
            <w:noWrap/>
            <w:vAlign w:val="center"/>
          </w:tcPr>
          <w:p w14:paraId="591586A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1D8083E">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7421A32F">
            <w:pPr>
              <w:pStyle w:val="31"/>
              <w:bidi w:val="0"/>
              <w:jc w:val="center"/>
              <w:rPr>
                <w:rFonts w:hint="default"/>
                <w:color w:val="auto"/>
              </w:rPr>
            </w:pPr>
            <w:r>
              <w:rPr>
                <w:rFonts w:hint="default"/>
                <w:color w:val="auto"/>
                <w:lang w:val="en-US" w:eastAsia="zh-CN"/>
              </w:rPr>
              <w:t>0.96</w:t>
            </w:r>
          </w:p>
        </w:tc>
        <w:tc>
          <w:tcPr>
            <w:tcW w:w="0" w:type="auto"/>
            <w:shd w:val="clear" w:color="auto" w:fill="auto"/>
            <w:noWrap/>
            <w:vAlign w:val="center"/>
          </w:tcPr>
          <w:p w14:paraId="58448535">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6ECB2DE">
            <w:pPr>
              <w:pStyle w:val="31"/>
              <w:bidi w:val="0"/>
              <w:jc w:val="center"/>
              <w:rPr>
                <w:rFonts w:hint="default"/>
                <w:color w:val="auto"/>
              </w:rPr>
            </w:pPr>
            <w:r>
              <w:rPr>
                <w:rFonts w:hint="default"/>
                <w:color w:val="auto"/>
                <w:lang w:val="en-US" w:eastAsia="zh-CN"/>
              </w:rPr>
              <w:t>/</w:t>
            </w:r>
          </w:p>
        </w:tc>
      </w:tr>
      <w:tr w14:paraId="4612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7E7657CC">
            <w:pPr>
              <w:pStyle w:val="31"/>
              <w:bidi w:val="0"/>
              <w:jc w:val="center"/>
              <w:rPr>
                <w:rFonts w:hint="eastAsia"/>
                <w:color w:val="auto"/>
              </w:rPr>
            </w:pPr>
            <w:r>
              <w:rPr>
                <w:rFonts w:hint="eastAsia"/>
                <w:color w:val="auto"/>
                <w:lang w:val="en-US" w:eastAsia="zh-CN"/>
              </w:rPr>
              <w:t>钠（</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3C68389F">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5EC50B17">
            <w:pPr>
              <w:pStyle w:val="31"/>
              <w:bidi w:val="0"/>
              <w:jc w:val="center"/>
              <w:rPr>
                <w:rFonts w:hint="default"/>
                <w:color w:val="auto"/>
              </w:rPr>
            </w:pPr>
            <w:r>
              <w:rPr>
                <w:rFonts w:hint="default"/>
                <w:color w:val="auto"/>
                <w:lang w:val="en-US" w:eastAsia="zh-CN"/>
              </w:rPr>
              <w:t>6.1</w:t>
            </w:r>
          </w:p>
        </w:tc>
        <w:tc>
          <w:tcPr>
            <w:tcW w:w="0" w:type="auto"/>
            <w:shd w:val="clear" w:color="auto" w:fill="auto"/>
            <w:noWrap/>
            <w:vAlign w:val="center"/>
          </w:tcPr>
          <w:p w14:paraId="03840CF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5A1CE4B">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6D358AC5">
            <w:pPr>
              <w:pStyle w:val="31"/>
              <w:bidi w:val="0"/>
              <w:jc w:val="center"/>
              <w:rPr>
                <w:rFonts w:hint="default"/>
                <w:color w:val="auto"/>
              </w:rPr>
            </w:pPr>
            <w:r>
              <w:rPr>
                <w:rFonts w:hint="default"/>
                <w:color w:val="auto"/>
                <w:lang w:val="en-US" w:eastAsia="zh-CN"/>
              </w:rPr>
              <w:t>7.7</w:t>
            </w:r>
          </w:p>
        </w:tc>
        <w:tc>
          <w:tcPr>
            <w:tcW w:w="0" w:type="auto"/>
            <w:shd w:val="clear" w:color="auto" w:fill="auto"/>
            <w:noWrap/>
            <w:vAlign w:val="center"/>
          </w:tcPr>
          <w:p w14:paraId="1C457530">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FAA8944">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7C96A3C7">
            <w:pPr>
              <w:pStyle w:val="31"/>
              <w:bidi w:val="0"/>
              <w:jc w:val="center"/>
              <w:rPr>
                <w:rFonts w:hint="default"/>
                <w:color w:val="auto"/>
              </w:rPr>
            </w:pPr>
            <w:r>
              <w:rPr>
                <w:rFonts w:hint="default"/>
                <w:color w:val="auto"/>
                <w:lang w:val="en-US" w:eastAsia="zh-CN"/>
              </w:rPr>
              <w:t>7.98</w:t>
            </w:r>
          </w:p>
        </w:tc>
        <w:tc>
          <w:tcPr>
            <w:tcW w:w="0" w:type="auto"/>
            <w:shd w:val="clear" w:color="auto" w:fill="auto"/>
            <w:noWrap/>
            <w:vAlign w:val="center"/>
          </w:tcPr>
          <w:p w14:paraId="4C456545">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80230AB">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19E70F6B">
            <w:pPr>
              <w:pStyle w:val="31"/>
              <w:bidi w:val="0"/>
              <w:jc w:val="center"/>
              <w:rPr>
                <w:rFonts w:hint="default"/>
                <w:color w:val="auto"/>
              </w:rPr>
            </w:pPr>
            <w:r>
              <w:rPr>
                <w:rFonts w:hint="default"/>
                <w:color w:val="auto"/>
                <w:lang w:val="en-US" w:eastAsia="zh-CN"/>
              </w:rPr>
              <w:t>3.61</w:t>
            </w:r>
          </w:p>
        </w:tc>
        <w:tc>
          <w:tcPr>
            <w:tcW w:w="0" w:type="auto"/>
            <w:shd w:val="clear" w:color="auto" w:fill="auto"/>
            <w:noWrap/>
            <w:vAlign w:val="center"/>
          </w:tcPr>
          <w:p w14:paraId="66007C88">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A58C55D">
            <w:pPr>
              <w:pStyle w:val="31"/>
              <w:bidi w:val="0"/>
              <w:jc w:val="center"/>
              <w:rPr>
                <w:rFonts w:hint="default"/>
                <w:color w:val="auto"/>
              </w:rPr>
            </w:pPr>
            <w:r>
              <w:rPr>
                <w:rFonts w:hint="default"/>
                <w:color w:val="auto"/>
                <w:lang w:val="en-US" w:eastAsia="zh-CN"/>
              </w:rPr>
              <w:t>/</w:t>
            </w:r>
          </w:p>
        </w:tc>
      </w:tr>
      <w:tr w14:paraId="1A84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0CE757AE">
            <w:pPr>
              <w:pStyle w:val="31"/>
              <w:bidi w:val="0"/>
              <w:jc w:val="center"/>
              <w:rPr>
                <w:rFonts w:hint="eastAsia"/>
                <w:color w:val="auto"/>
              </w:rPr>
            </w:pPr>
            <w:r>
              <w:rPr>
                <w:rFonts w:hint="eastAsia"/>
                <w:color w:val="auto"/>
                <w:lang w:val="en-US" w:eastAsia="zh-CN"/>
              </w:rPr>
              <w:t>钙（</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2CDA15E6">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AD4D89D">
            <w:pPr>
              <w:pStyle w:val="31"/>
              <w:bidi w:val="0"/>
              <w:jc w:val="center"/>
              <w:rPr>
                <w:rFonts w:hint="default"/>
                <w:color w:val="auto"/>
              </w:rPr>
            </w:pPr>
            <w:r>
              <w:rPr>
                <w:rFonts w:hint="default"/>
                <w:color w:val="auto"/>
                <w:lang w:val="en-US" w:eastAsia="zh-CN"/>
              </w:rPr>
              <w:t>54.6</w:t>
            </w:r>
          </w:p>
        </w:tc>
        <w:tc>
          <w:tcPr>
            <w:tcW w:w="0" w:type="auto"/>
            <w:shd w:val="clear" w:color="auto" w:fill="auto"/>
            <w:noWrap/>
            <w:vAlign w:val="center"/>
          </w:tcPr>
          <w:p w14:paraId="779F6D32">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7B93459">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363D2BF0">
            <w:pPr>
              <w:pStyle w:val="31"/>
              <w:bidi w:val="0"/>
              <w:jc w:val="center"/>
              <w:rPr>
                <w:rFonts w:hint="default"/>
                <w:color w:val="auto"/>
              </w:rPr>
            </w:pPr>
            <w:r>
              <w:rPr>
                <w:rFonts w:hint="default"/>
                <w:color w:val="auto"/>
                <w:lang w:val="en-US" w:eastAsia="zh-CN"/>
              </w:rPr>
              <w:t>61.4</w:t>
            </w:r>
          </w:p>
        </w:tc>
        <w:tc>
          <w:tcPr>
            <w:tcW w:w="0" w:type="auto"/>
            <w:shd w:val="clear" w:color="auto" w:fill="auto"/>
            <w:noWrap/>
            <w:vAlign w:val="center"/>
          </w:tcPr>
          <w:p w14:paraId="0D20D6B1">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A0F10B0">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5AA58E57">
            <w:pPr>
              <w:pStyle w:val="31"/>
              <w:bidi w:val="0"/>
              <w:jc w:val="center"/>
              <w:rPr>
                <w:rFonts w:hint="default"/>
                <w:color w:val="auto"/>
              </w:rPr>
            </w:pPr>
            <w:r>
              <w:rPr>
                <w:rFonts w:hint="default"/>
                <w:color w:val="auto"/>
                <w:lang w:val="en-US" w:eastAsia="zh-CN"/>
              </w:rPr>
              <w:t>96.7</w:t>
            </w:r>
          </w:p>
        </w:tc>
        <w:tc>
          <w:tcPr>
            <w:tcW w:w="0" w:type="auto"/>
            <w:shd w:val="clear" w:color="auto" w:fill="auto"/>
            <w:noWrap/>
            <w:vAlign w:val="center"/>
          </w:tcPr>
          <w:p w14:paraId="0582349C">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5C21079F">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A7E8C98">
            <w:pPr>
              <w:pStyle w:val="31"/>
              <w:bidi w:val="0"/>
              <w:jc w:val="center"/>
              <w:rPr>
                <w:rFonts w:hint="default"/>
                <w:color w:val="auto"/>
              </w:rPr>
            </w:pPr>
            <w:r>
              <w:rPr>
                <w:rFonts w:hint="default"/>
                <w:color w:val="auto"/>
                <w:lang w:val="en-US" w:eastAsia="zh-CN"/>
              </w:rPr>
              <w:t>57.8</w:t>
            </w:r>
          </w:p>
        </w:tc>
        <w:tc>
          <w:tcPr>
            <w:tcW w:w="0" w:type="auto"/>
            <w:shd w:val="clear" w:color="auto" w:fill="auto"/>
            <w:noWrap/>
            <w:vAlign w:val="center"/>
          </w:tcPr>
          <w:p w14:paraId="229DB3CC">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BF9992D">
            <w:pPr>
              <w:pStyle w:val="31"/>
              <w:bidi w:val="0"/>
              <w:jc w:val="center"/>
              <w:rPr>
                <w:rFonts w:hint="default"/>
                <w:color w:val="auto"/>
              </w:rPr>
            </w:pPr>
            <w:r>
              <w:rPr>
                <w:rFonts w:hint="default"/>
                <w:color w:val="auto"/>
                <w:lang w:val="en-US" w:eastAsia="zh-CN"/>
              </w:rPr>
              <w:t>/</w:t>
            </w:r>
          </w:p>
        </w:tc>
      </w:tr>
      <w:tr w14:paraId="5DE7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7BEFFC44">
            <w:pPr>
              <w:pStyle w:val="31"/>
              <w:bidi w:val="0"/>
              <w:jc w:val="center"/>
              <w:rPr>
                <w:rFonts w:hint="eastAsia"/>
                <w:color w:val="auto"/>
              </w:rPr>
            </w:pPr>
            <w:r>
              <w:rPr>
                <w:rFonts w:hint="eastAsia"/>
                <w:color w:val="auto"/>
                <w:lang w:val="en-US" w:eastAsia="zh-CN"/>
              </w:rPr>
              <w:t>镁（</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255A5BDF">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1395A28">
            <w:pPr>
              <w:pStyle w:val="31"/>
              <w:bidi w:val="0"/>
              <w:jc w:val="center"/>
              <w:rPr>
                <w:rFonts w:hint="default"/>
                <w:color w:val="auto"/>
              </w:rPr>
            </w:pPr>
            <w:r>
              <w:rPr>
                <w:rFonts w:hint="default"/>
                <w:color w:val="auto"/>
                <w:lang w:val="en-US" w:eastAsia="zh-CN"/>
              </w:rPr>
              <w:t>2.96</w:t>
            </w:r>
          </w:p>
        </w:tc>
        <w:tc>
          <w:tcPr>
            <w:tcW w:w="0" w:type="auto"/>
            <w:shd w:val="clear" w:color="auto" w:fill="auto"/>
            <w:noWrap/>
            <w:vAlign w:val="center"/>
          </w:tcPr>
          <w:p w14:paraId="0C44CF10">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0DB2AE5">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660B1DB0">
            <w:pPr>
              <w:pStyle w:val="31"/>
              <w:bidi w:val="0"/>
              <w:jc w:val="center"/>
              <w:rPr>
                <w:rFonts w:hint="default"/>
                <w:color w:val="auto"/>
              </w:rPr>
            </w:pPr>
            <w:r>
              <w:rPr>
                <w:rFonts w:hint="default"/>
                <w:color w:val="auto"/>
                <w:lang w:val="en-US" w:eastAsia="zh-CN"/>
              </w:rPr>
              <w:t>4.82</w:t>
            </w:r>
          </w:p>
        </w:tc>
        <w:tc>
          <w:tcPr>
            <w:tcW w:w="0" w:type="auto"/>
            <w:shd w:val="clear" w:color="auto" w:fill="auto"/>
            <w:noWrap/>
            <w:vAlign w:val="center"/>
          </w:tcPr>
          <w:p w14:paraId="4786922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558C149A">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18BEE59">
            <w:pPr>
              <w:pStyle w:val="31"/>
              <w:bidi w:val="0"/>
              <w:jc w:val="center"/>
              <w:rPr>
                <w:rFonts w:hint="default"/>
                <w:color w:val="auto"/>
              </w:rPr>
            </w:pPr>
            <w:r>
              <w:rPr>
                <w:rFonts w:hint="default"/>
                <w:color w:val="auto"/>
                <w:lang w:val="en-US" w:eastAsia="zh-CN"/>
              </w:rPr>
              <w:t>31.9</w:t>
            </w:r>
          </w:p>
        </w:tc>
        <w:tc>
          <w:tcPr>
            <w:tcW w:w="0" w:type="auto"/>
            <w:shd w:val="clear" w:color="auto" w:fill="auto"/>
            <w:noWrap/>
            <w:vAlign w:val="center"/>
          </w:tcPr>
          <w:p w14:paraId="5F9F0B71">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F98F943">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3D1A5BCA">
            <w:pPr>
              <w:pStyle w:val="31"/>
              <w:bidi w:val="0"/>
              <w:jc w:val="center"/>
              <w:rPr>
                <w:rFonts w:hint="default"/>
                <w:color w:val="auto"/>
              </w:rPr>
            </w:pPr>
            <w:r>
              <w:rPr>
                <w:rFonts w:hint="default"/>
                <w:color w:val="auto"/>
                <w:lang w:val="en-US" w:eastAsia="zh-CN"/>
              </w:rPr>
              <w:t>4.45</w:t>
            </w:r>
          </w:p>
        </w:tc>
        <w:tc>
          <w:tcPr>
            <w:tcW w:w="0" w:type="auto"/>
            <w:shd w:val="clear" w:color="auto" w:fill="auto"/>
            <w:noWrap/>
            <w:vAlign w:val="center"/>
          </w:tcPr>
          <w:p w14:paraId="4A38845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F54BE7E">
            <w:pPr>
              <w:pStyle w:val="31"/>
              <w:bidi w:val="0"/>
              <w:jc w:val="center"/>
              <w:rPr>
                <w:rFonts w:hint="default"/>
                <w:color w:val="auto"/>
              </w:rPr>
            </w:pPr>
            <w:r>
              <w:rPr>
                <w:rFonts w:hint="default"/>
                <w:color w:val="auto"/>
                <w:lang w:val="en-US" w:eastAsia="zh-CN"/>
              </w:rPr>
              <w:t>/</w:t>
            </w:r>
          </w:p>
        </w:tc>
      </w:tr>
      <w:tr w14:paraId="6C85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18164365">
            <w:pPr>
              <w:pStyle w:val="31"/>
              <w:bidi w:val="0"/>
              <w:jc w:val="center"/>
              <w:rPr>
                <w:rFonts w:hint="eastAsia"/>
                <w:color w:val="auto"/>
              </w:rPr>
            </w:pPr>
            <w:r>
              <w:rPr>
                <w:rFonts w:hint="eastAsia"/>
                <w:color w:val="auto"/>
                <w:lang w:val="en-US" w:eastAsia="zh-CN"/>
              </w:rPr>
              <w:t>碳酸根离子（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52FFA28E">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29274801">
            <w:pPr>
              <w:pStyle w:val="31"/>
              <w:bidi w:val="0"/>
              <w:jc w:val="center"/>
              <w:rPr>
                <w:rFonts w:hint="default"/>
                <w:color w:val="auto"/>
              </w:rPr>
            </w:pPr>
            <w:r>
              <w:rPr>
                <w:rFonts w:hint="default"/>
                <w:color w:val="auto"/>
                <w:lang w:val="en-US" w:eastAsia="zh-CN"/>
              </w:rPr>
              <w:t>5L</w:t>
            </w:r>
          </w:p>
        </w:tc>
        <w:tc>
          <w:tcPr>
            <w:tcW w:w="0" w:type="auto"/>
            <w:shd w:val="clear" w:color="auto" w:fill="auto"/>
            <w:noWrap/>
            <w:vAlign w:val="center"/>
          </w:tcPr>
          <w:p w14:paraId="6AA7882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CFDA257">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14BA8FE9">
            <w:pPr>
              <w:pStyle w:val="31"/>
              <w:bidi w:val="0"/>
              <w:jc w:val="center"/>
              <w:rPr>
                <w:rFonts w:hint="default"/>
                <w:color w:val="auto"/>
              </w:rPr>
            </w:pPr>
            <w:r>
              <w:rPr>
                <w:rFonts w:hint="default"/>
                <w:color w:val="auto"/>
                <w:lang w:val="en-US" w:eastAsia="zh-CN"/>
              </w:rPr>
              <w:t>5L</w:t>
            </w:r>
          </w:p>
        </w:tc>
        <w:tc>
          <w:tcPr>
            <w:tcW w:w="0" w:type="auto"/>
            <w:shd w:val="clear" w:color="auto" w:fill="auto"/>
            <w:noWrap/>
            <w:vAlign w:val="center"/>
          </w:tcPr>
          <w:p w14:paraId="278F8EDE">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5A2BDC7">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5852D8B7">
            <w:pPr>
              <w:pStyle w:val="31"/>
              <w:bidi w:val="0"/>
              <w:jc w:val="center"/>
              <w:rPr>
                <w:rFonts w:hint="default"/>
                <w:color w:val="auto"/>
              </w:rPr>
            </w:pPr>
            <w:r>
              <w:rPr>
                <w:rFonts w:hint="default"/>
                <w:color w:val="auto"/>
                <w:lang w:val="en-US" w:eastAsia="zh-CN"/>
              </w:rPr>
              <w:t>5L</w:t>
            </w:r>
          </w:p>
        </w:tc>
        <w:tc>
          <w:tcPr>
            <w:tcW w:w="0" w:type="auto"/>
            <w:shd w:val="clear" w:color="auto" w:fill="auto"/>
            <w:noWrap/>
            <w:vAlign w:val="center"/>
          </w:tcPr>
          <w:p w14:paraId="482D9C0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3F8FFEF1">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2EE7FAA4">
            <w:pPr>
              <w:pStyle w:val="31"/>
              <w:bidi w:val="0"/>
              <w:jc w:val="center"/>
              <w:rPr>
                <w:rFonts w:hint="default"/>
                <w:color w:val="auto"/>
              </w:rPr>
            </w:pPr>
            <w:r>
              <w:rPr>
                <w:rFonts w:hint="default"/>
                <w:color w:val="auto"/>
                <w:lang w:val="en-US" w:eastAsia="zh-CN"/>
              </w:rPr>
              <w:t>5L</w:t>
            </w:r>
          </w:p>
        </w:tc>
        <w:tc>
          <w:tcPr>
            <w:tcW w:w="0" w:type="auto"/>
            <w:shd w:val="clear" w:color="auto" w:fill="auto"/>
            <w:noWrap/>
            <w:vAlign w:val="center"/>
          </w:tcPr>
          <w:p w14:paraId="00816C65">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A0EB2DE">
            <w:pPr>
              <w:pStyle w:val="31"/>
              <w:bidi w:val="0"/>
              <w:jc w:val="center"/>
              <w:rPr>
                <w:rFonts w:hint="default"/>
                <w:color w:val="auto"/>
              </w:rPr>
            </w:pPr>
            <w:r>
              <w:rPr>
                <w:rFonts w:hint="default"/>
                <w:color w:val="auto"/>
                <w:lang w:val="en-US" w:eastAsia="zh-CN"/>
              </w:rPr>
              <w:t>/</w:t>
            </w:r>
          </w:p>
        </w:tc>
      </w:tr>
      <w:tr w14:paraId="1FD8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7482EDDB">
            <w:pPr>
              <w:pStyle w:val="31"/>
              <w:bidi w:val="0"/>
              <w:jc w:val="center"/>
              <w:rPr>
                <w:rFonts w:hint="eastAsia"/>
                <w:color w:val="auto"/>
              </w:rPr>
            </w:pPr>
            <w:r>
              <w:rPr>
                <w:rFonts w:hint="eastAsia"/>
                <w:color w:val="auto"/>
                <w:lang w:val="en-US" w:eastAsia="zh-CN"/>
              </w:rPr>
              <w:t>重碳酸根离子（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5C8C6E8D">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0A72F7AA">
            <w:pPr>
              <w:pStyle w:val="31"/>
              <w:bidi w:val="0"/>
              <w:jc w:val="center"/>
              <w:rPr>
                <w:rFonts w:hint="default"/>
                <w:color w:val="auto"/>
              </w:rPr>
            </w:pPr>
            <w:r>
              <w:rPr>
                <w:rFonts w:hint="default"/>
                <w:color w:val="auto"/>
                <w:lang w:val="en-US" w:eastAsia="zh-CN"/>
              </w:rPr>
              <w:t>154</w:t>
            </w:r>
          </w:p>
        </w:tc>
        <w:tc>
          <w:tcPr>
            <w:tcW w:w="0" w:type="auto"/>
            <w:shd w:val="clear" w:color="auto" w:fill="auto"/>
            <w:noWrap/>
            <w:vAlign w:val="center"/>
          </w:tcPr>
          <w:p w14:paraId="2A0FE7B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C907037">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00E82077">
            <w:pPr>
              <w:pStyle w:val="31"/>
              <w:bidi w:val="0"/>
              <w:jc w:val="center"/>
              <w:rPr>
                <w:rFonts w:hint="default"/>
                <w:color w:val="auto"/>
              </w:rPr>
            </w:pPr>
            <w:r>
              <w:rPr>
                <w:rFonts w:hint="default"/>
                <w:color w:val="auto"/>
                <w:lang w:val="en-US" w:eastAsia="zh-CN"/>
              </w:rPr>
              <w:t>162</w:t>
            </w:r>
          </w:p>
        </w:tc>
        <w:tc>
          <w:tcPr>
            <w:tcW w:w="0" w:type="auto"/>
            <w:shd w:val="clear" w:color="auto" w:fill="auto"/>
            <w:noWrap/>
            <w:vAlign w:val="center"/>
          </w:tcPr>
          <w:p w14:paraId="6E42F7D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063F578">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01A1E704">
            <w:pPr>
              <w:pStyle w:val="31"/>
              <w:bidi w:val="0"/>
              <w:jc w:val="center"/>
              <w:rPr>
                <w:rFonts w:hint="default"/>
                <w:color w:val="auto"/>
              </w:rPr>
            </w:pPr>
            <w:r>
              <w:rPr>
                <w:rFonts w:hint="default"/>
                <w:color w:val="auto"/>
                <w:lang w:val="en-US" w:eastAsia="zh-CN"/>
              </w:rPr>
              <w:t>215</w:t>
            </w:r>
          </w:p>
        </w:tc>
        <w:tc>
          <w:tcPr>
            <w:tcW w:w="0" w:type="auto"/>
            <w:shd w:val="clear" w:color="auto" w:fill="auto"/>
            <w:noWrap/>
            <w:vAlign w:val="center"/>
          </w:tcPr>
          <w:p w14:paraId="301AAC38">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D476487">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539C35A4">
            <w:pPr>
              <w:pStyle w:val="31"/>
              <w:bidi w:val="0"/>
              <w:jc w:val="center"/>
              <w:rPr>
                <w:rFonts w:hint="default"/>
                <w:color w:val="auto"/>
              </w:rPr>
            </w:pPr>
            <w:r>
              <w:rPr>
                <w:rFonts w:hint="default"/>
                <w:color w:val="auto"/>
                <w:lang w:val="en-US" w:eastAsia="zh-CN"/>
              </w:rPr>
              <w:t>136</w:t>
            </w:r>
          </w:p>
        </w:tc>
        <w:tc>
          <w:tcPr>
            <w:tcW w:w="0" w:type="auto"/>
            <w:shd w:val="clear" w:color="auto" w:fill="auto"/>
            <w:noWrap/>
            <w:vAlign w:val="center"/>
          </w:tcPr>
          <w:p w14:paraId="5FB2A05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EB88094">
            <w:pPr>
              <w:pStyle w:val="31"/>
              <w:bidi w:val="0"/>
              <w:jc w:val="center"/>
              <w:rPr>
                <w:rFonts w:hint="default"/>
                <w:color w:val="auto"/>
              </w:rPr>
            </w:pPr>
            <w:r>
              <w:rPr>
                <w:rFonts w:hint="default"/>
                <w:color w:val="auto"/>
                <w:lang w:val="en-US" w:eastAsia="zh-CN"/>
              </w:rPr>
              <w:t>/</w:t>
            </w:r>
          </w:p>
        </w:tc>
      </w:tr>
      <w:tr w14:paraId="6A31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171BB107">
            <w:pPr>
              <w:pStyle w:val="31"/>
              <w:bidi w:val="0"/>
              <w:jc w:val="center"/>
              <w:rPr>
                <w:rFonts w:hint="eastAsia"/>
                <w:color w:val="auto"/>
              </w:rPr>
            </w:pPr>
            <w:r>
              <w:rPr>
                <w:rFonts w:hint="eastAsia"/>
                <w:color w:val="auto"/>
                <w:lang w:val="en-US" w:eastAsia="zh-CN"/>
              </w:rPr>
              <w:t>氯离子（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70BD8C44">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0AC0FBA6">
            <w:pPr>
              <w:pStyle w:val="31"/>
              <w:bidi w:val="0"/>
              <w:jc w:val="center"/>
              <w:rPr>
                <w:rFonts w:hint="default"/>
                <w:color w:val="auto"/>
              </w:rPr>
            </w:pPr>
            <w:r>
              <w:rPr>
                <w:rFonts w:hint="default"/>
                <w:color w:val="auto"/>
                <w:lang w:val="en-US" w:eastAsia="zh-CN"/>
              </w:rPr>
              <w:t>11.7</w:t>
            </w:r>
          </w:p>
        </w:tc>
        <w:tc>
          <w:tcPr>
            <w:tcW w:w="0" w:type="auto"/>
            <w:shd w:val="clear" w:color="auto" w:fill="auto"/>
            <w:noWrap/>
            <w:vAlign w:val="center"/>
          </w:tcPr>
          <w:p w14:paraId="3959AA5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090D28E">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24D073E7">
            <w:pPr>
              <w:pStyle w:val="31"/>
              <w:bidi w:val="0"/>
              <w:jc w:val="center"/>
              <w:rPr>
                <w:rFonts w:hint="default"/>
                <w:color w:val="auto"/>
              </w:rPr>
            </w:pPr>
            <w:r>
              <w:rPr>
                <w:rFonts w:hint="default"/>
                <w:color w:val="auto"/>
                <w:lang w:val="en-US" w:eastAsia="zh-CN"/>
              </w:rPr>
              <w:t>13.4</w:t>
            </w:r>
          </w:p>
        </w:tc>
        <w:tc>
          <w:tcPr>
            <w:tcW w:w="0" w:type="auto"/>
            <w:shd w:val="clear" w:color="auto" w:fill="auto"/>
            <w:noWrap/>
            <w:vAlign w:val="center"/>
          </w:tcPr>
          <w:p w14:paraId="2796DD6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067EDC8">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D039CDE">
            <w:pPr>
              <w:pStyle w:val="31"/>
              <w:bidi w:val="0"/>
              <w:jc w:val="center"/>
              <w:rPr>
                <w:rFonts w:hint="default"/>
                <w:color w:val="auto"/>
              </w:rPr>
            </w:pPr>
            <w:r>
              <w:rPr>
                <w:rFonts w:hint="default"/>
                <w:color w:val="auto"/>
                <w:lang w:val="en-US" w:eastAsia="zh-CN"/>
              </w:rPr>
              <w:t>5.26</w:t>
            </w:r>
          </w:p>
        </w:tc>
        <w:tc>
          <w:tcPr>
            <w:tcW w:w="0" w:type="auto"/>
            <w:shd w:val="clear" w:color="auto" w:fill="auto"/>
            <w:noWrap/>
            <w:vAlign w:val="center"/>
          </w:tcPr>
          <w:p w14:paraId="02C0574C">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94993E6">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372B8F01">
            <w:pPr>
              <w:pStyle w:val="31"/>
              <w:bidi w:val="0"/>
              <w:jc w:val="center"/>
              <w:rPr>
                <w:rFonts w:hint="default"/>
                <w:color w:val="auto"/>
              </w:rPr>
            </w:pPr>
            <w:r>
              <w:rPr>
                <w:rFonts w:hint="default"/>
                <w:color w:val="auto"/>
                <w:lang w:val="en-US" w:eastAsia="zh-CN"/>
              </w:rPr>
              <w:t>5.45</w:t>
            </w:r>
          </w:p>
        </w:tc>
        <w:tc>
          <w:tcPr>
            <w:tcW w:w="0" w:type="auto"/>
            <w:shd w:val="clear" w:color="auto" w:fill="auto"/>
            <w:noWrap/>
            <w:vAlign w:val="center"/>
          </w:tcPr>
          <w:p w14:paraId="3ED6929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F0243E0">
            <w:pPr>
              <w:pStyle w:val="31"/>
              <w:bidi w:val="0"/>
              <w:jc w:val="center"/>
              <w:rPr>
                <w:rFonts w:hint="default"/>
                <w:color w:val="auto"/>
              </w:rPr>
            </w:pPr>
            <w:r>
              <w:rPr>
                <w:rFonts w:hint="default"/>
                <w:color w:val="auto"/>
                <w:lang w:val="en-US" w:eastAsia="zh-CN"/>
              </w:rPr>
              <w:t>/</w:t>
            </w:r>
          </w:p>
        </w:tc>
      </w:tr>
      <w:tr w14:paraId="4516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5691439">
            <w:pPr>
              <w:pStyle w:val="31"/>
              <w:bidi w:val="0"/>
              <w:jc w:val="center"/>
              <w:rPr>
                <w:rFonts w:hint="eastAsia"/>
                <w:color w:val="auto"/>
              </w:rPr>
            </w:pPr>
            <w:r>
              <w:rPr>
                <w:rFonts w:hint="eastAsia"/>
                <w:color w:val="auto"/>
                <w:lang w:val="en-US" w:eastAsia="zh-CN"/>
              </w:rPr>
              <w:t>硫酸根离子（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67E4F33F">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653B9C9">
            <w:pPr>
              <w:pStyle w:val="31"/>
              <w:bidi w:val="0"/>
              <w:jc w:val="center"/>
              <w:rPr>
                <w:rFonts w:hint="default"/>
                <w:color w:val="auto"/>
              </w:rPr>
            </w:pPr>
            <w:r>
              <w:rPr>
                <w:rFonts w:hint="default"/>
                <w:color w:val="auto"/>
                <w:lang w:val="en-US" w:eastAsia="zh-CN"/>
              </w:rPr>
              <w:t>20.2</w:t>
            </w:r>
          </w:p>
        </w:tc>
        <w:tc>
          <w:tcPr>
            <w:tcW w:w="0" w:type="auto"/>
            <w:shd w:val="clear" w:color="auto" w:fill="auto"/>
            <w:noWrap/>
            <w:vAlign w:val="center"/>
          </w:tcPr>
          <w:p w14:paraId="6913C09F">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9302602">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48CDFCA7">
            <w:pPr>
              <w:pStyle w:val="31"/>
              <w:bidi w:val="0"/>
              <w:jc w:val="center"/>
              <w:rPr>
                <w:rFonts w:hint="default"/>
                <w:color w:val="auto"/>
              </w:rPr>
            </w:pPr>
            <w:r>
              <w:rPr>
                <w:rFonts w:hint="default"/>
                <w:color w:val="auto"/>
                <w:lang w:val="en-US" w:eastAsia="zh-CN"/>
              </w:rPr>
              <w:t>27</w:t>
            </w:r>
          </w:p>
        </w:tc>
        <w:tc>
          <w:tcPr>
            <w:tcW w:w="0" w:type="auto"/>
            <w:shd w:val="clear" w:color="auto" w:fill="auto"/>
            <w:noWrap/>
            <w:vAlign w:val="center"/>
          </w:tcPr>
          <w:p w14:paraId="31A5BF89">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3BA000BF">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7F79617E">
            <w:pPr>
              <w:pStyle w:val="31"/>
              <w:bidi w:val="0"/>
              <w:jc w:val="center"/>
              <w:rPr>
                <w:rFonts w:hint="default"/>
                <w:color w:val="auto"/>
              </w:rPr>
            </w:pPr>
            <w:r>
              <w:rPr>
                <w:rFonts w:hint="default"/>
                <w:color w:val="auto"/>
                <w:lang w:val="en-US" w:eastAsia="zh-CN"/>
              </w:rPr>
              <w:t>165</w:t>
            </w:r>
          </w:p>
        </w:tc>
        <w:tc>
          <w:tcPr>
            <w:tcW w:w="0" w:type="auto"/>
            <w:shd w:val="clear" w:color="auto" w:fill="auto"/>
            <w:noWrap/>
            <w:vAlign w:val="center"/>
          </w:tcPr>
          <w:p w14:paraId="1614A99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0F12775">
            <w:pPr>
              <w:pStyle w:val="31"/>
              <w:bidi w:val="0"/>
              <w:jc w:val="center"/>
              <w:rPr>
                <w:rFonts w:hint="default"/>
                <w:color w:val="auto"/>
              </w:rPr>
            </w:pPr>
            <w:r>
              <w:rPr>
                <w:rFonts w:hint="default"/>
                <w:color w:val="auto"/>
                <w:lang w:val="en-US" w:eastAsia="zh-CN"/>
              </w:rPr>
              <w:t>/</w:t>
            </w:r>
          </w:p>
        </w:tc>
        <w:tc>
          <w:tcPr>
            <w:tcW w:w="1080" w:type="dxa"/>
            <w:shd w:val="clear" w:color="auto" w:fill="auto"/>
            <w:vAlign w:val="center"/>
          </w:tcPr>
          <w:p w14:paraId="2FBBFE67">
            <w:pPr>
              <w:pStyle w:val="31"/>
              <w:bidi w:val="0"/>
              <w:jc w:val="center"/>
              <w:rPr>
                <w:rFonts w:hint="default"/>
                <w:color w:val="auto"/>
              </w:rPr>
            </w:pPr>
            <w:r>
              <w:rPr>
                <w:rFonts w:hint="default"/>
                <w:color w:val="auto"/>
                <w:lang w:val="en-US" w:eastAsia="zh-CN"/>
              </w:rPr>
              <w:t>35.9</w:t>
            </w:r>
          </w:p>
        </w:tc>
        <w:tc>
          <w:tcPr>
            <w:tcW w:w="0" w:type="auto"/>
            <w:shd w:val="clear" w:color="auto" w:fill="auto"/>
            <w:noWrap/>
            <w:vAlign w:val="center"/>
          </w:tcPr>
          <w:p w14:paraId="6868B081">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11E7116">
            <w:pPr>
              <w:pStyle w:val="31"/>
              <w:bidi w:val="0"/>
              <w:jc w:val="center"/>
              <w:rPr>
                <w:rFonts w:hint="default"/>
                <w:color w:val="auto"/>
              </w:rPr>
            </w:pPr>
            <w:r>
              <w:rPr>
                <w:rFonts w:hint="default"/>
                <w:color w:val="auto"/>
                <w:lang w:val="en-US" w:eastAsia="zh-CN"/>
              </w:rPr>
              <w:t>/</w:t>
            </w:r>
          </w:p>
        </w:tc>
      </w:tr>
      <w:tr w14:paraId="450B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47BB61CA">
            <w:pPr>
              <w:pStyle w:val="31"/>
              <w:bidi w:val="0"/>
              <w:jc w:val="center"/>
              <w:rPr>
                <w:rFonts w:hint="default"/>
                <w:color w:val="auto"/>
              </w:rPr>
            </w:pPr>
            <w:r>
              <w:rPr>
                <w:rFonts w:hint="default"/>
                <w:color w:val="auto"/>
                <w:lang w:val="en-US" w:eastAsia="zh-CN"/>
              </w:rPr>
              <w:t>pH</w:t>
            </w:r>
            <w:r>
              <w:rPr>
                <w:rFonts w:hint="eastAsia"/>
                <w:color w:val="auto"/>
                <w:lang w:val="en-US" w:eastAsia="zh-CN"/>
              </w:rPr>
              <w:t>值（无量纲）</w:t>
            </w:r>
          </w:p>
        </w:tc>
        <w:tc>
          <w:tcPr>
            <w:tcW w:w="0" w:type="auto"/>
            <w:shd w:val="clear" w:color="auto" w:fill="auto"/>
            <w:noWrap/>
            <w:vAlign w:val="center"/>
          </w:tcPr>
          <w:p w14:paraId="1B3B626D">
            <w:pPr>
              <w:pStyle w:val="31"/>
              <w:bidi w:val="0"/>
              <w:jc w:val="center"/>
              <w:rPr>
                <w:rFonts w:hint="default"/>
                <w:color w:val="auto"/>
              </w:rPr>
            </w:pPr>
            <w:r>
              <w:rPr>
                <w:rFonts w:hint="default"/>
                <w:color w:val="auto"/>
                <w:lang w:val="en-US" w:eastAsia="zh-CN"/>
              </w:rPr>
              <w:t>6.5</w:t>
            </w:r>
            <w:r>
              <w:rPr>
                <w:rFonts w:hint="eastAsia"/>
                <w:color w:val="auto"/>
                <w:lang w:val="en-US" w:eastAsia="zh-CN"/>
              </w:rPr>
              <w:t>～</w:t>
            </w:r>
            <w:r>
              <w:rPr>
                <w:rFonts w:hint="default"/>
                <w:color w:val="auto"/>
                <w:lang w:val="en-US" w:eastAsia="zh-CN"/>
              </w:rPr>
              <w:t>8.5</w:t>
            </w:r>
          </w:p>
        </w:tc>
        <w:tc>
          <w:tcPr>
            <w:tcW w:w="1080" w:type="dxa"/>
            <w:shd w:val="clear" w:color="auto" w:fill="auto"/>
            <w:vAlign w:val="center"/>
          </w:tcPr>
          <w:p w14:paraId="2F1E3E66">
            <w:pPr>
              <w:pStyle w:val="31"/>
              <w:bidi w:val="0"/>
              <w:jc w:val="center"/>
              <w:rPr>
                <w:rFonts w:hint="default"/>
                <w:color w:val="auto"/>
              </w:rPr>
            </w:pPr>
            <w:r>
              <w:rPr>
                <w:rFonts w:hint="default"/>
                <w:color w:val="auto"/>
                <w:lang w:val="en-US" w:eastAsia="zh-CN"/>
              </w:rPr>
              <w:t>7.4</w:t>
            </w:r>
          </w:p>
        </w:tc>
        <w:tc>
          <w:tcPr>
            <w:tcW w:w="1080" w:type="dxa"/>
            <w:shd w:val="clear" w:color="auto" w:fill="auto"/>
            <w:vAlign w:val="center"/>
          </w:tcPr>
          <w:p w14:paraId="215F134A">
            <w:pPr>
              <w:pStyle w:val="31"/>
              <w:bidi w:val="0"/>
              <w:jc w:val="center"/>
              <w:rPr>
                <w:rFonts w:hint="default"/>
                <w:color w:val="auto"/>
              </w:rPr>
            </w:pPr>
            <w:r>
              <w:rPr>
                <w:rFonts w:hint="default"/>
                <w:color w:val="auto"/>
                <w:lang w:val="en-US" w:eastAsia="zh-CN"/>
              </w:rPr>
              <w:t>0.3</w:t>
            </w:r>
          </w:p>
        </w:tc>
        <w:tc>
          <w:tcPr>
            <w:tcW w:w="0" w:type="auto"/>
            <w:shd w:val="clear" w:color="auto" w:fill="auto"/>
            <w:noWrap/>
            <w:vAlign w:val="center"/>
          </w:tcPr>
          <w:p w14:paraId="25678385">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801DF90">
            <w:pPr>
              <w:pStyle w:val="31"/>
              <w:bidi w:val="0"/>
              <w:jc w:val="center"/>
              <w:rPr>
                <w:rFonts w:hint="default"/>
                <w:color w:val="auto"/>
              </w:rPr>
            </w:pPr>
            <w:r>
              <w:rPr>
                <w:rFonts w:hint="default"/>
                <w:color w:val="auto"/>
                <w:lang w:val="en-US" w:eastAsia="zh-CN"/>
              </w:rPr>
              <w:t>7.4</w:t>
            </w:r>
          </w:p>
        </w:tc>
        <w:tc>
          <w:tcPr>
            <w:tcW w:w="1080" w:type="dxa"/>
            <w:shd w:val="clear" w:color="auto" w:fill="auto"/>
            <w:vAlign w:val="center"/>
          </w:tcPr>
          <w:p w14:paraId="227643B7">
            <w:pPr>
              <w:pStyle w:val="31"/>
              <w:bidi w:val="0"/>
              <w:jc w:val="center"/>
              <w:rPr>
                <w:rFonts w:hint="default"/>
                <w:color w:val="auto"/>
              </w:rPr>
            </w:pPr>
            <w:r>
              <w:rPr>
                <w:rFonts w:hint="default"/>
                <w:color w:val="auto"/>
                <w:lang w:val="en-US" w:eastAsia="zh-CN"/>
              </w:rPr>
              <w:t>0.3</w:t>
            </w:r>
          </w:p>
        </w:tc>
        <w:tc>
          <w:tcPr>
            <w:tcW w:w="0" w:type="auto"/>
            <w:shd w:val="clear" w:color="auto" w:fill="auto"/>
            <w:noWrap/>
            <w:vAlign w:val="center"/>
          </w:tcPr>
          <w:p w14:paraId="0DE72651">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3FD96F4">
            <w:pPr>
              <w:pStyle w:val="31"/>
              <w:bidi w:val="0"/>
              <w:jc w:val="center"/>
              <w:rPr>
                <w:rFonts w:hint="default"/>
                <w:color w:val="auto"/>
              </w:rPr>
            </w:pPr>
            <w:r>
              <w:rPr>
                <w:rFonts w:hint="default"/>
                <w:color w:val="auto"/>
                <w:lang w:val="en-US" w:eastAsia="zh-CN"/>
              </w:rPr>
              <w:t>6.9</w:t>
            </w:r>
          </w:p>
        </w:tc>
        <w:tc>
          <w:tcPr>
            <w:tcW w:w="1080" w:type="dxa"/>
            <w:shd w:val="clear" w:color="auto" w:fill="auto"/>
            <w:vAlign w:val="center"/>
          </w:tcPr>
          <w:p w14:paraId="12B550D7">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3FA1DF37">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E6B4AA2">
            <w:pPr>
              <w:pStyle w:val="31"/>
              <w:bidi w:val="0"/>
              <w:jc w:val="center"/>
              <w:rPr>
                <w:rFonts w:hint="default"/>
                <w:color w:val="auto"/>
              </w:rPr>
            </w:pPr>
            <w:r>
              <w:rPr>
                <w:rFonts w:hint="default"/>
                <w:color w:val="auto"/>
                <w:lang w:val="en-US" w:eastAsia="zh-CN"/>
              </w:rPr>
              <w:t>6.8</w:t>
            </w:r>
          </w:p>
        </w:tc>
        <w:tc>
          <w:tcPr>
            <w:tcW w:w="1080" w:type="dxa"/>
            <w:shd w:val="clear" w:color="auto" w:fill="auto"/>
            <w:vAlign w:val="center"/>
          </w:tcPr>
          <w:p w14:paraId="2E473B46">
            <w:pPr>
              <w:pStyle w:val="31"/>
              <w:bidi w:val="0"/>
              <w:jc w:val="center"/>
              <w:rPr>
                <w:rFonts w:hint="default"/>
                <w:color w:val="auto"/>
              </w:rPr>
            </w:pPr>
            <w:r>
              <w:rPr>
                <w:rFonts w:hint="default"/>
                <w:color w:val="auto"/>
                <w:lang w:val="en-US" w:eastAsia="zh-CN"/>
              </w:rPr>
              <w:t>0.4</w:t>
            </w:r>
          </w:p>
        </w:tc>
        <w:tc>
          <w:tcPr>
            <w:tcW w:w="0" w:type="auto"/>
            <w:shd w:val="clear" w:color="auto" w:fill="auto"/>
            <w:noWrap/>
            <w:vAlign w:val="center"/>
          </w:tcPr>
          <w:p w14:paraId="63C283F8">
            <w:pPr>
              <w:pStyle w:val="31"/>
              <w:bidi w:val="0"/>
              <w:jc w:val="center"/>
              <w:rPr>
                <w:rFonts w:hint="eastAsia"/>
                <w:color w:val="auto"/>
              </w:rPr>
            </w:pPr>
            <w:r>
              <w:rPr>
                <w:rFonts w:hint="eastAsia"/>
                <w:color w:val="auto"/>
                <w:lang w:val="en-US" w:eastAsia="zh-CN"/>
              </w:rPr>
              <w:t>超标</w:t>
            </w:r>
          </w:p>
        </w:tc>
      </w:tr>
      <w:tr w14:paraId="3302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562A714">
            <w:pPr>
              <w:pStyle w:val="31"/>
              <w:bidi w:val="0"/>
              <w:jc w:val="center"/>
              <w:rPr>
                <w:rFonts w:hint="eastAsia"/>
                <w:color w:val="auto"/>
              </w:rPr>
            </w:pPr>
            <w:r>
              <w:rPr>
                <w:rFonts w:hint="eastAsia"/>
                <w:color w:val="auto"/>
                <w:lang w:val="en-US" w:eastAsia="zh-CN"/>
              </w:rPr>
              <w:t>氨氮（</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1379DA5B">
            <w:pPr>
              <w:pStyle w:val="31"/>
              <w:bidi w:val="0"/>
              <w:jc w:val="center"/>
              <w:rPr>
                <w:rFonts w:hint="default"/>
                <w:color w:val="auto"/>
              </w:rPr>
            </w:pPr>
            <w:r>
              <w:rPr>
                <w:rFonts w:hint="default"/>
                <w:color w:val="auto"/>
                <w:lang w:val="en-US" w:eastAsia="zh-CN"/>
              </w:rPr>
              <w:t>0.5</w:t>
            </w:r>
          </w:p>
        </w:tc>
        <w:tc>
          <w:tcPr>
            <w:tcW w:w="1080" w:type="dxa"/>
            <w:shd w:val="clear" w:color="auto" w:fill="auto"/>
            <w:vAlign w:val="center"/>
          </w:tcPr>
          <w:p w14:paraId="007FCD60">
            <w:pPr>
              <w:pStyle w:val="31"/>
              <w:bidi w:val="0"/>
              <w:jc w:val="center"/>
              <w:rPr>
                <w:rFonts w:hint="default"/>
                <w:color w:val="auto"/>
              </w:rPr>
            </w:pPr>
            <w:r>
              <w:rPr>
                <w:rFonts w:hint="default"/>
                <w:color w:val="auto"/>
                <w:lang w:val="en-US" w:eastAsia="zh-CN"/>
              </w:rPr>
              <w:t>0.059</w:t>
            </w:r>
          </w:p>
        </w:tc>
        <w:tc>
          <w:tcPr>
            <w:tcW w:w="1080" w:type="dxa"/>
            <w:shd w:val="clear" w:color="auto" w:fill="auto"/>
            <w:vAlign w:val="center"/>
          </w:tcPr>
          <w:p w14:paraId="5AD49B0F">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5DA98C09">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FDA09B9">
            <w:pPr>
              <w:pStyle w:val="31"/>
              <w:bidi w:val="0"/>
              <w:jc w:val="center"/>
              <w:rPr>
                <w:rFonts w:hint="default"/>
                <w:color w:val="auto"/>
              </w:rPr>
            </w:pPr>
            <w:r>
              <w:rPr>
                <w:rFonts w:hint="default"/>
                <w:color w:val="auto"/>
                <w:lang w:val="en-US" w:eastAsia="zh-CN"/>
              </w:rPr>
              <w:t>0.053</w:t>
            </w:r>
          </w:p>
        </w:tc>
        <w:tc>
          <w:tcPr>
            <w:tcW w:w="1080" w:type="dxa"/>
            <w:shd w:val="clear" w:color="auto" w:fill="auto"/>
            <w:vAlign w:val="center"/>
          </w:tcPr>
          <w:p w14:paraId="328F7A67">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790DA1E9">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D4C8008">
            <w:pPr>
              <w:pStyle w:val="31"/>
              <w:bidi w:val="0"/>
              <w:jc w:val="center"/>
              <w:rPr>
                <w:rFonts w:hint="default"/>
                <w:color w:val="auto"/>
              </w:rPr>
            </w:pPr>
            <w:r>
              <w:rPr>
                <w:rFonts w:hint="default"/>
                <w:color w:val="auto"/>
                <w:lang w:val="en-US" w:eastAsia="zh-CN"/>
              </w:rPr>
              <w:t>0.334</w:t>
            </w:r>
          </w:p>
        </w:tc>
        <w:tc>
          <w:tcPr>
            <w:tcW w:w="1080" w:type="dxa"/>
            <w:shd w:val="clear" w:color="auto" w:fill="auto"/>
            <w:vAlign w:val="center"/>
          </w:tcPr>
          <w:p w14:paraId="00F38505">
            <w:pPr>
              <w:pStyle w:val="31"/>
              <w:bidi w:val="0"/>
              <w:jc w:val="center"/>
              <w:rPr>
                <w:rFonts w:hint="default"/>
                <w:color w:val="auto"/>
              </w:rPr>
            </w:pPr>
            <w:r>
              <w:rPr>
                <w:rFonts w:hint="default"/>
                <w:color w:val="auto"/>
                <w:lang w:val="en-US" w:eastAsia="zh-CN"/>
              </w:rPr>
              <w:t>0.7</w:t>
            </w:r>
          </w:p>
        </w:tc>
        <w:tc>
          <w:tcPr>
            <w:tcW w:w="0" w:type="auto"/>
            <w:shd w:val="clear" w:color="auto" w:fill="auto"/>
            <w:noWrap/>
            <w:vAlign w:val="center"/>
          </w:tcPr>
          <w:p w14:paraId="5E216B4E">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5252623">
            <w:pPr>
              <w:pStyle w:val="31"/>
              <w:bidi w:val="0"/>
              <w:jc w:val="center"/>
              <w:rPr>
                <w:rFonts w:hint="default"/>
                <w:color w:val="auto"/>
              </w:rPr>
            </w:pPr>
            <w:r>
              <w:rPr>
                <w:rFonts w:hint="default"/>
                <w:color w:val="auto"/>
                <w:lang w:val="en-US" w:eastAsia="zh-CN"/>
              </w:rPr>
              <w:t>0.124</w:t>
            </w:r>
          </w:p>
        </w:tc>
        <w:tc>
          <w:tcPr>
            <w:tcW w:w="1080" w:type="dxa"/>
            <w:shd w:val="clear" w:color="auto" w:fill="auto"/>
            <w:vAlign w:val="center"/>
          </w:tcPr>
          <w:p w14:paraId="016F1ECF">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27937A0E">
            <w:pPr>
              <w:pStyle w:val="31"/>
              <w:bidi w:val="0"/>
              <w:jc w:val="center"/>
              <w:rPr>
                <w:rFonts w:hint="eastAsia"/>
                <w:color w:val="auto"/>
              </w:rPr>
            </w:pPr>
            <w:r>
              <w:rPr>
                <w:rFonts w:hint="eastAsia"/>
                <w:color w:val="auto"/>
                <w:lang w:val="en-US" w:eastAsia="zh-CN"/>
              </w:rPr>
              <w:t>达标</w:t>
            </w:r>
          </w:p>
        </w:tc>
      </w:tr>
      <w:tr w14:paraId="16C3B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D9A874E">
            <w:pPr>
              <w:pStyle w:val="31"/>
              <w:bidi w:val="0"/>
              <w:jc w:val="center"/>
              <w:rPr>
                <w:rFonts w:hint="eastAsia"/>
                <w:color w:val="auto"/>
              </w:rPr>
            </w:pPr>
            <w:r>
              <w:rPr>
                <w:rFonts w:hint="eastAsia"/>
                <w:color w:val="auto"/>
                <w:lang w:val="en-US" w:eastAsia="zh-CN"/>
              </w:rPr>
              <w:t>硝酸盐（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67C76098">
            <w:pPr>
              <w:pStyle w:val="31"/>
              <w:bidi w:val="0"/>
              <w:jc w:val="center"/>
              <w:rPr>
                <w:rFonts w:hint="default"/>
                <w:color w:val="auto"/>
              </w:rPr>
            </w:pPr>
            <w:r>
              <w:rPr>
                <w:rFonts w:hint="default"/>
                <w:color w:val="auto"/>
                <w:lang w:val="en-US" w:eastAsia="zh-CN"/>
              </w:rPr>
              <w:t>20</w:t>
            </w:r>
          </w:p>
        </w:tc>
        <w:tc>
          <w:tcPr>
            <w:tcW w:w="1080" w:type="dxa"/>
            <w:shd w:val="clear" w:color="auto" w:fill="auto"/>
            <w:vAlign w:val="center"/>
          </w:tcPr>
          <w:p w14:paraId="1968D912">
            <w:pPr>
              <w:pStyle w:val="31"/>
              <w:bidi w:val="0"/>
              <w:jc w:val="center"/>
              <w:rPr>
                <w:rFonts w:hint="default"/>
                <w:color w:val="auto"/>
              </w:rPr>
            </w:pPr>
            <w:r>
              <w:rPr>
                <w:rFonts w:hint="default"/>
                <w:color w:val="auto"/>
                <w:lang w:val="en-US" w:eastAsia="zh-CN"/>
              </w:rPr>
              <w:t>1.24</w:t>
            </w:r>
          </w:p>
        </w:tc>
        <w:tc>
          <w:tcPr>
            <w:tcW w:w="1080" w:type="dxa"/>
            <w:shd w:val="clear" w:color="auto" w:fill="auto"/>
            <w:vAlign w:val="center"/>
          </w:tcPr>
          <w:p w14:paraId="6EBE3DFB">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7BCF9367">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C2E012D">
            <w:pPr>
              <w:pStyle w:val="31"/>
              <w:bidi w:val="0"/>
              <w:jc w:val="center"/>
              <w:rPr>
                <w:rFonts w:hint="default"/>
                <w:color w:val="auto"/>
              </w:rPr>
            </w:pPr>
            <w:r>
              <w:rPr>
                <w:rFonts w:hint="default"/>
                <w:color w:val="auto"/>
                <w:lang w:val="en-US" w:eastAsia="zh-CN"/>
              </w:rPr>
              <w:t>3.44</w:t>
            </w:r>
          </w:p>
        </w:tc>
        <w:tc>
          <w:tcPr>
            <w:tcW w:w="1080" w:type="dxa"/>
            <w:shd w:val="clear" w:color="auto" w:fill="auto"/>
            <w:vAlign w:val="center"/>
          </w:tcPr>
          <w:p w14:paraId="43914FC8">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7C60B7ED">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9AD2951">
            <w:pPr>
              <w:pStyle w:val="31"/>
              <w:bidi w:val="0"/>
              <w:jc w:val="center"/>
              <w:rPr>
                <w:rFonts w:hint="default"/>
                <w:color w:val="auto"/>
              </w:rPr>
            </w:pPr>
            <w:r>
              <w:rPr>
                <w:rFonts w:hint="default"/>
                <w:color w:val="auto"/>
                <w:lang w:val="en-US" w:eastAsia="zh-CN"/>
              </w:rPr>
              <w:t>1.14</w:t>
            </w:r>
          </w:p>
        </w:tc>
        <w:tc>
          <w:tcPr>
            <w:tcW w:w="1080" w:type="dxa"/>
            <w:shd w:val="clear" w:color="auto" w:fill="auto"/>
            <w:vAlign w:val="center"/>
          </w:tcPr>
          <w:p w14:paraId="04E88C2D">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1BC6B797">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C720411">
            <w:pPr>
              <w:pStyle w:val="31"/>
              <w:bidi w:val="0"/>
              <w:jc w:val="center"/>
              <w:rPr>
                <w:rFonts w:hint="default"/>
                <w:color w:val="auto"/>
              </w:rPr>
            </w:pPr>
            <w:r>
              <w:rPr>
                <w:rFonts w:hint="default"/>
                <w:color w:val="auto"/>
                <w:lang w:val="en-US" w:eastAsia="zh-CN"/>
              </w:rPr>
              <w:t>2.44</w:t>
            </w:r>
          </w:p>
        </w:tc>
        <w:tc>
          <w:tcPr>
            <w:tcW w:w="1080" w:type="dxa"/>
            <w:shd w:val="clear" w:color="auto" w:fill="auto"/>
            <w:vAlign w:val="center"/>
          </w:tcPr>
          <w:p w14:paraId="5F76932A">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2472178A">
            <w:pPr>
              <w:pStyle w:val="31"/>
              <w:bidi w:val="0"/>
              <w:jc w:val="center"/>
              <w:rPr>
                <w:rFonts w:hint="eastAsia"/>
                <w:color w:val="auto"/>
              </w:rPr>
            </w:pPr>
            <w:r>
              <w:rPr>
                <w:rFonts w:hint="eastAsia"/>
                <w:color w:val="auto"/>
                <w:lang w:val="en-US" w:eastAsia="zh-CN"/>
              </w:rPr>
              <w:t>达标</w:t>
            </w:r>
          </w:p>
        </w:tc>
      </w:tr>
      <w:tr w14:paraId="09A9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DA705A9">
            <w:pPr>
              <w:pStyle w:val="31"/>
              <w:bidi w:val="0"/>
              <w:jc w:val="center"/>
              <w:rPr>
                <w:rFonts w:hint="eastAsia"/>
                <w:color w:val="auto"/>
              </w:rPr>
            </w:pPr>
            <w:r>
              <w:rPr>
                <w:rFonts w:hint="eastAsia"/>
                <w:color w:val="auto"/>
                <w:lang w:val="en-US" w:eastAsia="zh-CN"/>
              </w:rPr>
              <w:t>亚硝酸盐（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0C16E9E5">
            <w:pPr>
              <w:pStyle w:val="31"/>
              <w:bidi w:val="0"/>
              <w:jc w:val="center"/>
              <w:rPr>
                <w:rFonts w:hint="default"/>
                <w:color w:val="auto"/>
              </w:rPr>
            </w:pPr>
            <w:r>
              <w:rPr>
                <w:rFonts w:hint="default"/>
                <w:color w:val="auto"/>
                <w:lang w:val="en-US" w:eastAsia="zh-CN"/>
              </w:rPr>
              <w:t>1</w:t>
            </w:r>
          </w:p>
        </w:tc>
        <w:tc>
          <w:tcPr>
            <w:tcW w:w="1080" w:type="dxa"/>
            <w:shd w:val="clear" w:color="auto" w:fill="auto"/>
            <w:vAlign w:val="center"/>
          </w:tcPr>
          <w:p w14:paraId="5798D205">
            <w:pPr>
              <w:pStyle w:val="31"/>
              <w:bidi w:val="0"/>
              <w:jc w:val="center"/>
              <w:rPr>
                <w:rFonts w:hint="default"/>
                <w:color w:val="auto"/>
              </w:rPr>
            </w:pPr>
            <w:r>
              <w:rPr>
                <w:rFonts w:hint="default"/>
                <w:color w:val="auto"/>
                <w:lang w:val="en-US" w:eastAsia="zh-CN"/>
              </w:rPr>
              <w:t>0.0568</w:t>
            </w:r>
          </w:p>
        </w:tc>
        <w:tc>
          <w:tcPr>
            <w:tcW w:w="1080" w:type="dxa"/>
            <w:shd w:val="clear" w:color="auto" w:fill="auto"/>
            <w:vAlign w:val="center"/>
          </w:tcPr>
          <w:p w14:paraId="6C175D6F">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2F28AF5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A71EE76">
            <w:pPr>
              <w:pStyle w:val="31"/>
              <w:bidi w:val="0"/>
              <w:jc w:val="center"/>
              <w:rPr>
                <w:rFonts w:hint="default"/>
                <w:color w:val="auto"/>
              </w:rPr>
            </w:pPr>
            <w:r>
              <w:rPr>
                <w:rFonts w:hint="default"/>
                <w:color w:val="auto"/>
                <w:lang w:val="en-US" w:eastAsia="zh-CN"/>
              </w:rPr>
              <w:t>0.0189</w:t>
            </w:r>
          </w:p>
        </w:tc>
        <w:tc>
          <w:tcPr>
            <w:tcW w:w="1080" w:type="dxa"/>
            <w:shd w:val="clear" w:color="auto" w:fill="auto"/>
            <w:vAlign w:val="center"/>
          </w:tcPr>
          <w:p w14:paraId="4FB49BF2">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20C8893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6BDAFCD">
            <w:pPr>
              <w:pStyle w:val="31"/>
              <w:bidi w:val="0"/>
              <w:jc w:val="center"/>
              <w:rPr>
                <w:rFonts w:hint="default"/>
                <w:color w:val="auto"/>
              </w:rPr>
            </w:pPr>
            <w:r>
              <w:rPr>
                <w:rFonts w:hint="default"/>
                <w:color w:val="auto"/>
                <w:lang w:val="en-US" w:eastAsia="zh-CN"/>
              </w:rPr>
              <w:t>0.0081</w:t>
            </w:r>
          </w:p>
        </w:tc>
        <w:tc>
          <w:tcPr>
            <w:tcW w:w="1080" w:type="dxa"/>
            <w:shd w:val="clear" w:color="auto" w:fill="auto"/>
            <w:vAlign w:val="center"/>
          </w:tcPr>
          <w:p w14:paraId="3C678D45">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45419C81">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4706C90">
            <w:pPr>
              <w:pStyle w:val="31"/>
              <w:bidi w:val="0"/>
              <w:jc w:val="center"/>
              <w:rPr>
                <w:rFonts w:hint="default"/>
                <w:color w:val="auto"/>
              </w:rPr>
            </w:pPr>
            <w:r>
              <w:rPr>
                <w:rFonts w:hint="default"/>
                <w:color w:val="auto"/>
                <w:lang w:val="en-US" w:eastAsia="zh-CN"/>
              </w:rPr>
              <w:t>0.0171</w:t>
            </w:r>
          </w:p>
        </w:tc>
        <w:tc>
          <w:tcPr>
            <w:tcW w:w="1080" w:type="dxa"/>
            <w:shd w:val="clear" w:color="auto" w:fill="auto"/>
            <w:vAlign w:val="center"/>
          </w:tcPr>
          <w:p w14:paraId="6FBBE64F">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14D6E343">
            <w:pPr>
              <w:pStyle w:val="31"/>
              <w:bidi w:val="0"/>
              <w:jc w:val="center"/>
              <w:rPr>
                <w:rFonts w:hint="eastAsia"/>
                <w:color w:val="auto"/>
              </w:rPr>
            </w:pPr>
            <w:r>
              <w:rPr>
                <w:rFonts w:hint="eastAsia"/>
                <w:color w:val="auto"/>
                <w:lang w:val="en-US" w:eastAsia="zh-CN"/>
              </w:rPr>
              <w:t>达标</w:t>
            </w:r>
          </w:p>
        </w:tc>
      </w:tr>
      <w:tr w14:paraId="4369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1303671">
            <w:pPr>
              <w:pStyle w:val="31"/>
              <w:bidi w:val="0"/>
              <w:jc w:val="center"/>
              <w:rPr>
                <w:rFonts w:hint="eastAsia"/>
                <w:color w:val="auto"/>
              </w:rPr>
            </w:pPr>
            <w:r>
              <w:rPr>
                <w:rFonts w:hint="eastAsia"/>
                <w:color w:val="auto"/>
                <w:lang w:val="en-US" w:eastAsia="zh-CN"/>
              </w:rPr>
              <w:t>挥发酚（</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0A489FF0">
            <w:pPr>
              <w:pStyle w:val="31"/>
              <w:bidi w:val="0"/>
              <w:jc w:val="center"/>
              <w:rPr>
                <w:rFonts w:hint="default"/>
                <w:color w:val="auto"/>
              </w:rPr>
            </w:pPr>
            <w:r>
              <w:rPr>
                <w:rFonts w:hint="default"/>
                <w:color w:val="auto"/>
                <w:lang w:val="en-US" w:eastAsia="zh-CN"/>
              </w:rPr>
              <w:t>0.002</w:t>
            </w:r>
          </w:p>
        </w:tc>
        <w:tc>
          <w:tcPr>
            <w:tcW w:w="1080" w:type="dxa"/>
            <w:shd w:val="clear" w:color="auto" w:fill="auto"/>
            <w:vAlign w:val="center"/>
          </w:tcPr>
          <w:p w14:paraId="46052F9A">
            <w:pPr>
              <w:pStyle w:val="31"/>
              <w:bidi w:val="0"/>
              <w:jc w:val="center"/>
              <w:rPr>
                <w:rFonts w:hint="default"/>
                <w:color w:val="auto"/>
              </w:rPr>
            </w:pPr>
            <w:r>
              <w:rPr>
                <w:rFonts w:hint="default"/>
                <w:color w:val="auto"/>
                <w:lang w:val="en-US" w:eastAsia="zh-CN"/>
              </w:rPr>
              <w:t>0.0003L</w:t>
            </w:r>
          </w:p>
        </w:tc>
        <w:tc>
          <w:tcPr>
            <w:tcW w:w="1080" w:type="dxa"/>
            <w:shd w:val="clear" w:color="auto" w:fill="auto"/>
            <w:vAlign w:val="center"/>
          </w:tcPr>
          <w:p w14:paraId="5E3868F7">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2880241">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42857A6F">
            <w:pPr>
              <w:pStyle w:val="31"/>
              <w:bidi w:val="0"/>
              <w:jc w:val="center"/>
              <w:rPr>
                <w:rFonts w:hint="default"/>
                <w:color w:val="auto"/>
              </w:rPr>
            </w:pPr>
            <w:r>
              <w:rPr>
                <w:rFonts w:hint="default"/>
                <w:color w:val="auto"/>
                <w:lang w:val="en-US" w:eastAsia="zh-CN"/>
              </w:rPr>
              <w:t>0.0003L</w:t>
            </w:r>
          </w:p>
        </w:tc>
        <w:tc>
          <w:tcPr>
            <w:tcW w:w="1080" w:type="dxa"/>
            <w:shd w:val="clear" w:color="auto" w:fill="auto"/>
            <w:vAlign w:val="center"/>
          </w:tcPr>
          <w:p w14:paraId="75096B37">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56448DCE">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46ACC354">
            <w:pPr>
              <w:pStyle w:val="31"/>
              <w:bidi w:val="0"/>
              <w:jc w:val="center"/>
              <w:rPr>
                <w:rFonts w:hint="default"/>
                <w:color w:val="auto"/>
              </w:rPr>
            </w:pPr>
            <w:r>
              <w:rPr>
                <w:rFonts w:hint="default"/>
                <w:color w:val="auto"/>
                <w:lang w:val="en-US" w:eastAsia="zh-CN"/>
              </w:rPr>
              <w:t>0.0003L</w:t>
            </w:r>
          </w:p>
        </w:tc>
        <w:tc>
          <w:tcPr>
            <w:tcW w:w="1080" w:type="dxa"/>
            <w:shd w:val="clear" w:color="auto" w:fill="auto"/>
            <w:vAlign w:val="center"/>
          </w:tcPr>
          <w:p w14:paraId="5E2969DF">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30C44D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4970E7F">
            <w:pPr>
              <w:pStyle w:val="31"/>
              <w:bidi w:val="0"/>
              <w:jc w:val="center"/>
              <w:rPr>
                <w:rFonts w:hint="default"/>
                <w:color w:val="auto"/>
              </w:rPr>
            </w:pPr>
            <w:r>
              <w:rPr>
                <w:rFonts w:hint="default"/>
                <w:color w:val="auto"/>
                <w:lang w:val="en-US" w:eastAsia="zh-CN"/>
              </w:rPr>
              <w:t>0.0003L</w:t>
            </w:r>
          </w:p>
        </w:tc>
        <w:tc>
          <w:tcPr>
            <w:tcW w:w="1080" w:type="dxa"/>
            <w:shd w:val="clear" w:color="auto" w:fill="auto"/>
            <w:vAlign w:val="center"/>
          </w:tcPr>
          <w:p w14:paraId="4B6DD6C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EEA168A">
            <w:pPr>
              <w:pStyle w:val="31"/>
              <w:bidi w:val="0"/>
              <w:jc w:val="center"/>
              <w:rPr>
                <w:rFonts w:hint="eastAsia"/>
                <w:color w:val="auto"/>
              </w:rPr>
            </w:pPr>
            <w:r>
              <w:rPr>
                <w:rFonts w:hint="eastAsia"/>
                <w:color w:val="auto"/>
                <w:lang w:val="en-US" w:eastAsia="zh-CN"/>
              </w:rPr>
              <w:t>达标</w:t>
            </w:r>
          </w:p>
        </w:tc>
      </w:tr>
      <w:tr w14:paraId="7E20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8195F71">
            <w:pPr>
              <w:pStyle w:val="31"/>
              <w:bidi w:val="0"/>
              <w:jc w:val="center"/>
              <w:rPr>
                <w:rFonts w:hint="eastAsia"/>
                <w:color w:val="auto"/>
              </w:rPr>
            </w:pPr>
            <w:r>
              <w:rPr>
                <w:rFonts w:hint="eastAsia"/>
                <w:color w:val="auto"/>
                <w:lang w:val="en-US" w:eastAsia="zh-CN"/>
              </w:rPr>
              <w:t>氰化物（</w:t>
            </w:r>
            <w:r>
              <w:rPr>
                <w:rFonts w:hint="default"/>
                <w:color w:val="auto"/>
                <w:lang w:val="en-US" w:eastAsia="zh-CN"/>
              </w:rPr>
              <w:t>µg/L</w:t>
            </w:r>
            <w:r>
              <w:rPr>
                <w:rFonts w:hint="eastAsia"/>
                <w:color w:val="auto"/>
                <w:lang w:val="en-US" w:eastAsia="zh-CN"/>
              </w:rPr>
              <w:t>）</w:t>
            </w:r>
          </w:p>
        </w:tc>
        <w:tc>
          <w:tcPr>
            <w:tcW w:w="0" w:type="auto"/>
            <w:shd w:val="clear" w:color="auto" w:fill="auto"/>
            <w:noWrap/>
            <w:vAlign w:val="center"/>
          </w:tcPr>
          <w:p w14:paraId="3CD7CC9A">
            <w:pPr>
              <w:pStyle w:val="31"/>
              <w:bidi w:val="0"/>
              <w:jc w:val="center"/>
              <w:rPr>
                <w:rFonts w:hint="default"/>
                <w:color w:val="auto"/>
              </w:rPr>
            </w:pPr>
            <w:r>
              <w:rPr>
                <w:rFonts w:hint="default"/>
                <w:color w:val="auto"/>
                <w:lang w:val="en-US" w:eastAsia="zh-CN"/>
              </w:rPr>
              <w:t>0.05</w:t>
            </w:r>
          </w:p>
        </w:tc>
        <w:tc>
          <w:tcPr>
            <w:tcW w:w="1080" w:type="dxa"/>
            <w:shd w:val="clear" w:color="auto" w:fill="auto"/>
            <w:vAlign w:val="center"/>
          </w:tcPr>
          <w:p w14:paraId="181D830D">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071E0F61">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103C51C">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7047AB2">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13DD848F">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C33E801">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929ABBE">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0D633AF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3168BD8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BD6086E">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44686CE7">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09E40F6">
            <w:pPr>
              <w:pStyle w:val="31"/>
              <w:bidi w:val="0"/>
              <w:jc w:val="center"/>
              <w:rPr>
                <w:rFonts w:hint="eastAsia"/>
                <w:color w:val="auto"/>
              </w:rPr>
            </w:pPr>
            <w:r>
              <w:rPr>
                <w:rFonts w:hint="eastAsia"/>
                <w:color w:val="auto"/>
                <w:lang w:val="en-US" w:eastAsia="zh-CN"/>
              </w:rPr>
              <w:t>达标</w:t>
            </w:r>
          </w:p>
        </w:tc>
      </w:tr>
      <w:tr w14:paraId="4847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9005671">
            <w:pPr>
              <w:pStyle w:val="31"/>
              <w:bidi w:val="0"/>
              <w:jc w:val="center"/>
              <w:rPr>
                <w:rFonts w:hint="eastAsia"/>
                <w:color w:val="auto"/>
              </w:rPr>
            </w:pPr>
            <w:r>
              <w:rPr>
                <w:rFonts w:hint="eastAsia"/>
                <w:color w:val="auto"/>
                <w:lang w:val="en-US" w:eastAsia="zh-CN"/>
              </w:rPr>
              <w:t>砷（</w:t>
            </w:r>
            <w:r>
              <w:rPr>
                <w:rFonts w:hint="default"/>
                <w:color w:val="auto"/>
                <w:lang w:val="en-US" w:eastAsia="zh-CN"/>
              </w:rPr>
              <w:t>µg/L</w:t>
            </w:r>
            <w:r>
              <w:rPr>
                <w:rFonts w:hint="eastAsia"/>
                <w:color w:val="auto"/>
                <w:lang w:val="en-US" w:eastAsia="zh-CN"/>
              </w:rPr>
              <w:t>）</w:t>
            </w:r>
          </w:p>
        </w:tc>
        <w:tc>
          <w:tcPr>
            <w:tcW w:w="0" w:type="auto"/>
            <w:shd w:val="clear" w:color="auto" w:fill="auto"/>
            <w:noWrap/>
            <w:vAlign w:val="center"/>
          </w:tcPr>
          <w:p w14:paraId="54CE41AD">
            <w:pPr>
              <w:pStyle w:val="31"/>
              <w:bidi w:val="0"/>
              <w:jc w:val="center"/>
              <w:rPr>
                <w:rFonts w:hint="default"/>
                <w:color w:val="auto"/>
              </w:rPr>
            </w:pPr>
            <w:r>
              <w:rPr>
                <w:rFonts w:hint="default"/>
                <w:color w:val="auto"/>
                <w:lang w:val="en-US" w:eastAsia="zh-CN"/>
              </w:rPr>
              <w:t>10</w:t>
            </w:r>
          </w:p>
        </w:tc>
        <w:tc>
          <w:tcPr>
            <w:tcW w:w="1080" w:type="dxa"/>
            <w:shd w:val="clear" w:color="auto" w:fill="auto"/>
            <w:vAlign w:val="center"/>
          </w:tcPr>
          <w:p w14:paraId="6A04556E">
            <w:pPr>
              <w:pStyle w:val="31"/>
              <w:bidi w:val="0"/>
              <w:jc w:val="center"/>
              <w:rPr>
                <w:rFonts w:hint="default"/>
                <w:color w:val="auto"/>
              </w:rPr>
            </w:pPr>
            <w:r>
              <w:rPr>
                <w:rFonts w:hint="default"/>
                <w:color w:val="auto"/>
                <w:lang w:val="en-US" w:eastAsia="zh-CN"/>
              </w:rPr>
              <w:t>0.7</w:t>
            </w:r>
          </w:p>
        </w:tc>
        <w:tc>
          <w:tcPr>
            <w:tcW w:w="1080" w:type="dxa"/>
            <w:shd w:val="clear" w:color="auto" w:fill="auto"/>
            <w:vAlign w:val="center"/>
          </w:tcPr>
          <w:p w14:paraId="325BFCA2">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4C79F9DC">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4DFEFAB">
            <w:pPr>
              <w:pStyle w:val="31"/>
              <w:bidi w:val="0"/>
              <w:jc w:val="center"/>
              <w:rPr>
                <w:rFonts w:hint="default"/>
                <w:color w:val="auto"/>
              </w:rPr>
            </w:pPr>
            <w:r>
              <w:rPr>
                <w:rFonts w:hint="default"/>
                <w:color w:val="auto"/>
                <w:lang w:val="en-US" w:eastAsia="zh-CN"/>
              </w:rPr>
              <w:t>0.3L</w:t>
            </w:r>
          </w:p>
        </w:tc>
        <w:tc>
          <w:tcPr>
            <w:tcW w:w="1080" w:type="dxa"/>
            <w:shd w:val="clear" w:color="auto" w:fill="auto"/>
            <w:vAlign w:val="center"/>
          </w:tcPr>
          <w:p w14:paraId="2AC0F8B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55A588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3083FB6">
            <w:pPr>
              <w:pStyle w:val="31"/>
              <w:bidi w:val="0"/>
              <w:jc w:val="center"/>
              <w:rPr>
                <w:rFonts w:hint="default"/>
                <w:color w:val="auto"/>
              </w:rPr>
            </w:pPr>
            <w:r>
              <w:rPr>
                <w:rFonts w:hint="default"/>
                <w:color w:val="auto"/>
                <w:lang w:val="en-US" w:eastAsia="zh-CN"/>
              </w:rPr>
              <w:t>0.3L</w:t>
            </w:r>
          </w:p>
        </w:tc>
        <w:tc>
          <w:tcPr>
            <w:tcW w:w="1080" w:type="dxa"/>
            <w:shd w:val="clear" w:color="auto" w:fill="auto"/>
            <w:vAlign w:val="center"/>
          </w:tcPr>
          <w:p w14:paraId="6F0FA35F">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ACD3ACC">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E4A0694">
            <w:pPr>
              <w:pStyle w:val="31"/>
              <w:bidi w:val="0"/>
              <w:jc w:val="center"/>
              <w:rPr>
                <w:rFonts w:hint="default"/>
                <w:color w:val="auto"/>
              </w:rPr>
            </w:pPr>
            <w:r>
              <w:rPr>
                <w:rFonts w:hint="default"/>
                <w:color w:val="auto"/>
                <w:lang w:val="en-US" w:eastAsia="zh-CN"/>
              </w:rPr>
              <w:t>0.3L</w:t>
            </w:r>
          </w:p>
        </w:tc>
        <w:tc>
          <w:tcPr>
            <w:tcW w:w="1080" w:type="dxa"/>
            <w:shd w:val="clear" w:color="auto" w:fill="auto"/>
            <w:vAlign w:val="center"/>
          </w:tcPr>
          <w:p w14:paraId="0BBB9DEB">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514BF97">
            <w:pPr>
              <w:pStyle w:val="31"/>
              <w:bidi w:val="0"/>
              <w:jc w:val="center"/>
              <w:rPr>
                <w:rFonts w:hint="eastAsia"/>
                <w:color w:val="auto"/>
              </w:rPr>
            </w:pPr>
            <w:r>
              <w:rPr>
                <w:rFonts w:hint="eastAsia"/>
                <w:color w:val="auto"/>
                <w:lang w:val="en-US" w:eastAsia="zh-CN"/>
              </w:rPr>
              <w:t>达标</w:t>
            </w:r>
          </w:p>
        </w:tc>
      </w:tr>
      <w:tr w14:paraId="4FE6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F07D8CD">
            <w:pPr>
              <w:pStyle w:val="31"/>
              <w:bidi w:val="0"/>
              <w:jc w:val="center"/>
              <w:rPr>
                <w:rFonts w:hint="eastAsia"/>
                <w:color w:val="auto"/>
              </w:rPr>
            </w:pPr>
            <w:r>
              <w:rPr>
                <w:rFonts w:hint="eastAsia"/>
                <w:color w:val="auto"/>
                <w:lang w:val="en-US" w:eastAsia="zh-CN"/>
              </w:rPr>
              <w:t>汞（</w:t>
            </w:r>
            <w:r>
              <w:rPr>
                <w:rFonts w:hint="default"/>
                <w:color w:val="auto"/>
                <w:lang w:val="en-US" w:eastAsia="zh-CN"/>
              </w:rPr>
              <w:t>µg/L</w:t>
            </w:r>
            <w:r>
              <w:rPr>
                <w:rFonts w:hint="eastAsia"/>
                <w:color w:val="auto"/>
                <w:lang w:val="en-US" w:eastAsia="zh-CN"/>
              </w:rPr>
              <w:t>）</w:t>
            </w:r>
          </w:p>
        </w:tc>
        <w:tc>
          <w:tcPr>
            <w:tcW w:w="0" w:type="auto"/>
            <w:shd w:val="clear" w:color="auto" w:fill="auto"/>
            <w:noWrap/>
            <w:vAlign w:val="center"/>
          </w:tcPr>
          <w:p w14:paraId="1FE78100">
            <w:pPr>
              <w:pStyle w:val="31"/>
              <w:bidi w:val="0"/>
              <w:jc w:val="center"/>
              <w:rPr>
                <w:rFonts w:hint="default"/>
                <w:color w:val="auto"/>
              </w:rPr>
            </w:pPr>
            <w:r>
              <w:rPr>
                <w:rFonts w:hint="default"/>
                <w:color w:val="auto"/>
                <w:lang w:val="en-US" w:eastAsia="zh-CN"/>
              </w:rPr>
              <w:t>1</w:t>
            </w:r>
          </w:p>
        </w:tc>
        <w:tc>
          <w:tcPr>
            <w:tcW w:w="1080" w:type="dxa"/>
            <w:shd w:val="clear" w:color="auto" w:fill="auto"/>
            <w:vAlign w:val="center"/>
          </w:tcPr>
          <w:p w14:paraId="104D3A15">
            <w:pPr>
              <w:pStyle w:val="31"/>
              <w:bidi w:val="0"/>
              <w:jc w:val="center"/>
              <w:rPr>
                <w:rFonts w:hint="default"/>
                <w:color w:val="auto"/>
              </w:rPr>
            </w:pPr>
            <w:r>
              <w:rPr>
                <w:rFonts w:hint="default"/>
                <w:color w:val="auto"/>
                <w:lang w:val="en-US" w:eastAsia="zh-CN"/>
              </w:rPr>
              <w:t>0.04L</w:t>
            </w:r>
          </w:p>
        </w:tc>
        <w:tc>
          <w:tcPr>
            <w:tcW w:w="1080" w:type="dxa"/>
            <w:shd w:val="clear" w:color="auto" w:fill="auto"/>
            <w:vAlign w:val="center"/>
          </w:tcPr>
          <w:p w14:paraId="1E1E952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8B6880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895922B">
            <w:pPr>
              <w:pStyle w:val="31"/>
              <w:bidi w:val="0"/>
              <w:jc w:val="center"/>
              <w:rPr>
                <w:rFonts w:hint="default"/>
                <w:color w:val="auto"/>
              </w:rPr>
            </w:pPr>
            <w:r>
              <w:rPr>
                <w:rFonts w:hint="default"/>
                <w:color w:val="auto"/>
                <w:lang w:val="en-US" w:eastAsia="zh-CN"/>
              </w:rPr>
              <w:t>0.04L</w:t>
            </w:r>
          </w:p>
        </w:tc>
        <w:tc>
          <w:tcPr>
            <w:tcW w:w="1080" w:type="dxa"/>
            <w:shd w:val="clear" w:color="auto" w:fill="auto"/>
            <w:vAlign w:val="center"/>
          </w:tcPr>
          <w:p w14:paraId="27731C55">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5C4E2AA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827A74F">
            <w:pPr>
              <w:pStyle w:val="31"/>
              <w:bidi w:val="0"/>
              <w:jc w:val="center"/>
              <w:rPr>
                <w:rFonts w:hint="default"/>
                <w:color w:val="auto"/>
              </w:rPr>
            </w:pPr>
            <w:r>
              <w:rPr>
                <w:rFonts w:hint="default"/>
                <w:color w:val="auto"/>
                <w:lang w:val="en-US" w:eastAsia="zh-CN"/>
              </w:rPr>
              <w:t>0.04L</w:t>
            </w:r>
          </w:p>
        </w:tc>
        <w:tc>
          <w:tcPr>
            <w:tcW w:w="1080" w:type="dxa"/>
            <w:shd w:val="clear" w:color="auto" w:fill="auto"/>
            <w:vAlign w:val="center"/>
          </w:tcPr>
          <w:p w14:paraId="7CD8BB1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DF8CAF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43DC034">
            <w:pPr>
              <w:pStyle w:val="31"/>
              <w:bidi w:val="0"/>
              <w:jc w:val="center"/>
              <w:rPr>
                <w:rFonts w:hint="default"/>
                <w:color w:val="auto"/>
              </w:rPr>
            </w:pPr>
            <w:r>
              <w:rPr>
                <w:rFonts w:hint="default"/>
                <w:color w:val="auto"/>
                <w:lang w:val="en-US" w:eastAsia="zh-CN"/>
              </w:rPr>
              <w:t>0.04L</w:t>
            </w:r>
          </w:p>
        </w:tc>
        <w:tc>
          <w:tcPr>
            <w:tcW w:w="1080" w:type="dxa"/>
            <w:shd w:val="clear" w:color="auto" w:fill="auto"/>
            <w:vAlign w:val="center"/>
          </w:tcPr>
          <w:p w14:paraId="1D6983BA">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4AC923F">
            <w:pPr>
              <w:pStyle w:val="31"/>
              <w:bidi w:val="0"/>
              <w:jc w:val="center"/>
              <w:rPr>
                <w:rFonts w:hint="eastAsia"/>
                <w:color w:val="auto"/>
              </w:rPr>
            </w:pPr>
            <w:r>
              <w:rPr>
                <w:rFonts w:hint="eastAsia"/>
                <w:color w:val="auto"/>
                <w:lang w:val="en-US" w:eastAsia="zh-CN"/>
              </w:rPr>
              <w:t>达标</w:t>
            </w:r>
          </w:p>
        </w:tc>
      </w:tr>
      <w:tr w14:paraId="787D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06FBFB04">
            <w:pPr>
              <w:pStyle w:val="31"/>
              <w:bidi w:val="0"/>
              <w:jc w:val="center"/>
              <w:rPr>
                <w:rFonts w:hint="eastAsia"/>
                <w:color w:val="auto"/>
              </w:rPr>
            </w:pPr>
            <w:r>
              <w:rPr>
                <w:rFonts w:hint="eastAsia"/>
                <w:color w:val="auto"/>
                <w:lang w:val="en-US" w:eastAsia="zh-CN"/>
              </w:rPr>
              <w:t>六价铬（</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2FD3E56C">
            <w:pPr>
              <w:pStyle w:val="31"/>
              <w:bidi w:val="0"/>
              <w:jc w:val="center"/>
              <w:rPr>
                <w:rFonts w:hint="default"/>
                <w:color w:val="auto"/>
              </w:rPr>
            </w:pPr>
            <w:r>
              <w:rPr>
                <w:rFonts w:hint="default"/>
                <w:color w:val="auto"/>
                <w:lang w:val="en-US" w:eastAsia="zh-CN"/>
              </w:rPr>
              <w:t>0.05</w:t>
            </w:r>
          </w:p>
        </w:tc>
        <w:tc>
          <w:tcPr>
            <w:tcW w:w="1080" w:type="dxa"/>
            <w:shd w:val="clear" w:color="auto" w:fill="auto"/>
            <w:vAlign w:val="center"/>
          </w:tcPr>
          <w:p w14:paraId="4F87B5A5">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13F5547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7D105D5">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82C2D7F">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1BA43C90">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AED4F95">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CD3E0CC">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17FE97E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7E598B1">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4A622867">
            <w:pPr>
              <w:pStyle w:val="31"/>
              <w:bidi w:val="0"/>
              <w:jc w:val="center"/>
              <w:rPr>
                <w:rFonts w:hint="default"/>
                <w:color w:val="auto"/>
              </w:rPr>
            </w:pPr>
            <w:r>
              <w:rPr>
                <w:rFonts w:hint="default"/>
                <w:color w:val="auto"/>
                <w:lang w:val="en-US" w:eastAsia="zh-CN"/>
              </w:rPr>
              <w:t>0.004L</w:t>
            </w:r>
          </w:p>
        </w:tc>
        <w:tc>
          <w:tcPr>
            <w:tcW w:w="1080" w:type="dxa"/>
            <w:shd w:val="clear" w:color="auto" w:fill="auto"/>
            <w:vAlign w:val="center"/>
          </w:tcPr>
          <w:p w14:paraId="602902A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8BBCB98">
            <w:pPr>
              <w:pStyle w:val="31"/>
              <w:bidi w:val="0"/>
              <w:jc w:val="center"/>
              <w:rPr>
                <w:rFonts w:hint="eastAsia"/>
                <w:color w:val="auto"/>
              </w:rPr>
            </w:pPr>
            <w:r>
              <w:rPr>
                <w:rFonts w:hint="eastAsia"/>
                <w:color w:val="auto"/>
                <w:lang w:val="en-US" w:eastAsia="zh-CN"/>
              </w:rPr>
              <w:t>达标</w:t>
            </w:r>
          </w:p>
        </w:tc>
      </w:tr>
      <w:tr w14:paraId="5645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49ED39B3">
            <w:pPr>
              <w:pStyle w:val="31"/>
              <w:bidi w:val="0"/>
              <w:jc w:val="center"/>
              <w:rPr>
                <w:rFonts w:hint="eastAsia"/>
                <w:color w:val="auto"/>
              </w:rPr>
            </w:pPr>
            <w:r>
              <w:rPr>
                <w:rFonts w:hint="eastAsia"/>
                <w:color w:val="auto"/>
                <w:lang w:val="en-US" w:eastAsia="zh-CN"/>
              </w:rPr>
              <w:t>总硬度（钙和镁总量）（</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35B5FB11">
            <w:pPr>
              <w:pStyle w:val="31"/>
              <w:bidi w:val="0"/>
              <w:jc w:val="center"/>
              <w:rPr>
                <w:rFonts w:hint="default"/>
                <w:color w:val="auto"/>
              </w:rPr>
            </w:pPr>
            <w:r>
              <w:rPr>
                <w:rFonts w:hint="default"/>
                <w:color w:val="auto"/>
                <w:lang w:val="en-US" w:eastAsia="zh-CN"/>
              </w:rPr>
              <w:t>450</w:t>
            </w:r>
          </w:p>
        </w:tc>
        <w:tc>
          <w:tcPr>
            <w:tcW w:w="1080" w:type="dxa"/>
            <w:shd w:val="clear" w:color="auto" w:fill="auto"/>
            <w:vAlign w:val="center"/>
          </w:tcPr>
          <w:p w14:paraId="0BAB45EE">
            <w:pPr>
              <w:pStyle w:val="31"/>
              <w:bidi w:val="0"/>
              <w:jc w:val="center"/>
              <w:rPr>
                <w:rFonts w:hint="default"/>
                <w:color w:val="auto"/>
              </w:rPr>
            </w:pPr>
            <w:r>
              <w:rPr>
                <w:rFonts w:hint="default"/>
                <w:color w:val="auto"/>
                <w:lang w:val="en-US" w:eastAsia="zh-CN"/>
              </w:rPr>
              <w:t>155</w:t>
            </w:r>
          </w:p>
        </w:tc>
        <w:tc>
          <w:tcPr>
            <w:tcW w:w="1080" w:type="dxa"/>
            <w:shd w:val="clear" w:color="auto" w:fill="auto"/>
            <w:vAlign w:val="center"/>
          </w:tcPr>
          <w:p w14:paraId="35C89E40">
            <w:pPr>
              <w:pStyle w:val="31"/>
              <w:bidi w:val="0"/>
              <w:jc w:val="center"/>
              <w:rPr>
                <w:rFonts w:hint="default"/>
                <w:color w:val="auto"/>
              </w:rPr>
            </w:pPr>
            <w:r>
              <w:rPr>
                <w:rFonts w:hint="default"/>
                <w:color w:val="auto"/>
                <w:lang w:val="en-US" w:eastAsia="zh-CN"/>
              </w:rPr>
              <w:t>0.3</w:t>
            </w:r>
          </w:p>
        </w:tc>
        <w:tc>
          <w:tcPr>
            <w:tcW w:w="0" w:type="auto"/>
            <w:shd w:val="clear" w:color="auto" w:fill="auto"/>
            <w:noWrap/>
            <w:vAlign w:val="center"/>
          </w:tcPr>
          <w:p w14:paraId="02946AE6">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3D11A6F">
            <w:pPr>
              <w:pStyle w:val="31"/>
              <w:bidi w:val="0"/>
              <w:jc w:val="center"/>
              <w:rPr>
                <w:rFonts w:hint="default"/>
                <w:color w:val="auto"/>
              </w:rPr>
            </w:pPr>
            <w:r>
              <w:rPr>
                <w:rFonts w:hint="default"/>
                <w:color w:val="auto"/>
                <w:lang w:val="en-US" w:eastAsia="zh-CN"/>
              </w:rPr>
              <w:t>181</w:t>
            </w:r>
          </w:p>
        </w:tc>
        <w:tc>
          <w:tcPr>
            <w:tcW w:w="1080" w:type="dxa"/>
            <w:shd w:val="clear" w:color="auto" w:fill="auto"/>
            <w:vAlign w:val="center"/>
          </w:tcPr>
          <w:p w14:paraId="42464DD3">
            <w:pPr>
              <w:pStyle w:val="31"/>
              <w:bidi w:val="0"/>
              <w:jc w:val="center"/>
              <w:rPr>
                <w:rFonts w:hint="default"/>
                <w:color w:val="auto"/>
              </w:rPr>
            </w:pPr>
            <w:r>
              <w:rPr>
                <w:rFonts w:hint="default"/>
                <w:color w:val="auto"/>
                <w:lang w:val="en-US" w:eastAsia="zh-CN"/>
              </w:rPr>
              <w:t>0.4</w:t>
            </w:r>
          </w:p>
        </w:tc>
        <w:tc>
          <w:tcPr>
            <w:tcW w:w="0" w:type="auto"/>
            <w:shd w:val="clear" w:color="auto" w:fill="auto"/>
            <w:noWrap/>
            <w:vAlign w:val="center"/>
          </w:tcPr>
          <w:p w14:paraId="5B3AA1DF">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F108273">
            <w:pPr>
              <w:pStyle w:val="31"/>
              <w:bidi w:val="0"/>
              <w:jc w:val="center"/>
              <w:rPr>
                <w:rFonts w:hint="default"/>
                <w:color w:val="auto"/>
              </w:rPr>
            </w:pPr>
            <w:r>
              <w:rPr>
                <w:rFonts w:hint="default"/>
                <w:color w:val="auto"/>
                <w:lang w:val="en-US" w:eastAsia="zh-CN"/>
              </w:rPr>
              <w:t>359</w:t>
            </w:r>
          </w:p>
        </w:tc>
        <w:tc>
          <w:tcPr>
            <w:tcW w:w="1080" w:type="dxa"/>
            <w:shd w:val="clear" w:color="auto" w:fill="auto"/>
            <w:vAlign w:val="center"/>
          </w:tcPr>
          <w:p w14:paraId="4FEE68DC">
            <w:pPr>
              <w:pStyle w:val="31"/>
              <w:bidi w:val="0"/>
              <w:jc w:val="center"/>
              <w:rPr>
                <w:rFonts w:hint="default"/>
                <w:color w:val="auto"/>
              </w:rPr>
            </w:pPr>
            <w:r>
              <w:rPr>
                <w:rFonts w:hint="default"/>
                <w:color w:val="auto"/>
                <w:lang w:val="en-US" w:eastAsia="zh-CN"/>
              </w:rPr>
              <w:t>0.8</w:t>
            </w:r>
          </w:p>
        </w:tc>
        <w:tc>
          <w:tcPr>
            <w:tcW w:w="0" w:type="auto"/>
            <w:shd w:val="clear" w:color="auto" w:fill="auto"/>
            <w:noWrap/>
            <w:vAlign w:val="center"/>
          </w:tcPr>
          <w:p w14:paraId="053D8F6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0797CC5">
            <w:pPr>
              <w:pStyle w:val="31"/>
              <w:bidi w:val="0"/>
              <w:jc w:val="center"/>
              <w:rPr>
                <w:rFonts w:hint="default"/>
                <w:color w:val="auto"/>
              </w:rPr>
            </w:pPr>
            <w:r>
              <w:rPr>
                <w:rFonts w:hint="default"/>
                <w:color w:val="auto"/>
                <w:lang w:val="en-US" w:eastAsia="zh-CN"/>
              </w:rPr>
              <w:t>164</w:t>
            </w:r>
          </w:p>
        </w:tc>
        <w:tc>
          <w:tcPr>
            <w:tcW w:w="1080" w:type="dxa"/>
            <w:shd w:val="clear" w:color="auto" w:fill="auto"/>
            <w:vAlign w:val="center"/>
          </w:tcPr>
          <w:p w14:paraId="18D92B4E">
            <w:pPr>
              <w:pStyle w:val="31"/>
              <w:bidi w:val="0"/>
              <w:jc w:val="center"/>
              <w:rPr>
                <w:rFonts w:hint="default"/>
                <w:color w:val="auto"/>
              </w:rPr>
            </w:pPr>
            <w:r>
              <w:rPr>
                <w:rFonts w:hint="default"/>
                <w:color w:val="auto"/>
                <w:lang w:val="en-US" w:eastAsia="zh-CN"/>
              </w:rPr>
              <w:t>0.4</w:t>
            </w:r>
          </w:p>
        </w:tc>
        <w:tc>
          <w:tcPr>
            <w:tcW w:w="0" w:type="auto"/>
            <w:shd w:val="clear" w:color="auto" w:fill="auto"/>
            <w:noWrap/>
            <w:vAlign w:val="center"/>
          </w:tcPr>
          <w:p w14:paraId="54A583C4">
            <w:pPr>
              <w:pStyle w:val="31"/>
              <w:bidi w:val="0"/>
              <w:jc w:val="center"/>
              <w:rPr>
                <w:rFonts w:hint="eastAsia"/>
                <w:color w:val="auto"/>
              </w:rPr>
            </w:pPr>
            <w:r>
              <w:rPr>
                <w:rFonts w:hint="eastAsia"/>
                <w:color w:val="auto"/>
                <w:lang w:val="en-US" w:eastAsia="zh-CN"/>
              </w:rPr>
              <w:t>达标</w:t>
            </w:r>
          </w:p>
        </w:tc>
      </w:tr>
      <w:tr w14:paraId="01D3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09E50291">
            <w:pPr>
              <w:pStyle w:val="31"/>
              <w:bidi w:val="0"/>
              <w:jc w:val="center"/>
              <w:rPr>
                <w:rFonts w:hint="eastAsia"/>
                <w:color w:val="auto"/>
              </w:rPr>
            </w:pPr>
            <w:r>
              <w:rPr>
                <w:rFonts w:hint="eastAsia"/>
                <w:color w:val="auto"/>
                <w:lang w:val="en-US" w:eastAsia="zh-CN"/>
              </w:rPr>
              <w:t>铅（</w:t>
            </w:r>
            <w:r>
              <w:rPr>
                <w:rFonts w:hint="default"/>
                <w:color w:val="auto"/>
                <w:lang w:val="en-US" w:eastAsia="zh-CN"/>
              </w:rPr>
              <w:t>µg/LL</w:t>
            </w:r>
            <w:r>
              <w:rPr>
                <w:rFonts w:hint="eastAsia"/>
                <w:color w:val="auto"/>
                <w:lang w:val="en-US" w:eastAsia="zh-CN"/>
              </w:rPr>
              <w:t>）</w:t>
            </w:r>
          </w:p>
        </w:tc>
        <w:tc>
          <w:tcPr>
            <w:tcW w:w="0" w:type="auto"/>
            <w:shd w:val="clear" w:color="auto" w:fill="auto"/>
            <w:noWrap/>
            <w:vAlign w:val="center"/>
          </w:tcPr>
          <w:p w14:paraId="33F15ED0">
            <w:pPr>
              <w:pStyle w:val="31"/>
              <w:bidi w:val="0"/>
              <w:jc w:val="center"/>
              <w:rPr>
                <w:rFonts w:hint="default"/>
                <w:color w:val="auto"/>
              </w:rPr>
            </w:pPr>
            <w:r>
              <w:rPr>
                <w:rFonts w:hint="default"/>
                <w:color w:val="auto"/>
                <w:lang w:val="en-US" w:eastAsia="zh-CN"/>
              </w:rPr>
              <w:t>10</w:t>
            </w:r>
          </w:p>
        </w:tc>
        <w:tc>
          <w:tcPr>
            <w:tcW w:w="1080" w:type="dxa"/>
            <w:shd w:val="clear" w:color="auto" w:fill="auto"/>
            <w:vAlign w:val="center"/>
          </w:tcPr>
          <w:p w14:paraId="390E6621">
            <w:pPr>
              <w:pStyle w:val="31"/>
              <w:bidi w:val="0"/>
              <w:jc w:val="center"/>
              <w:rPr>
                <w:rFonts w:hint="default"/>
                <w:color w:val="auto"/>
              </w:rPr>
            </w:pPr>
            <w:r>
              <w:rPr>
                <w:rFonts w:hint="default"/>
                <w:color w:val="auto"/>
                <w:lang w:val="en-US" w:eastAsia="zh-CN"/>
              </w:rPr>
              <w:t>10L</w:t>
            </w:r>
          </w:p>
        </w:tc>
        <w:tc>
          <w:tcPr>
            <w:tcW w:w="1080" w:type="dxa"/>
            <w:shd w:val="clear" w:color="auto" w:fill="auto"/>
            <w:vAlign w:val="center"/>
          </w:tcPr>
          <w:p w14:paraId="21373882">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5A8C59A">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98B8ED0">
            <w:pPr>
              <w:pStyle w:val="31"/>
              <w:bidi w:val="0"/>
              <w:jc w:val="center"/>
              <w:rPr>
                <w:rFonts w:hint="default"/>
                <w:color w:val="auto"/>
              </w:rPr>
            </w:pPr>
            <w:r>
              <w:rPr>
                <w:rFonts w:hint="default"/>
                <w:color w:val="auto"/>
                <w:lang w:val="en-US" w:eastAsia="zh-CN"/>
              </w:rPr>
              <w:t>10L</w:t>
            </w:r>
          </w:p>
        </w:tc>
        <w:tc>
          <w:tcPr>
            <w:tcW w:w="1080" w:type="dxa"/>
            <w:shd w:val="clear" w:color="auto" w:fill="auto"/>
            <w:vAlign w:val="center"/>
          </w:tcPr>
          <w:p w14:paraId="7FFAF86B">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D001208">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070827B">
            <w:pPr>
              <w:pStyle w:val="31"/>
              <w:bidi w:val="0"/>
              <w:jc w:val="center"/>
              <w:rPr>
                <w:rFonts w:hint="default"/>
                <w:color w:val="auto"/>
              </w:rPr>
            </w:pPr>
            <w:r>
              <w:rPr>
                <w:rFonts w:hint="default"/>
                <w:color w:val="auto"/>
                <w:lang w:val="en-US" w:eastAsia="zh-CN"/>
              </w:rPr>
              <w:t>10L</w:t>
            </w:r>
          </w:p>
        </w:tc>
        <w:tc>
          <w:tcPr>
            <w:tcW w:w="1080" w:type="dxa"/>
            <w:shd w:val="clear" w:color="auto" w:fill="auto"/>
            <w:vAlign w:val="center"/>
          </w:tcPr>
          <w:p w14:paraId="32BC63A0">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9954178">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538B460">
            <w:pPr>
              <w:pStyle w:val="31"/>
              <w:bidi w:val="0"/>
              <w:jc w:val="center"/>
              <w:rPr>
                <w:rFonts w:hint="default"/>
                <w:color w:val="auto"/>
              </w:rPr>
            </w:pPr>
            <w:r>
              <w:rPr>
                <w:rFonts w:hint="default"/>
                <w:color w:val="auto"/>
                <w:lang w:val="en-US" w:eastAsia="zh-CN"/>
              </w:rPr>
              <w:t>10L</w:t>
            </w:r>
          </w:p>
        </w:tc>
        <w:tc>
          <w:tcPr>
            <w:tcW w:w="1080" w:type="dxa"/>
            <w:shd w:val="clear" w:color="auto" w:fill="auto"/>
            <w:vAlign w:val="center"/>
          </w:tcPr>
          <w:p w14:paraId="3FDCC6EE">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A44BA68">
            <w:pPr>
              <w:pStyle w:val="31"/>
              <w:bidi w:val="0"/>
              <w:jc w:val="center"/>
              <w:rPr>
                <w:rFonts w:hint="eastAsia"/>
                <w:color w:val="auto"/>
              </w:rPr>
            </w:pPr>
            <w:r>
              <w:rPr>
                <w:rFonts w:hint="eastAsia"/>
                <w:color w:val="auto"/>
                <w:lang w:val="en-US" w:eastAsia="zh-CN"/>
              </w:rPr>
              <w:t>达标</w:t>
            </w:r>
          </w:p>
        </w:tc>
      </w:tr>
      <w:tr w14:paraId="04DA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445AC105">
            <w:pPr>
              <w:pStyle w:val="31"/>
              <w:bidi w:val="0"/>
              <w:jc w:val="center"/>
              <w:rPr>
                <w:rFonts w:hint="eastAsia"/>
                <w:color w:val="auto"/>
              </w:rPr>
            </w:pPr>
            <w:r>
              <w:rPr>
                <w:rFonts w:hint="eastAsia"/>
                <w:color w:val="auto"/>
                <w:lang w:val="en-US" w:eastAsia="zh-CN"/>
              </w:rPr>
              <w:t>氟化物（</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7D9D8BD6">
            <w:pPr>
              <w:pStyle w:val="31"/>
              <w:bidi w:val="0"/>
              <w:jc w:val="center"/>
              <w:rPr>
                <w:rFonts w:hint="default"/>
                <w:color w:val="auto"/>
              </w:rPr>
            </w:pPr>
            <w:r>
              <w:rPr>
                <w:rFonts w:hint="default"/>
                <w:color w:val="auto"/>
                <w:lang w:val="en-US" w:eastAsia="zh-CN"/>
              </w:rPr>
              <w:t>1</w:t>
            </w:r>
          </w:p>
        </w:tc>
        <w:tc>
          <w:tcPr>
            <w:tcW w:w="1080" w:type="dxa"/>
            <w:shd w:val="clear" w:color="auto" w:fill="auto"/>
            <w:vAlign w:val="center"/>
          </w:tcPr>
          <w:p w14:paraId="5D369D13">
            <w:pPr>
              <w:pStyle w:val="31"/>
              <w:bidi w:val="0"/>
              <w:jc w:val="center"/>
              <w:rPr>
                <w:rFonts w:hint="default"/>
                <w:color w:val="auto"/>
              </w:rPr>
            </w:pPr>
            <w:r>
              <w:rPr>
                <w:rFonts w:hint="default"/>
                <w:color w:val="auto"/>
                <w:lang w:val="en-US" w:eastAsia="zh-CN"/>
              </w:rPr>
              <w:t>0.13</w:t>
            </w:r>
          </w:p>
        </w:tc>
        <w:tc>
          <w:tcPr>
            <w:tcW w:w="1080" w:type="dxa"/>
            <w:shd w:val="clear" w:color="auto" w:fill="auto"/>
            <w:vAlign w:val="center"/>
          </w:tcPr>
          <w:p w14:paraId="7DC9B96C">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08B26A6C">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00B3BA9">
            <w:pPr>
              <w:pStyle w:val="31"/>
              <w:bidi w:val="0"/>
              <w:jc w:val="center"/>
              <w:rPr>
                <w:rFonts w:hint="default"/>
                <w:color w:val="auto"/>
              </w:rPr>
            </w:pPr>
            <w:r>
              <w:rPr>
                <w:rFonts w:hint="default"/>
                <w:color w:val="auto"/>
                <w:lang w:val="en-US" w:eastAsia="zh-CN"/>
              </w:rPr>
              <w:t>0.12</w:t>
            </w:r>
          </w:p>
        </w:tc>
        <w:tc>
          <w:tcPr>
            <w:tcW w:w="1080" w:type="dxa"/>
            <w:shd w:val="clear" w:color="auto" w:fill="auto"/>
            <w:vAlign w:val="center"/>
          </w:tcPr>
          <w:p w14:paraId="58F8B10B">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2B2EE1BD">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1BE3207">
            <w:pPr>
              <w:pStyle w:val="31"/>
              <w:bidi w:val="0"/>
              <w:jc w:val="center"/>
              <w:rPr>
                <w:rFonts w:hint="default"/>
                <w:color w:val="auto"/>
              </w:rPr>
            </w:pPr>
            <w:r>
              <w:rPr>
                <w:rFonts w:hint="default"/>
                <w:color w:val="auto"/>
                <w:lang w:val="en-US" w:eastAsia="zh-CN"/>
              </w:rPr>
              <w:t>0.08</w:t>
            </w:r>
          </w:p>
        </w:tc>
        <w:tc>
          <w:tcPr>
            <w:tcW w:w="1080" w:type="dxa"/>
            <w:shd w:val="clear" w:color="auto" w:fill="auto"/>
            <w:vAlign w:val="center"/>
          </w:tcPr>
          <w:p w14:paraId="42EC9831">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6469457B">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33ABFE3">
            <w:pPr>
              <w:pStyle w:val="31"/>
              <w:bidi w:val="0"/>
              <w:jc w:val="center"/>
              <w:rPr>
                <w:rFonts w:hint="default"/>
                <w:color w:val="auto"/>
              </w:rPr>
            </w:pPr>
            <w:r>
              <w:rPr>
                <w:rFonts w:hint="default"/>
                <w:color w:val="auto"/>
                <w:lang w:val="en-US" w:eastAsia="zh-CN"/>
              </w:rPr>
              <w:t>0.05</w:t>
            </w:r>
          </w:p>
        </w:tc>
        <w:tc>
          <w:tcPr>
            <w:tcW w:w="1080" w:type="dxa"/>
            <w:shd w:val="clear" w:color="auto" w:fill="auto"/>
            <w:vAlign w:val="center"/>
          </w:tcPr>
          <w:p w14:paraId="65AF24B7">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157C0357">
            <w:pPr>
              <w:pStyle w:val="31"/>
              <w:bidi w:val="0"/>
              <w:jc w:val="center"/>
              <w:rPr>
                <w:rFonts w:hint="eastAsia"/>
                <w:color w:val="auto"/>
              </w:rPr>
            </w:pPr>
            <w:r>
              <w:rPr>
                <w:rFonts w:hint="eastAsia"/>
                <w:color w:val="auto"/>
                <w:lang w:val="en-US" w:eastAsia="zh-CN"/>
              </w:rPr>
              <w:t>达标</w:t>
            </w:r>
          </w:p>
        </w:tc>
      </w:tr>
      <w:tr w14:paraId="72D1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07AD57BB">
            <w:pPr>
              <w:pStyle w:val="31"/>
              <w:bidi w:val="0"/>
              <w:jc w:val="center"/>
              <w:rPr>
                <w:rFonts w:hint="eastAsia"/>
                <w:color w:val="auto"/>
              </w:rPr>
            </w:pPr>
            <w:r>
              <w:rPr>
                <w:rFonts w:hint="eastAsia"/>
                <w:color w:val="auto"/>
                <w:lang w:val="en-US" w:eastAsia="zh-CN"/>
              </w:rPr>
              <w:t>镉（</w:t>
            </w:r>
            <w:r>
              <w:rPr>
                <w:rFonts w:hint="default"/>
                <w:color w:val="auto"/>
                <w:lang w:val="en-US" w:eastAsia="zh-CN"/>
              </w:rPr>
              <w:t>µg/LL</w:t>
            </w:r>
            <w:r>
              <w:rPr>
                <w:rFonts w:hint="eastAsia"/>
                <w:color w:val="auto"/>
                <w:lang w:val="en-US" w:eastAsia="zh-CN"/>
              </w:rPr>
              <w:t>）</w:t>
            </w:r>
          </w:p>
        </w:tc>
        <w:tc>
          <w:tcPr>
            <w:tcW w:w="0" w:type="auto"/>
            <w:shd w:val="clear" w:color="auto" w:fill="auto"/>
            <w:noWrap/>
            <w:vAlign w:val="center"/>
          </w:tcPr>
          <w:p w14:paraId="278D6007">
            <w:pPr>
              <w:pStyle w:val="31"/>
              <w:bidi w:val="0"/>
              <w:jc w:val="center"/>
              <w:rPr>
                <w:rFonts w:hint="default"/>
                <w:color w:val="auto"/>
              </w:rPr>
            </w:pPr>
            <w:r>
              <w:rPr>
                <w:rFonts w:hint="default"/>
                <w:color w:val="auto"/>
                <w:lang w:val="en-US" w:eastAsia="zh-CN"/>
              </w:rPr>
              <w:t>5</w:t>
            </w:r>
          </w:p>
        </w:tc>
        <w:tc>
          <w:tcPr>
            <w:tcW w:w="1080" w:type="dxa"/>
            <w:shd w:val="clear" w:color="auto" w:fill="auto"/>
            <w:vAlign w:val="center"/>
          </w:tcPr>
          <w:p w14:paraId="41E1069E">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5E81EE6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1FAF060">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B59BCF5">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5F876661">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AC1602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2F91381">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1E20B954">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B3CCAC1">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434FCFC8">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40A8029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6242C2F">
            <w:pPr>
              <w:pStyle w:val="31"/>
              <w:bidi w:val="0"/>
              <w:jc w:val="center"/>
              <w:rPr>
                <w:rFonts w:hint="eastAsia"/>
                <w:color w:val="auto"/>
              </w:rPr>
            </w:pPr>
            <w:r>
              <w:rPr>
                <w:rFonts w:hint="eastAsia"/>
                <w:color w:val="auto"/>
                <w:lang w:val="en-US" w:eastAsia="zh-CN"/>
              </w:rPr>
              <w:t>达标</w:t>
            </w:r>
          </w:p>
        </w:tc>
      </w:tr>
      <w:tr w14:paraId="1A7B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F2670F5">
            <w:pPr>
              <w:pStyle w:val="31"/>
              <w:bidi w:val="0"/>
              <w:jc w:val="center"/>
              <w:rPr>
                <w:rFonts w:hint="eastAsia"/>
                <w:color w:val="auto"/>
              </w:rPr>
            </w:pPr>
            <w:r>
              <w:rPr>
                <w:rFonts w:hint="eastAsia"/>
                <w:color w:val="auto"/>
                <w:lang w:val="en-US" w:eastAsia="zh-CN"/>
              </w:rPr>
              <w:t>铁（</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15194F77">
            <w:pPr>
              <w:pStyle w:val="31"/>
              <w:bidi w:val="0"/>
              <w:jc w:val="center"/>
              <w:rPr>
                <w:rFonts w:hint="default"/>
                <w:color w:val="auto"/>
              </w:rPr>
            </w:pPr>
            <w:r>
              <w:rPr>
                <w:rFonts w:hint="default"/>
                <w:color w:val="auto"/>
                <w:lang w:val="en-US" w:eastAsia="zh-CN"/>
              </w:rPr>
              <w:t>0.3</w:t>
            </w:r>
          </w:p>
        </w:tc>
        <w:tc>
          <w:tcPr>
            <w:tcW w:w="1080" w:type="dxa"/>
            <w:shd w:val="clear" w:color="auto" w:fill="auto"/>
            <w:vAlign w:val="center"/>
          </w:tcPr>
          <w:p w14:paraId="7CC858C2">
            <w:pPr>
              <w:pStyle w:val="31"/>
              <w:bidi w:val="0"/>
              <w:jc w:val="center"/>
              <w:rPr>
                <w:rFonts w:hint="default"/>
                <w:color w:val="auto"/>
              </w:rPr>
            </w:pPr>
            <w:r>
              <w:rPr>
                <w:rFonts w:hint="default"/>
                <w:color w:val="auto"/>
                <w:lang w:val="en-US" w:eastAsia="zh-CN"/>
              </w:rPr>
              <w:t>0.02</w:t>
            </w:r>
          </w:p>
        </w:tc>
        <w:tc>
          <w:tcPr>
            <w:tcW w:w="1080" w:type="dxa"/>
            <w:shd w:val="clear" w:color="auto" w:fill="auto"/>
            <w:vAlign w:val="center"/>
          </w:tcPr>
          <w:p w14:paraId="73776BAC">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73A4080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BD04EAE">
            <w:pPr>
              <w:pStyle w:val="31"/>
              <w:bidi w:val="0"/>
              <w:jc w:val="center"/>
              <w:rPr>
                <w:rFonts w:hint="default"/>
                <w:color w:val="auto"/>
              </w:rPr>
            </w:pPr>
            <w:r>
              <w:rPr>
                <w:rFonts w:hint="default"/>
                <w:color w:val="auto"/>
                <w:lang w:val="en-US" w:eastAsia="zh-CN"/>
              </w:rPr>
              <w:t>0.01</w:t>
            </w:r>
          </w:p>
        </w:tc>
        <w:tc>
          <w:tcPr>
            <w:tcW w:w="1080" w:type="dxa"/>
            <w:shd w:val="clear" w:color="auto" w:fill="auto"/>
            <w:vAlign w:val="center"/>
          </w:tcPr>
          <w:p w14:paraId="3161854C">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646CA9B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79A78E5">
            <w:pPr>
              <w:pStyle w:val="31"/>
              <w:bidi w:val="0"/>
              <w:jc w:val="center"/>
              <w:rPr>
                <w:rFonts w:hint="default"/>
                <w:color w:val="auto"/>
              </w:rPr>
            </w:pPr>
            <w:r>
              <w:rPr>
                <w:rFonts w:hint="default"/>
                <w:color w:val="auto"/>
                <w:lang w:val="en-US" w:eastAsia="zh-CN"/>
              </w:rPr>
              <w:t>0.01L</w:t>
            </w:r>
          </w:p>
        </w:tc>
        <w:tc>
          <w:tcPr>
            <w:tcW w:w="1080" w:type="dxa"/>
            <w:shd w:val="clear" w:color="auto" w:fill="auto"/>
            <w:vAlign w:val="center"/>
          </w:tcPr>
          <w:p w14:paraId="5D0DB97C">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6AB0B2F">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9F12D25">
            <w:pPr>
              <w:pStyle w:val="31"/>
              <w:bidi w:val="0"/>
              <w:jc w:val="center"/>
              <w:rPr>
                <w:rFonts w:hint="default"/>
                <w:color w:val="auto"/>
              </w:rPr>
            </w:pPr>
            <w:r>
              <w:rPr>
                <w:rFonts w:hint="default"/>
                <w:color w:val="auto"/>
                <w:lang w:val="en-US" w:eastAsia="zh-CN"/>
              </w:rPr>
              <w:t>0.01</w:t>
            </w:r>
          </w:p>
        </w:tc>
        <w:tc>
          <w:tcPr>
            <w:tcW w:w="1080" w:type="dxa"/>
            <w:shd w:val="clear" w:color="auto" w:fill="auto"/>
            <w:vAlign w:val="center"/>
          </w:tcPr>
          <w:p w14:paraId="6EFB0398">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6C31BE33">
            <w:pPr>
              <w:pStyle w:val="31"/>
              <w:bidi w:val="0"/>
              <w:jc w:val="center"/>
              <w:rPr>
                <w:rFonts w:hint="eastAsia"/>
                <w:color w:val="auto"/>
              </w:rPr>
            </w:pPr>
            <w:r>
              <w:rPr>
                <w:rFonts w:hint="eastAsia"/>
                <w:color w:val="auto"/>
                <w:lang w:val="en-US" w:eastAsia="zh-CN"/>
              </w:rPr>
              <w:t>达标</w:t>
            </w:r>
          </w:p>
        </w:tc>
      </w:tr>
      <w:tr w14:paraId="0826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044E89FD">
            <w:pPr>
              <w:pStyle w:val="31"/>
              <w:bidi w:val="0"/>
              <w:jc w:val="center"/>
              <w:rPr>
                <w:rFonts w:hint="eastAsia"/>
                <w:color w:val="auto"/>
              </w:rPr>
            </w:pPr>
            <w:r>
              <w:rPr>
                <w:rFonts w:hint="eastAsia"/>
                <w:color w:val="auto"/>
                <w:lang w:val="en-US" w:eastAsia="zh-CN"/>
              </w:rPr>
              <w:t>锰（</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31F28CC3">
            <w:pPr>
              <w:pStyle w:val="31"/>
              <w:bidi w:val="0"/>
              <w:jc w:val="center"/>
              <w:rPr>
                <w:rFonts w:hint="default"/>
                <w:color w:val="auto"/>
              </w:rPr>
            </w:pPr>
            <w:r>
              <w:rPr>
                <w:rFonts w:hint="default"/>
                <w:color w:val="auto"/>
                <w:lang w:val="en-US" w:eastAsia="zh-CN"/>
              </w:rPr>
              <w:t>0.1</w:t>
            </w:r>
          </w:p>
        </w:tc>
        <w:tc>
          <w:tcPr>
            <w:tcW w:w="1080" w:type="dxa"/>
            <w:shd w:val="clear" w:color="auto" w:fill="auto"/>
            <w:vAlign w:val="center"/>
          </w:tcPr>
          <w:p w14:paraId="661934A9">
            <w:pPr>
              <w:pStyle w:val="31"/>
              <w:bidi w:val="0"/>
              <w:jc w:val="center"/>
              <w:rPr>
                <w:rFonts w:hint="default"/>
                <w:color w:val="auto"/>
              </w:rPr>
            </w:pPr>
            <w:r>
              <w:rPr>
                <w:rFonts w:hint="default"/>
                <w:color w:val="auto"/>
                <w:lang w:val="en-US" w:eastAsia="zh-CN"/>
              </w:rPr>
              <w:t>0.08</w:t>
            </w:r>
          </w:p>
        </w:tc>
        <w:tc>
          <w:tcPr>
            <w:tcW w:w="1080" w:type="dxa"/>
            <w:shd w:val="clear" w:color="auto" w:fill="auto"/>
            <w:vAlign w:val="center"/>
          </w:tcPr>
          <w:p w14:paraId="7BCBF6E4">
            <w:pPr>
              <w:pStyle w:val="31"/>
              <w:bidi w:val="0"/>
              <w:jc w:val="center"/>
              <w:rPr>
                <w:rFonts w:hint="default"/>
                <w:color w:val="auto"/>
              </w:rPr>
            </w:pPr>
            <w:r>
              <w:rPr>
                <w:rFonts w:hint="default"/>
                <w:color w:val="auto"/>
                <w:lang w:val="en-US" w:eastAsia="zh-CN"/>
              </w:rPr>
              <w:t>0.8</w:t>
            </w:r>
          </w:p>
        </w:tc>
        <w:tc>
          <w:tcPr>
            <w:tcW w:w="0" w:type="auto"/>
            <w:shd w:val="clear" w:color="auto" w:fill="auto"/>
            <w:noWrap/>
            <w:vAlign w:val="center"/>
          </w:tcPr>
          <w:p w14:paraId="44649A5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DCF4805">
            <w:pPr>
              <w:pStyle w:val="31"/>
              <w:bidi w:val="0"/>
              <w:jc w:val="center"/>
              <w:rPr>
                <w:rFonts w:hint="default"/>
                <w:color w:val="auto"/>
              </w:rPr>
            </w:pPr>
            <w:r>
              <w:rPr>
                <w:rFonts w:hint="default"/>
                <w:color w:val="auto"/>
                <w:lang w:val="en-US" w:eastAsia="zh-CN"/>
              </w:rPr>
              <w:t>0.01L</w:t>
            </w:r>
          </w:p>
        </w:tc>
        <w:tc>
          <w:tcPr>
            <w:tcW w:w="1080" w:type="dxa"/>
            <w:shd w:val="clear" w:color="auto" w:fill="auto"/>
            <w:vAlign w:val="center"/>
          </w:tcPr>
          <w:p w14:paraId="68CF86B5">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45C77DD">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860ED8B">
            <w:pPr>
              <w:pStyle w:val="31"/>
              <w:bidi w:val="0"/>
              <w:jc w:val="center"/>
              <w:rPr>
                <w:rFonts w:hint="default"/>
                <w:color w:val="auto"/>
              </w:rPr>
            </w:pPr>
            <w:r>
              <w:rPr>
                <w:rFonts w:hint="default"/>
                <w:color w:val="auto"/>
                <w:lang w:val="en-US" w:eastAsia="zh-CN"/>
              </w:rPr>
              <w:t>0.02</w:t>
            </w:r>
          </w:p>
        </w:tc>
        <w:tc>
          <w:tcPr>
            <w:tcW w:w="1080" w:type="dxa"/>
            <w:shd w:val="clear" w:color="auto" w:fill="auto"/>
            <w:vAlign w:val="center"/>
          </w:tcPr>
          <w:p w14:paraId="3F99732F">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1BDE144A">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EE442AD">
            <w:pPr>
              <w:pStyle w:val="31"/>
              <w:bidi w:val="0"/>
              <w:jc w:val="center"/>
              <w:rPr>
                <w:rFonts w:hint="default"/>
                <w:color w:val="auto"/>
              </w:rPr>
            </w:pPr>
            <w:r>
              <w:rPr>
                <w:rFonts w:hint="default"/>
                <w:color w:val="auto"/>
                <w:lang w:val="en-US" w:eastAsia="zh-CN"/>
              </w:rPr>
              <w:t>0.02</w:t>
            </w:r>
          </w:p>
        </w:tc>
        <w:tc>
          <w:tcPr>
            <w:tcW w:w="1080" w:type="dxa"/>
            <w:shd w:val="clear" w:color="auto" w:fill="auto"/>
            <w:vAlign w:val="center"/>
          </w:tcPr>
          <w:p w14:paraId="35DC1C48">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2611DF63">
            <w:pPr>
              <w:pStyle w:val="31"/>
              <w:bidi w:val="0"/>
              <w:jc w:val="center"/>
              <w:rPr>
                <w:rFonts w:hint="eastAsia"/>
                <w:color w:val="auto"/>
              </w:rPr>
            </w:pPr>
            <w:r>
              <w:rPr>
                <w:rFonts w:hint="eastAsia"/>
                <w:color w:val="auto"/>
                <w:lang w:val="en-US" w:eastAsia="zh-CN"/>
              </w:rPr>
              <w:t>达标</w:t>
            </w:r>
          </w:p>
        </w:tc>
      </w:tr>
      <w:tr w14:paraId="0AAA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6D23C588">
            <w:pPr>
              <w:pStyle w:val="31"/>
              <w:bidi w:val="0"/>
              <w:jc w:val="center"/>
              <w:rPr>
                <w:rFonts w:hint="eastAsia"/>
                <w:color w:val="auto"/>
              </w:rPr>
            </w:pPr>
            <w:r>
              <w:rPr>
                <w:rFonts w:hint="eastAsia"/>
                <w:color w:val="auto"/>
                <w:lang w:val="en-US" w:eastAsia="zh-CN"/>
              </w:rPr>
              <w:t>溶解性总固体（</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35178C95">
            <w:pPr>
              <w:pStyle w:val="31"/>
              <w:bidi w:val="0"/>
              <w:jc w:val="center"/>
              <w:rPr>
                <w:rFonts w:hint="default"/>
                <w:color w:val="auto"/>
              </w:rPr>
            </w:pPr>
            <w:r>
              <w:rPr>
                <w:rFonts w:hint="default"/>
                <w:color w:val="auto"/>
                <w:lang w:val="en-US" w:eastAsia="zh-CN"/>
              </w:rPr>
              <w:t>1000</w:t>
            </w:r>
          </w:p>
        </w:tc>
        <w:tc>
          <w:tcPr>
            <w:tcW w:w="1080" w:type="dxa"/>
            <w:shd w:val="clear" w:color="auto" w:fill="auto"/>
            <w:vAlign w:val="center"/>
          </w:tcPr>
          <w:p w14:paraId="10621CC0">
            <w:pPr>
              <w:pStyle w:val="31"/>
              <w:bidi w:val="0"/>
              <w:jc w:val="center"/>
              <w:rPr>
                <w:rFonts w:hint="default"/>
                <w:color w:val="auto"/>
              </w:rPr>
            </w:pPr>
            <w:r>
              <w:rPr>
                <w:rFonts w:hint="default"/>
                <w:color w:val="auto"/>
                <w:lang w:val="en-US" w:eastAsia="zh-CN"/>
              </w:rPr>
              <w:t>189</w:t>
            </w:r>
          </w:p>
        </w:tc>
        <w:tc>
          <w:tcPr>
            <w:tcW w:w="1080" w:type="dxa"/>
            <w:shd w:val="clear" w:color="auto" w:fill="auto"/>
            <w:vAlign w:val="center"/>
          </w:tcPr>
          <w:p w14:paraId="2664EC58">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7F7BFCD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92A81A6">
            <w:pPr>
              <w:pStyle w:val="31"/>
              <w:bidi w:val="0"/>
              <w:jc w:val="center"/>
              <w:rPr>
                <w:rFonts w:hint="default"/>
                <w:color w:val="auto"/>
              </w:rPr>
            </w:pPr>
            <w:r>
              <w:rPr>
                <w:rFonts w:hint="default"/>
                <w:color w:val="auto"/>
                <w:lang w:val="en-US" w:eastAsia="zh-CN"/>
              </w:rPr>
              <w:t>247</w:t>
            </w:r>
          </w:p>
        </w:tc>
        <w:tc>
          <w:tcPr>
            <w:tcW w:w="1080" w:type="dxa"/>
            <w:shd w:val="clear" w:color="auto" w:fill="auto"/>
            <w:vAlign w:val="center"/>
          </w:tcPr>
          <w:p w14:paraId="2BF1A5EF">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7690F3E7">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A31B84C">
            <w:pPr>
              <w:pStyle w:val="31"/>
              <w:bidi w:val="0"/>
              <w:jc w:val="center"/>
              <w:rPr>
                <w:rFonts w:hint="default"/>
                <w:color w:val="auto"/>
              </w:rPr>
            </w:pPr>
            <w:r>
              <w:rPr>
                <w:rFonts w:hint="default"/>
                <w:color w:val="auto"/>
                <w:lang w:val="en-US" w:eastAsia="zh-CN"/>
              </w:rPr>
              <w:t>268</w:t>
            </w:r>
          </w:p>
        </w:tc>
        <w:tc>
          <w:tcPr>
            <w:tcW w:w="1080" w:type="dxa"/>
            <w:shd w:val="clear" w:color="auto" w:fill="auto"/>
            <w:vAlign w:val="center"/>
          </w:tcPr>
          <w:p w14:paraId="2D3C1DF6">
            <w:pPr>
              <w:pStyle w:val="31"/>
              <w:bidi w:val="0"/>
              <w:jc w:val="center"/>
              <w:rPr>
                <w:rFonts w:hint="default"/>
                <w:color w:val="auto"/>
              </w:rPr>
            </w:pPr>
            <w:r>
              <w:rPr>
                <w:rFonts w:hint="default"/>
                <w:color w:val="auto"/>
                <w:lang w:val="en-US" w:eastAsia="zh-CN"/>
              </w:rPr>
              <w:t>0.3</w:t>
            </w:r>
          </w:p>
        </w:tc>
        <w:tc>
          <w:tcPr>
            <w:tcW w:w="0" w:type="auto"/>
            <w:shd w:val="clear" w:color="auto" w:fill="auto"/>
            <w:noWrap/>
            <w:vAlign w:val="center"/>
          </w:tcPr>
          <w:p w14:paraId="1F5A3E5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2C7D131">
            <w:pPr>
              <w:pStyle w:val="31"/>
              <w:bidi w:val="0"/>
              <w:jc w:val="center"/>
              <w:rPr>
                <w:rFonts w:hint="default"/>
                <w:color w:val="auto"/>
              </w:rPr>
            </w:pPr>
            <w:r>
              <w:rPr>
                <w:rFonts w:hint="default"/>
                <w:color w:val="auto"/>
                <w:lang w:val="en-US" w:eastAsia="zh-CN"/>
              </w:rPr>
              <w:t>239</w:t>
            </w:r>
          </w:p>
        </w:tc>
        <w:tc>
          <w:tcPr>
            <w:tcW w:w="1080" w:type="dxa"/>
            <w:shd w:val="clear" w:color="auto" w:fill="auto"/>
            <w:vAlign w:val="center"/>
          </w:tcPr>
          <w:p w14:paraId="6BD31967">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225CEE55">
            <w:pPr>
              <w:pStyle w:val="31"/>
              <w:bidi w:val="0"/>
              <w:jc w:val="center"/>
              <w:rPr>
                <w:rFonts w:hint="eastAsia"/>
                <w:color w:val="auto"/>
              </w:rPr>
            </w:pPr>
            <w:r>
              <w:rPr>
                <w:rFonts w:hint="eastAsia"/>
                <w:color w:val="auto"/>
                <w:lang w:val="en-US" w:eastAsia="zh-CN"/>
              </w:rPr>
              <w:t>达标</w:t>
            </w:r>
          </w:p>
        </w:tc>
      </w:tr>
      <w:tr w14:paraId="223B7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39D0EDD">
            <w:pPr>
              <w:pStyle w:val="31"/>
              <w:bidi w:val="0"/>
              <w:jc w:val="center"/>
              <w:rPr>
                <w:rFonts w:hint="eastAsia"/>
                <w:color w:val="auto"/>
              </w:rPr>
            </w:pPr>
            <w:r>
              <w:rPr>
                <w:rFonts w:hint="eastAsia"/>
                <w:color w:val="auto"/>
                <w:lang w:val="en-US" w:eastAsia="zh-CN"/>
              </w:rPr>
              <w:t>高锰酸盐指数（</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3631C402">
            <w:pPr>
              <w:pStyle w:val="31"/>
              <w:bidi w:val="0"/>
              <w:jc w:val="center"/>
              <w:rPr>
                <w:rFonts w:hint="default"/>
                <w:color w:val="auto"/>
              </w:rPr>
            </w:pPr>
            <w:r>
              <w:rPr>
                <w:rFonts w:hint="default"/>
                <w:color w:val="auto"/>
                <w:lang w:val="en-US" w:eastAsia="zh-CN"/>
              </w:rPr>
              <w:t>3</w:t>
            </w:r>
          </w:p>
        </w:tc>
        <w:tc>
          <w:tcPr>
            <w:tcW w:w="1080" w:type="dxa"/>
            <w:shd w:val="clear" w:color="auto" w:fill="auto"/>
            <w:vAlign w:val="center"/>
          </w:tcPr>
          <w:p w14:paraId="296EB462">
            <w:pPr>
              <w:pStyle w:val="31"/>
              <w:bidi w:val="0"/>
              <w:jc w:val="center"/>
              <w:rPr>
                <w:rFonts w:hint="default"/>
                <w:color w:val="auto"/>
              </w:rPr>
            </w:pPr>
            <w:r>
              <w:rPr>
                <w:rFonts w:hint="default"/>
                <w:color w:val="auto"/>
                <w:lang w:val="en-US" w:eastAsia="zh-CN"/>
              </w:rPr>
              <w:t>1.2</w:t>
            </w:r>
          </w:p>
        </w:tc>
        <w:tc>
          <w:tcPr>
            <w:tcW w:w="1080" w:type="dxa"/>
            <w:shd w:val="clear" w:color="auto" w:fill="auto"/>
            <w:vAlign w:val="center"/>
          </w:tcPr>
          <w:p w14:paraId="355824C5">
            <w:pPr>
              <w:pStyle w:val="31"/>
              <w:bidi w:val="0"/>
              <w:jc w:val="center"/>
              <w:rPr>
                <w:rFonts w:hint="default"/>
                <w:color w:val="auto"/>
              </w:rPr>
            </w:pPr>
            <w:r>
              <w:rPr>
                <w:rFonts w:hint="default"/>
                <w:color w:val="auto"/>
                <w:lang w:val="en-US" w:eastAsia="zh-CN"/>
              </w:rPr>
              <w:t>0.4</w:t>
            </w:r>
          </w:p>
        </w:tc>
        <w:tc>
          <w:tcPr>
            <w:tcW w:w="0" w:type="auto"/>
            <w:shd w:val="clear" w:color="auto" w:fill="auto"/>
            <w:noWrap/>
            <w:vAlign w:val="center"/>
          </w:tcPr>
          <w:p w14:paraId="2DE04828">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C93EA18">
            <w:pPr>
              <w:pStyle w:val="31"/>
              <w:bidi w:val="0"/>
              <w:jc w:val="center"/>
              <w:rPr>
                <w:rFonts w:hint="default"/>
                <w:color w:val="auto"/>
              </w:rPr>
            </w:pPr>
            <w:r>
              <w:rPr>
                <w:rFonts w:hint="default"/>
                <w:color w:val="auto"/>
                <w:lang w:val="en-US" w:eastAsia="zh-CN"/>
              </w:rPr>
              <w:t>2.2</w:t>
            </w:r>
          </w:p>
        </w:tc>
        <w:tc>
          <w:tcPr>
            <w:tcW w:w="1080" w:type="dxa"/>
            <w:shd w:val="clear" w:color="auto" w:fill="auto"/>
            <w:vAlign w:val="center"/>
          </w:tcPr>
          <w:p w14:paraId="713ADB5D">
            <w:pPr>
              <w:pStyle w:val="31"/>
              <w:bidi w:val="0"/>
              <w:jc w:val="center"/>
              <w:rPr>
                <w:rFonts w:hint="default"/>
                <w:color w:val="auto"/>
              </w:rPr>
            </w:pPr>
            <w:r>
              <w:rPr>
                <w:rFonts w:hint="default"/>
                <w:color w:val="auto"/>
                <w:lang w:val="en-US" w:eastAsia="zh-CN"/>
              </w:rPr>
              <w:t>0.7</w:t>
            </w:r>
          </w:p>
        </w:tc>
        <w:tc>
          <w:tcPr>
            <w:tcW w:w="0" w:type="auto"/>
            <w:shd w:val="clear" w:color="auto" w:fill="auto"/>
            <w:noWrap/>
            <w:vAlign w:val="center"/>
          </w:tcPr>
          <w:p w14:paraId="39E9921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A46FBA4">
            <w:pPr>
              <w:pStyle w:val="31"/>
              <w:bidi w:val="0"/>
              <w:jc w:val="center"/>
              <w:rPr>
                <w:rFonts w:hint="default"/>
                <w:color w:val="auto"/>
              </w:rPr>
            </w:pPr>
            <w:r>
              <w:rPr>
                <w:rFonts w:hint="default"/>
                <w:color w:val="auto"/>
                <w:lang w:val="en-US" w:eastAsia="zh-CN"/>
              </w:rPr>
              <w:t>2.4</w:t>
            </w:r>
          </w:p>
        </w:tc>
        <w:tc>
          <w:tcPr>
            <w:tcW w:w="1080" w:type="dxa"/>
            <w:shd w:val="clear" w:color="auto" w:fill="auto"/>
            <w:vAlign w:val="center"/>
          </w:tcPr>
          <w:p w14:paraId="329B547E">
            <w:pPr>
              <w:pStyle w:val="31"/>
              <w:bidi w:val="0"/>
              <w:jc w:val="center"/>
              <w:rPr>
                <w:rFonts w:hint="default"/>
                <w:color w:val="auto"/>
              </w:rPr>
            </w:pPr>
            <w:r>
              <w:rPr>
                <w:rFonts w:hint="default"/>
                <w:color w:val="auto"/>
                <w:lang w:val="en-US" w:eastAsia="zh-CN"/>
              </w:rPr>
              <w:t>0.8</w:t>
            </w:r>
          </w:p>
        </w:tc>
        <w:tc>
          <w:tcPr>
            <w:tcW w:w="0" w:type="auto"/>
            <w:shd w:val="clear" w:color="auto" w:fill="auto"/>
            <w:noWrap/>
            <w:vAlign w:val="center"/>
          </w:tcPr>
          <w:p w14:paraId="7633487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5AA1F01">
            <w:pPr>
              <w:pStyle w:val="31"/>
              <w:bidi w:val="0"/>
              <w:jc w:val="center"/>
              <w:rPr>
                <w:rFonts w:hint="default"/>
                <w:color w:val="auto"/>
              </w:rPr>
            </w:pPr>
            <w:r>
              <w:rPr>
                <w:rFonts w:hint="default"/>
                <w:color w:val="auto"/>
                <w:lang w:val="en-US" w:eastAsia="zh-CN"/>
              </w:rPr>
              <w:t>1.4</w:t>
            </w:r>
          </w:p>
        </w:tc>
        <w:tc>
          <w:tcPr>
            <w:tcW w:w="1080" w:type="dxa"/>
            <w:shd w:val="clear" w:color="auto" w:fill="auto"/>
            <w:vAlign w:val="center"/>
          </w:tcPr>
          <w:p w14:paraId="5E8A4D59">
            <w:pPr>
              <w:pStyle w:val="31"/>
              <w:bidi w:val="0"/>
              <w:jc w:val="center"/>
              <w:rPr>
                <w:rFonts w:hint="default"/>
                <w:color w:val="auto"/>
              </w:rPr>
            </w:pPr>
            <w:r>
              <w:rPr>
                <w:rFonts w:hint="default"/>
                <w:color w:val="auto"/>
                <w:lang w:val="en-US" w:eastAsia="zh-CN"/>
              </w:rPr>
              <w:t>0.5</w:t>
            </w:r>
          </w:p>
        </w:tc>
        <w:tc>
          <w:tcPr>
            <w:tcW w:w="0" w:type="auto"/>
            <w:shd w:val="clear" w:color="auto" w:fill="auto"/>
            <w:noWrap/>
            <w:vAlign w:val="center"/>
          </w:tcPr>
          <w:p w14:paraId="30A9FEE3">
            <w:pPr>
              <w:pStyle w:val="31"/>
              <w:bidi w:val="0"/>
              <w:jc w:val="center"/>
              <w:rPr>
                <w:rFonts w:hint="eastAsia"/>
                <w:color w:val="auto"/>
              </w:rPr>
            </w:pPr>
            <w:r>
              <w:rPr>
                <w:rFonts w:hint="eastAsia"/>
                <w:color w:val="auto"/>
                <w:lang w:val="en-US" w:eastAsia="zh-CN"/>
              </w:rPr>
              <w:t>达标</w:t>
            </w:r>
          </w:p>
        </w:tc>
      </w:tr>
      <w:tr w14:paraId="0384F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608824DF">
            <w:pPr>
              <w:pStyle w:val="31"/>
              <w:bidi w:val="0"/>
              <w:jc w:val="center"/>
              <w:rPr>
                <w:rFonts w:hint="eastAsia"/>
                <w:color w:val="auto"/>
              </w:rPr>
            </w:pPr>
            <w:r>
              <w:rPr>
                <w:rFonts w:hint="eastAsia"/>
                <w:color w:val="auto"/>
                <w:lang w:val="en-US" w:eastAsia="zh-CN"/>
              </w:rPr>
              <w:t>硫酸盐（</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77782794">
            <w:pPr>
              <w:pStyle w:val="31"/>
              <w:bidi w:val="0"/>
              <w:jc w:val="center"/>
              <w:rPr>
                <w:rFonts w:hint="default"/>
                <w:color w:val="auto"/>
              </w:rPr>
            </w:pPr>
            <w:r>
              <w:rPr>
                <w:rFonts w:hint="default"/>
                <w:color w:val="auto"/>
                <w:lang w:val="en-US" w:eastAsia="zh-CN"/>
              </w:rPr>
              <w:t>250</w:t>
            </w:r>
          </w:p>
        </w:tc>
        <w:tc>
          <w:tcPr>
            <w:tcW w:w="1080" w:type="dxa"/>
            <w:shd w:val="clear" w:color="auto" w:fill="auto"/>
            <w:vAlign w:val="center"/>
          </w:tcPr>
          <w:p w14:paraId="4AE5B5FB">
            <w:pPr>
              <w:pStyle w:val="31"/>
              <w:bidi w:val="0"/>
              <w:jc w:val="center"/>
              <w:rPr>
                <w:rFonts w:hint="default"/>
                <w:color w:val="auto"/>
              </w:rPr>
            </w:pPr>
            <w:r>
              <w:rPr>
                <w:rFonts w:hint="default"/>
                <w:color w:val="auto"/>
                <w:lang w:val="en-US" w:eastAsia="zh-CN"/>
              </w:rPr>
              <w:t>28</w:t>
            </w:r>
          </w:p>
        </w:tc>
        <w:tc>
          <w:tcPr>
            <w:tcW w:w="1080" w:type="dxa"/>
            <w:shd w:val="clear" w:color="auto" w:fill="auto"/>
            <w:vAlign w:val="center"/>
          </w:tcPr>
          <w:p w14:paraId="4FD59D00">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2E484A4D">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7C0F442">
            <w:pPr>
              <w:pStyle w:val="31"/>
              <w:bidi w:val="0"/>
              <w:jc w:val="center"/>
              <w:rPr>
                <w:rFonts w:hint="default"/>
                <w:color w:val="auto"/>
              </w:rPr>
            </w:pPr>
            <w:r>
              <w:rPr>
                <w:rFonts w:hint="default"/>
                <w:color w:val="auto"/>
                <w:lang w:val="en-US" w:eastAsia="zh-CN"/>
              </w:rPr>
              <w:t>39</w:t>
            </w:r>
          </w:p>
        </w:tc>
        <w:tc>
          <w:tcPr>
            <w:tcW w:w="1080" w:type="dxa"/>
            <w:shd w:val="clear" w:color="auto" w:fill="auto"/>
            <w:vAlign w:val="center"/>
          </w:tcPr>
          <w:p w14:paraId="35CDADA3">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120EE48F">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EB9ADEB">
            <w:pPr>
              <w:pStyle w:val="31"/>
              <w:bidi w:val="0"/>
              <w:jc w:val="center"/>
              <w:rPr>
                <w:rFonts w:hint="default"/>
                <w:color w:val="auto"/>
              </w:rPr>
            </w:pPr>
            <w:r>
              <w:rPr>
                <w:rFonts w:hint="default"/>
                <w:color w:val="auto"/>
                <w:lang w:val="en-US" w:eastAsia="zh-CN"/>
              </w:rPr>
              <w:t>166</w:t>
            </w:r>
          </w:p>
        </w:tc>
        <w:tc>
          <w:tcPr>
            <w:tcW w:w="1080" w:type="dxa"/>
            <w:shd w:val="clear" w:color="auto" w:fill="auto"/>
            <w:vAlign w:val="center"/>
          </w:tcPr>
          <w:p w14:paraId="49DE2A81">
            <w:pPr>
              <w:pStyle w:val="31"/>
              <w:bidi w:val="0"/>
              <w:jc w:val="center"/>
              <w:rPr>
                <w:rFonts w:hint="default"/>
                <w:color w:val="auto"/>
              </w:rPr>
            </w:pPr>
            <w:r>
              <w:rPr>
                <w:rFonts w:hint="default"/>
                <w:color w:val="auto"/>
                <w:lang w:val="en-US" w:eastAsia="zh-CN"/>
              </w:rPr>
              <w:t>0.7</w:t>
            </w:r>
          </w:p>
        </w:tc>
        <w:tc>
          <w:tcPr>
            <w:tcW w:w="0" w:type="auto"/>
            <w:shd w:val="clear" w:color="auto" w:fill="auto"/>
            <w:noWrap/>
            <w:vAlign w:val="center"/>
          </w:tcPr>
          <w:p w14:paraId="4D4532F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A2C16E9">
            <w:pPr>
              <w:pStyle w:val="31"/>
              <w:bidi w:val="0"/>
              <w:jc w:val="center"/>
              <w:rPr>
                <w:rFonts w:hint="default"/>
                <w:color w:val="auto"/>
              </w:rPr>
            </w:pPr>
            <w:r>
              <w:rPr>
                <w:rFonts w:hint="default"/>
                <w:color w:val="auto"/>
                <w:lang w:val="en-US" w:eastAsia="zh-CN"/>
              </w:rPr>
              <w:t>49</w:t>
            </w:r>
          </w:p>
        </w:tc>
        <w:tc>
          <w:tcPr>
            <w:tcW w:w="1080" w:type="dxa"/>
            <w:shd w:val="clear" w:color="auto" w:fill="auto"/>
            <w:vAlign w:val="center"/>
          </w:tcPr>
          <w:p w14:paraId="03F26C43">
            <w:pPr>
              <w:pStyle w:val="31"/>
              <w:bidi w:val="0"/>
              <w:jc w:val="center"/>
              <w:rPr>
                <w:rFonts w:hint="default"/>
                <w:color w:val="auto"/>
              </w:rPr>
            </w:pPr>
            <w:r>
              <w:rPr>
                <w:rFonts w:hint="default"/>
                <w:color w:val="auto"/>
                <w:lang w:val="en-US" w:eastAsia="zh-CN"/>
              </w:rPr>
              <w:t>0.2</w:t>
            </w:r>
          </w:p>
        </w:tc>
        <w:tc>
          <w:tcPr>
            <w:tcW w:w="0" w:type="auto"/>
            <w:shd w:val="clear" w:color="auto" w:fill="auto"/>
            <w:noWrap/>
            <w:vAlign w:val="center"/>
          </w:tcPr>
          <w:p w14:paraId="104A4358">
            <w:pPr>
              <w:pStyle w:val="31"/>
              <w:bidi w:val="0"/>
              <w:jc w:val="center"/>
              <w:rPr>
                <w:rFonts w:hint="eastAsia"/>
                <w:color w:val="auto"/>
              </w:rPr>
            </w:pPr>
            <w:r>
              <w:rPr>
                <w:rFonts w:hint="eastAsia"/>
                <w:color w:val="auto"/>
                <w:lang w:val="en-US" w:eastAsia="zh-CN"/>
              </w:rPr>
              <w:t>达标</w:t>
            </w:r>
          </w:p>
        </w:tc>
      </w:tr>
      <w:tr w14:paraId="12BA0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5D17FAE2">
            <w:pPr>
              <w:pStyle w:val="31"/>
              <w:bidi w:val="0"/>
              <w:jc w:val="center"/>
              <w:rPr>
                <w:rFonts w:hint="eastAsia"/>
                <w:color w:val="auto"/>
              </w:rPr>
            </w:pPr>
            <w:r>
              <w:rPr>
                <w:rFonts w:hint="eastAsia"/>
                <w:color w:val="auto"/>
                <w:lang w:val="en-US" w:eastAsia="zh-CN"/>
              </w:rPr>
              <w:t>氯化物（</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4B40D484">
            <w:pPr>
              <w:pStyle w:val="31"/>
              <w:bidi w:val="0"/>
              <w:jc w:val="center"/>
              <w:rPr>
                <w:rFonts w:hint="default"/>
                <w:color w:val="auto"/>
              </w:rPr>
            </w:pPr>
            <w:r>
              <w:rPr>
                <w:rFonts w:hint="default"/>
                <w:color w:val="auto"/>
                <w:lang w:val="en-US" w:eastAsia="zh-CN"/>
              </w:rPr>
              <w:t>250</w:t>
            </w:r>
          </w:p>
        </w:tc>
        <w:tc>
          <w:tcPr>
            <w:tcW w:w="1080" w:type="dxa"/>
            <w:shd w:val="clear" w:color="auto" w:fill="auto"/>
            <w:vAlign w:val="center"/>
          </w:tcPr>
          <w:p w14:paraId="3CD308D6">
            <w:pPr>
              <w:pStyle w:val="31"/>
              <w:bidi w:val="0"/>
              <w:jc w:val="center"/>
              <w:rPr>
                <w:rFonts w:hint="default"/>
                <w:color w:val="auto"/>
              </w:rPr>
            </w:pPr>
            <w:r>
              <w:rPr>
                <w:rFonts w:hint="default"/>
                <w:color w:val="auto"/>
                <w:lang w:val="en-US" w:eastAsia="zh-CN"/>
              </w:rPr>
              <w:t>12</w:t>
            </w:r>
          </w:p>
        </w:tc>
        <w:tc>
          <w:tcPr>
            <w:tcW w:w="1080" w:type="dxa"/>
            <w:shd w:val="clear" w:color="auto" w:fill="auto"/>
            <w:vAlign w:val="center"/>
          </w:tcPr>
          <w:p w14:paraId="2786E3E0">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6BA2BADB">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922A015">
            <w:pPr>
              <w:pStyle w:val="31"/>
              <w:bidi w:val="0"/>
              <w:jc w:val="center"/>
              <w:rPr>
                <w:rFonts w:hint="default"/>
                <w:color w:val="auto"/>
              </w:rPr>
            </w:pPr>
            <w:r>
              <w:rPr>
                <w:rFonts w:hint="default"/>
                <w:color w:val="auto"/>
                <w:lang w:val="en-US" w:eastAsia="zh-CN"/>
              </w:rPr>
              <w:t>16</w:t>
            </w:r>
          </w:p>
        </w:tc>
        <w:tc>
          <w:tcPr>
            <w:tcW w:w="1080" w:type="dxa"/>
            <w:shd w:val="clear" w:color="auto" w:fill="auto"/>
            <w:vAlign w:val="center"/>
          </w:tcPr>
          <w:p w14:paraId="66C5A762">
            <w:pPr>
              <w:pStyle w:val="31"/>
              <w:bidi w:val="0"/>
              <w:jc w:val="center"/>
              <w:rPr>
                <w:rFonts w:hint="default"/>
                <w:color w:val="auto"/>
              </w:rPr>
            </w:pPr>
            <w:r>
              <w:rPr>
                <w:rFonts w:hint="default"/>
                <w:color w:val="auto"/>
                <w:lang w:val="en-US" w:eastAsia="zh-CN"/>
              </w:rPr>
              <w:t>0.1</w:t>
            </w:r>
          </w:p>
        </w:tc>
        <w:tc>
          <w:tcPr>
            <w:tcW w:w="0" w:type="auto"/>
            <w:shd w:val="clear" w:color="auto" w:fill="auto"/>
            <w:noWrap/>
            <w:vAlign w:val="center"/>
          </w:tcPr>
          <w:p w14:paraId="792A3E89">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C55EAE0">
            <w:pPr>
              <w:pStyle w:val="31"/>
              <w:bidi w:val="0"/>
              <w:jc w:val="center"/>
              <w:rPr>
                <w:rFonts w:hint="default"/>
                <w:color w:val="auto"/>
              </w:rPr>
            </w:pPr>
            <w:r>
              <w:rPr>
                <w:rFonts w:hint="default"/>
                <w:color w:val="auto"/>
                <w:lang w:val="en-US" w:eastAsia="zh-CN"/>
              </w:rPr>
              <w:t>10L</w:t>
            </w:r>
          </w:p>
        </w:tc>
        <w:tc>
          <w:tcPr>
            <w:tcW w:w="1080" w:type="dxa"/>
            <w:shd w:val="clear" w:color="auto" w:fill="auto"/>
            <w:vAlign w:val="center"/>
          </w:tcPr>
          <w:p w14:paraId="3563EB5C">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F69BC52">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1BE33B2">
            <w:pPr>
              <w:pStyle w:val="31"/>
              <w:bidi w:val="0"/>
              <w:jc w:val="center"/>
              <w:rPr>
                <w:rFonts w:hint="default"/>
                <w:color w:val="auto"/>
              </w:rPr>
            </w:pPr>
            <w:r>
              <w:rPr>
                <w:rFonts w:hint="default"/>
                <w:color w:val="auto"/>
                <w:lang w:val="en-US" w:eastAsia="zh-CN"/>
              </w:rPr>
              <w:t>11</w:t>
            </w:r>
          </w:p>
        </w:tc>
        <w:tc>
          <w:tcPr>
            <w:tcW w:w="1080" w:type="dxa"/>
            <w:shd w:val="clear" w:color="auto" w:fill="auto"/>
            <w:vAlign w:val="center"/>
          </w:tcPr>
          <w:p w14:paraId="702C1F4F">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3E46BE29">
            <w:pPr>
              <w:pStyle w:val="31"/>
              <w:bidi w:val="0"/>
              <w:jc w:val="center"/>
              <w:rPr>
                <w:rFonts w:hint="eastAsia"/>
                <w:color w:val="auto"/>
              </w:rPr>
            </w:pPr>
            <w:r>
              <w:rPr>
                <w:rFonts w:hint="eastAsia"/>
                <w:color w:val="auto"/>
                <w:lang w:val="en-US" w:eastAsia="zh-CN"/>
              </w:rPr>
              <w:t>达标</w:t>
            </w:r>
          </w:p>
        </w:tc>
      </w:tr>
      <w:tr w14:paraId="159A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6DFA211">
            <w:pPr>
              <w:pStyle w:val="31"/>
              <w:bidi w:val="0"/>
              <w:jc w:val="center"/>
              <w:rPr>
                <w:rFonts w:hint="eastAsia"/>
                <w:color w:val="auto"/>
              </w:rPr>
            </w:pPr>
            <w:r>
              <w:rPr>
                <w:rFonts w:hint="eastAsia"/>
                <w:color w:val="auto"/>
                <w:lang w:val="en-US" w:eastAsia="zh-CN"/>
              </w:rPr>
              <w:t>总大肠菌群</w:t>
            </w:r>
            <w:r>
              <w:rPr>
                <w:rFonts w:hint="default"/>
                <w:color w:val="auto"/>
                <w:lang w:val="en-US" w:eastAsia="zh-CN"/>
              </w:rPr>
              <w:t>*</w:t>
            </w:r>
            <w:r>
              <w:rPr>
                <w:rFonts w:hint="eastAsia"/>
                <w:color w:val="auto"/>
                <w:lang w:val="en-US" w:eastAsia="zh-CN"/>
              </w:rPr>
              <w:t>（</w:t>
            </w:r>
            <w:r>
              <w:rPr>
                <w:rFonts w:hint="default"/>
                <w:color w:val="auto"/>
                <w:lang w:val="en-US" w:eastAsia="zh-CN"/>
              </w:rPr>
              <w:t>MPN/100ml</w:t>
            </w:r>
            <w:r>
              <w:rPr>
                <w:rFonts w:hint="eastAsia"/>
                <w:color w:val="auto"/>
                <w:lang w:val="en-US" w:eastAsia="zh-CN"/>
              </w:rPr>
              <w:t>）</w:t>
            </w:r>
          </w:p>
        </w:tc>
        <w:tc>
          <w:tcPr>
            <w:tcW w:w="0" w:type="auto"/>
            <w:shd w:val="clear" w:color="auto" w:fill="auto"/>
            <w:noWrap/>
            <w:vAlign w:val="center"/>
          </w:tcPr>
          <w:p w14:paraId="52868A7C">
            <w:pPr>
              <w:pStyle w:val="31"/>
              <w:bidi w:val="0"/>
              <w:jc w:val="center"/>
              <w:rPr>
                <w:rFonts w:hint="default"/>
                <w:color w:val="auto"/>
              </w:rPr>
            </w:pPr>
            <w:r>
              <w:rPr>
                <w:rFonts w:hint="default"/>
                <w:color w:val="auto"/>
                <w:lang w:val="en-US" w:eastAsia="zh-CN"/>
              </w:rPr>
              <w:t>3</w:t>
            </w:r>
          </w:p>
        </w:tc>
        <w:tc>
          <w:tcPr>
            <w:tcW w:w="1080" w:type="dxa"/>
            <w:shd w:val="clear" w:color="auto" w:fill="D9D9D9"/>
            <w:vAlign w:val="center"/>
          </w:tcPr>
          <w:p w14:paraId="6EE1AA8E">
            <w:pPr>
              <w:pStyle w:val="31"/>
              <w:bidi w:val="0"/>
              <w:jc w:val="center"/>
              <w:rPr>
                <w:rFonts w:hint="default"/>
                <w:color w:val="auto"/>
              </w:rPr>
            </w:pPr>
            <w:r>
              <w:rPr>
                <w:rFonts w:hint="default"/>
                <w:color w:val="auto"/>
                <w:lang w:val="en-US" w:eastAsia="zh-CN"/>
              </w:rPr>
              <w:t>4</w:t>
            </w:r>
          </w:p>
        </w:tc>
        <w:tc>
          <w:tcPr>
            <w:tcW w:w="1080" w:type="dxa"/>
            <w:shd w:val="clear" w:color="auto" w:fill="D9D9D9"/>
            <w:vAlign w:val="center"/>
          </w:tcPr>
          <w:p w14:paraId="42B40781">
            <w:pPr>
              <w:pStyle w:val="31"/>
              <w:bidi w:val="0"/>
              <w:jc w:val="center"/>
              <w:rPr>
                <w:rFonts w:hint="default"/>
                <w:color w:val="auto"/>
              </w:rPr>
            </w:pPr>
            <w:r>
              <w:rPr>
                <w:rFonts w:hint="default"/>
                <w:color w:val="auto"/>
                <w:lang w:val="en-US" w:eastAsia="zh-CN"/>
              </w:rPr>
              <w:t>1.3</w:t>
            </w:r>
          </w:p>
        </w:tc>
        <w:tc>
          <w:tcPr>
            <w:tcW w:w="0" w:type="auto"/>
            <w:shd w:val="clear" w:color="auto" w:fill="D9D9D9"/>
            <w:noWrap/>
            <w:vAlign w:val="center"/>
          </w:tcPr>
          <w:p w14:paraId="30B5F74F">
            <w:pPr>
              <w:pStyle w:val="31"/>
              <w:bidi w:val="0"/>
              <w:jc w:val="center"/>
              <w:rPr>
                <w:rFonts w:hint="eastAsia"/>
                <w:color w:val="auto"/>
              </w:rPr>
            </w:pPr>
            <w:r>
              <w:rPr>
                <w:rFonts w:hint="eastAsia"/>
                <w:color w:val="auto"/>
                <w:lang w:val="en-US" w:eastAsia="zh-CN"/>
              </w:rPr>
              <w:t>超标</w:t>
            </w:r>
          </w:p>
        </w:tc>
        <w:tc>
          <w:tcPr>
            <w:tcW w:w="1080" w:type="dxa"/>
            <w:shd w:val="clear" w:color="auto" w:fill="D9D9D9"/>
            <w:vAlign w:val="center"/>
          </w:tcPr>
          <w:p w14:paraId="6ADCEA0D">
            <w:pPr>
              <w:pStyle w:val="31"/>
              <w:bidi w:val="0"/>
              <w:jc w:val="center"/>
              <w:rPr>
                <w:rFonts w:hint="default"/>
                <w:color w:val="auto"/>
              </w:rPr>
            </w:pPr>
            <w:r>
              <w:rPr>
                <w:rFonts w:hint="default"/>
                <w:color w:val="auto"/>
                <w:lang w:val="en-US" w:eastAsia="zh-CN"/>
              </w:rPr>
              <w:t>4</w:t>
            </w:r>
          </w:p>
        </w:tc>
        <w:tc>
          <w:tcPr>
            <w:tcW w:w="1080" w:type="dxa"/>
            <w:shd w:val="clear" w:color="auto" w:fill="D9D9D9"/>
            <w:vAlign w:val="center"/>
          </w:tcPr>
          <w:p w14:paraId="44CDC05D">
            <w:pPr>
              <w:pStyle w:val="31"/>
              <w:bidi w:val="0"/>
              <w:jc w:val="center"/>
              <w:rPr>
                <w:rFonts w:hint="default"/>
                <w:color w:val="auto"/>
              </w:rPr>
            </w:pPr>
            <w:r>
              <w:rPr>
                <w:rFonts w:hint="default"/>
                <w:color w:val="auto"/>
                <w:lang w:val="en-US" w:eastAsia="zh-CN"/>
              </w:rPr>
              <w:t>1.3</w:t>
            </w:r>
          </w:p>
        </w:tc>
        <w:tc>
          <w:tcPr>
            <w:tcW w:w="0" w:type="auto"/>
            <w:shd w:val="clear" w:color="auto" w:fill="D9D9D9"/>
            <w:noWrap/>
            <w:vAlign w:val="center"/>
          </w:tcPr>
          <w:p w14:paraId="26ED40CC">
            <w:pPr>
              <w:pStyle w:val="31"/>
              <w:bidi w:val="0"/>
              <w:jc w:val="center"/>
              <w:rPr>
                <w:rFonts w:hint="eastAsia"/>
                <w:color w:val="auto"/>
              </w:rPr>
            </w:pPr>
            <w:r>
              <w:rPr>
                <w:rFonts w:hint="eastAsia"/>
                <w:color w:val="auto"/>
                <w:lang w:val="en-US" w:eastAsia="zh-CN"/>
              </w:rPr>
              <w:t>超标</w:t>
            </w:r>
          </w:p>
        </w:tc>
        <w:tc>
          <w:tcPr>
            <w:tcW w:w="1080" w:type="dxa"/>
            <w:shd w:val="clear" w:color="auto" w:fill="auto"/>
            <w:vAlign w:val="center"/>
          </w:tcPr>
          <w:p w14:paraId="756DFFEC">
            <w:pPr>
              <w:pStyle w:val="31"/>
              <w:bidi w:val="0"/>
              <w:jc w:val="center"/>
              <w:rPr>
                <w:rFonts w:hint="default"/>
                <w:color w:val="auto"/>
              </w:rPr>
            </w:pPr>
            <w:r>
              <w:rPr>
                <w:rFonts w:hint="default"/>
                <w:color w:val="auto"/>
                <w:lang w:val="en-US" w:eastAsia="zh-CN"/>
              </w:rPr>
              <w:t>2L</w:t>
            </w:r>
          </w:p>
        </w:tc>
        <w:tc>
          <w:tcPr>
            <w:tcW w:w="1080" w:type="dxa"/>
            <w:shd w:val="clear" w:color="auto" w:fill="auto"/>
            <w:vAlign w:val="center"/>
          </w:tcPr>
          <w:p w14:paraId="37F8353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69D317AE">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1DEE5EA1">
            <w:pPr>
              <w:pStyle w:val="31"/>
              <w:bidi w:val="0"/>
              <w:jc w:val="center"/>
              <w:rPr>
                <w:rFonts w:hint="default"/>
                <w:color w:val="auto"/>
              </w:rPr>
            </w:pPr>
            <w:r>
              <w:rPr>
                <w:rFonts w:hint="default"/>
                <w:color w:val="auto"/>
                <w:lang w:val="en-US" w:eastAsia="zh-CN"/>
              </w:rPr>
              <w:t>2</w:t>
            </w:r>
          </w:p>
        </w:tc>
        <w:tc>
          <w:tcPr>
            <w:tcW w:w="1080" w:type="dxa"/>
            <w:shd w:val="clear" w:color="auto" w:fill="auto"/>
            <w:vAlign w:val="center"/>
          </w:tcPr>
          <w:p w14:paraId="7710E32B">
            <w:pPr>
              <w:pStyle w:val="31"/>
              <w:bidi w:val="0"/>
              <w:jc w:val="center"/>
              <w:rPr>
                <w:rFonts w:hint="default"/>
                <w:color w:val="auto"/>
              </w:rPr>
            </w:pPr>
            <w:r>
              <w:rPr>
                <w:rFonts w:hint="default"/>
                <w:color w:val="auto"/>
                <w:lang w:val="en-US" w:eastAsia="zh-CN"/>
              </w:rPr>
              <w:t>0.7</w:t>
            </w:r>
          </w:p>
        </w:tc>
        <w:tc>
          <w:tcPr>
            <w:tcW w:w="0" w:type="auto"/>
            <w:shd w:val="clear" w:color="auto" w:fill="auto"/>
            <w:noWrap/>
            <w:vAlign w:val="center"/>
          </w:tcPr>
          <w:p w14:paraId="18C0DA56">
            <w:pPr>
              <w:pStyle w:val="31"/>
              <w:bidi w:val="0"/>
              <w:jc w:val="center"/>
              <w:rPr>
                <w:rFonts w:hint="eastAsia"/>
                <w:color w:val="auto"/>
              </w:rPr>
            </w:pPr>
            <w:r>
              <w:rPr>
                <w:rFonts w:hint="eastAsia"/>
                <w:color w:val="auto"/>
                <w:lang w:val="en-US" w:eastAsia="zh-CN"/>
              </w:rPr>
              <w:t>超标</w:t>
            </w:r>
          </w:p>
        </w:tc>
      </w:tr>
      <w:tr w14:paraId="171A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06EDE17">
            <w:pPr>
              <w:pStyle w:val="31"/>
              <w:bidi w:val="0"/>
              <w:jc w:val="center"/>
              <w:rPr>
                <w:rFonts w:hint="eastAsia"/>
                <w:color w:val="auto"/>
              </w:rPr>
            </w:pPr>
            <w:r>
              <w:rPr>
                <w:rFonts w:hint="eastAsia"/>
                <w:color w:val="auto"/>
                <w:lang w:val="en-US" w:eastAsia="zh-CN"/>
              </w:rPr>
              <w:t>细菌总数</w:t>
            </w:r>
            <w:r>
              <w:rPr>
                <w:rFonts w:hint="default"/>
                <w:color w:val="auto"/>
                <w:lang w:val="en-US" w:eastAsia="zh-CN"/>
              </w:rPr>
              <w:t>*</w:t>
            </w:r>
            <w:r>
              <w:rPr>
                <w:rFonts w:hint="eastAsia"/>
                <w:color w:val="auto"/>
                <w:lang w:val="en-US" w:eastAsia="zh-CN"/>
              </w:rPr>
              <w:t>（</w:t>
            </w:r>
            <w:r>
              <w:rPr>
                <w:rFonts w:hint="default"/>
                <w:color w:val="auto"/>
                <w:lang w:val="en-US" w:eastAsia="zh-CN"/>
              </w:rPr>
              <w:t>CFU/ml</w:t>
            </w:r>
            <w:r>
              <w:rPr>
                <w:rFonts w:hint="eastAsia"/>
                <w:color w:val="auto"/>
                <w:lang w:val="en-US" w:eastAsia="zh-CN"/>
              </w:rPr>
              <w:t>）</w:t>
            </w:r>
          </w:p>
        </w:tc>
        <w:tc>
          <w:tcPr>
            <w:tcW w:w="0" w:type="auto"/>
            <w:shd w:val="clear" w:color="auto" w:fill="auto"/>
            <w:noWrap/>
            <w:vAlign w:val="center"/>
          </w:tcPr>
          <w:p w14:paraId="38BCB017">
            <w:pPr>
              <w:pStyle w:val="31"/>
              <w:bidi w:val="0"/>
              <w:jc w:val="center"/>
              <w:rPr>
                <w:rFonts w:hint="default"/>
                <w:color w:val="auto"/>
              </w:rPr>
            </w:pPr>
            <w:r>
              <w:rPr>
                <w:rFonts w:hint="default"/>
                <w:color w:val="auto"/>
                <w:lang w:val="en-US" w:eastAsia="zh-CN"/>
              </w:rPr>
              <w:t>1000</w:t>
            </w:r>
          </w:p>
        </w:tc>
        <w:tc>
          <w:tcPr>
            <w:tcW w:w="1080" w:type="dxa"/>
            <w:shd w:val="clear" w:color="auto" w:fill="auto"/>
            <w:vAlign w:val="center"/>
          </w:tcPr>
          <w:p w14:paraId="00D055D7">
            <w:pPr>
              <w:pStyle w:val="31"/>
              <w:bidi w:val="0"/>
              <w:jc w:val="center"/>
              <w:rPr>
                <w:rFonts w:hint="default"/>
                <w:color w:val="auto"/>
              </w:rPr>
            </w:pPr>
            <w:r>
              <w:rPr>
                <w:rFonts w:hint="default"/>
                <w:color w:val="auto"/>
                <w:lang w:val="en-US" w:eastAsia="zh-CN"/>
              </w:rPr>
              <w:t>37</w:t>
            </w:r>
          </w:p>
        </w:tc>
        <w:tc>
          <w:tcPr>
            <w:tcW w:w="1080" w:type="dxa"/>
            <w:shd w:val="clear" w:color="auto" w:fill="auto"/>
            <w:vAlign w:val="center"/>
          </w:tcPr>
          <w:p w14:paraId="2E65C032">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2E3AA8AB">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36EE4F8">
            <w:pPr>
              <w:pStyle w:val="31"/>
              <w:bidi w:val="0"/>
              <w:jc w:val="center"/>
              <w:rPr>
                <w:rFonts w:hint="default"/>
                <w:color w:val="auto"/>
              </w:rPr>
            </w:pPr>
            <w:r>
              <w:rPr>
                <w:rFonts w:hint="default"/>
                <w:color w:val="auto"/>
                <w:lang w:val="en-US" w:eastAsia="zh-CN"/>
              </w:rPr>
              <w:t>43</w:t>
            </w:r>
          </w:p>
        </w:tc>
        <w:tc>
          <w:tcPr>
            <w:tcW w:w="1080" w:type="dxa"/>
            <w:shd w:val="clear" w:color="auto" w:fill="auto"/>
            <w:vAlign w:val="center"/>
          </w:tcPr>
          <w:p w14:paraId="1EF44E3D">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073FF5AC">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7D6A26F1">
            <w:pPr>
              <w:pStyle w:val="31"/>
              <w:bidi w:val="0"/>
              <w:jc w:val="center"/>
              <w:rPr>
                <w:rFonts w:hint="default"/>
                <w:color w:val="auto"/>
              </w:rPr>
            </w:pPr>
            <w:r>
              <w:rPr>
                <w:rFonts w:hint="default"/>
                <w:color w:val="auto"/>
                <w:lang w:val="en-US" w:eastAsia="zh-CN"/>
              </w:rPr>
              <w:t>21</w:t>
            </w:r>
          </w:p>
        </w:tc>
        <w:tc>
          <w:tcPr>
            <w:tcW w:w="1080" w:type="dxa"/>
            <w:shd w:val="clear" w:color="auto" w:fill="auto"/>
            <w:vAlign w:val="center"/>
          </w:tcPr>
          <w:p w14:paraId="77156387">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71BC062F">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6CFB22B">
            <w:pPr>
              <w:pStyle w:val="31"/>
              <w:bidi w:val="0"/>
              <w:jc w:val="center"/>
              <w:rPr>
                <w:rFonts w:hint="default"/>
                <w:color w:val="auto"/>
              </w:rPr>
            </w:pPr>
            <w:r>
              <w:rPr>
                <w:rFonts w:hint="default"/>
                <w:color w:val="auto"/>
                <w:lang w:val="en-US" w:eastAsia="zh-CN"/>
              </w:rPr>
              <w:t>35</w:t>
            </w:r>
          </w:p>
        </w:tc>
        <w:tc>
          <w:tcPr>
            <w:tcW w:w="1080" w:type="dxa"/>
            <w:shd w:val="clear" w:color="auto" w:fill="auto"/>
            <w:vAlign w:val="center"/>
          </w:tcPr>
          <w:p w14:paraId="5D8EA8C9">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77D1B5EA">
            <w:pPr>
              <w:pStyle w:val="31"/>
              <w:bidi w:val="0"/>
              <w:jc w:val="center"/>
              <w:rPr>
                <w:rFonts w:hint="eastAsia"/>
                <w:color w:val="auto"/>
              </w:rPr>
            </w:pPr>
            <w:r>
              <w:rPr>
                <w:rFonts w:hint="eastAsia"/>
                <w:color w:val="auto"/>
                <w:lang w:val="en-US" w:eastAsia="zh-CN"/>
              </w:rPr>
              <w:t>达标</w:t>
            </w:r>
          </w:p>
        </w:tc>
      </w:tr>
      <w:tr w14:paraId="2E90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80" w:type="dxa"/>
            <w:shd w:val="clear" w:color="auto" w:fill="auto"/>
            <w:vAlign w:val="center"/>
          </w:tcPr>
          <w:p w14:paraId="143EB3BB">
            <w:pPr>
              <w:pStyle w:val="31"/>
              <w:bidi w:val="0"/>
              <w:jc w:val="center"/>
              <w:rPr>
                <w:rFonts w:hint="eastAsia"/>
                <w:color w:val="auto"/>
              </w:rPr>
            </w:pPr>
            <w:r>
              <w:rPr>
                <w:rFonts w:hint="eastAsia"/>
                <w:color w:val="auto"/>
                <w:lang w:val="en-US" w:eastAsia="zh-CN"/>
              </w:rPr>
              <w:t>锌（</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74FF4C7E">
            <w:pPr>
              <w:pStyle w:val="31"/>
              <w:bidi w:val="0"/>
              <w:jc w:val="center"/>
              <w:rPr>
                <w:rFonts w:hint="default"/>
                <w:color w:val="auto"/>
              </w:rPr>
            </w:pPr>
            <w:r>
              <w:rPr>
                <w:rFonts w:hint="default"/>
                <w:color w:val="auto"/>
                <w:lang w:val="en-US" w:eastAsia="zh-CN"/>
              </w:rPr>
              <w:t>1</w:t>
            </w:r>
          </w:p>
        </w:tc>
        <w:tc>
          <w:tcPr>
            <w:tcW w:w="1080" w:type="dxa"/>
            <w:shd w:val="clear" w:color="auto" w:fill="auto"/>
            <w:vAlign w:val="center"/>
          </w:tcPr>
          <w:p w14:paraId="441E025D">
            <w:pPr>
              <w:pStyle w:val="31"/>
              <w:bidi w:val="0"/>
              <w:jc w:val="center"/>
              <w:rPr>
                <w:rFonts w:hint="default"/>
                <w:color w:val="auto"/>
              </w:rPr>
            </w:pPr>
            <w:r>
              <w:rPr>
                <w:rFonts w:hint="default"/>
                <w:color w:val="auto"/>
                <w:lang w:val="en-US" w:eastAsia="zh-CN"/>
              </w:rPr>
              <w:t>0.009L</w:t>
            </w:r>
          </w:p>
        </w:tc>
        <w:tc>
          <w:tcPr>
            <w:tcW w:w="1080" w:type="dxa"/>
            <w:shd w:val="clear" w:color="auto" w:fill="auto"/>
            <w:vAlign w:val="center"/>
          </w:tcPr>
          <w:p w14:paraId="216C612A">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460EEE7">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22E61DD">
            <w:pPr>
              <w:pStyle w:val="31"/>
              <w:bidi w:val="0"/>
              <w:jc w:val="center"/>
              <w:rPr>
                <w:rFonts w:hint="default"/>
                <w:color w:val="auto"/>
              </w:rPr>
            </w:pPr>
            <w:r>
              <w:rPr>
                <w:rFonts w:hint="default"/>
                <w:color w:val="auto"/>
                <w:lang w:val="en-US" w:eastAsia="zh-CN"/>
              </w:rPr>
              <w:t>0.009L</w:t>
            </w:r>
          </w:p>
        </w:tc>
        <w:tc>
          <w:tcPr>
            <w:tcW w:w="1080" w:type="dxa"/>
            <w:shd w:val="clear" w:color="auto" w:fill="auto"/>
            <w:vAlign w:val="center"/>
          </w:tcPr>
          <w:p w14:paraId="1B92DC19">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39EED20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1F6809A">
            <w:pPr>
              <w:pStyle w:val="31"/>
              <w:bidi w:val="0"/>
              <w:jc w:val="center"/>
              <w:rPr>
                <w:rFonts w:hint="default"/>
                <w:color w:val="auto"/>
              </w:rPr>
            </w:pPr>
            <w:r>
              <w:rPr>
                <w:rFonts w:hint="default"/>
                <w:color w:val="auto"/>
                <w:lang w:val="en-US" w:eastAsia="zh-CN"/>
              </w:rPr>
              <w:t>0.009L</w:t>
            </w:r>
          </w:p>
        </w:tc>
        <w:tc>
          <w:tcPr>
            <w:tcW w:w="1080" w:type="dxa"/>
            <w:shd w:val="clear" w:color="auto" w:fill="auto"/>
            <w:vAlign w:val="center"/>
          </w:tcPr>
          <w:p w14:paraId="4DC2E4BC">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301FCFB5">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F8D763A">
            <w:pPr>
              <w:pStyle w:val="31"/>
              <w:bidi w:val="0"/>
              <w:jc w:val="center"/>
              <w:rPr>
                <w:rFonts w:hint="default"/>
                <w:color w:val="auto"/>
              </w:rPr>
            </w:pPr>
            <w:r>
              <w:rPr>
                <w:rFonts w:hint="default"/>
                <w:color w:val="auto"/>
                <w:lang w:val="en-US" w:eastAsia="zh-CN"/>
              </w:rPr>
              <w:t>0.011</w:t>
            </w:r>
          </w:p>
        </w:tc>
        <w:tc>
          <w:tcPr>
            <w:tcW w:w="1080" w:type="dxa"/>
            <w:shd w:val="clear" w:color="auto" w:fill="auto"/>
            <w:vAlign w:val="center"/>
          </w:tcPr>
          <w:p w14:paraId="2C44CBF4">
            <w:pPr>
              <w:pStyle w:val="31"/>
              <w:bidi w:val="0"/>
              <w:jc w:val="center"/>
              <w:rPr>
                <w:rFonts w:hint="default"/>
                <w:color w:val="auto"/>
              </w:rPr>
            </w:pPr>
            <w:r>
              <w:rPr>
                <w:rFonts w:hint="default"/>
                <w:color w:val="auto"/>
                <w:lang w:val="en-US" w:eastAsia="zh-CN"/>
              </w:rPr>
              <w:t>0.0</w:t>
            </w:r>
          </w:p>
        </w:tc>
        <w:tc>
          <w:tcPr>
            <w:tcW w:w="0" w:type="auto"/>
            <w:shd w:val="clear" w:color="auto" w:fill="auto"/>
            <w:noWrap/>
            <w:vAlign w:val="center"/>
          </w:tcPr>
          <w:p w14:paraId="4D7C3330">
            <w:pPr>
              <w:pStyle w:val="31"/>
              <w:bidi w:val="0"/>
              <w:jc w:val="center"/>
              <w:rPr>
                <w:rFonts w:hint="eastAsia"/>
                <w:color w:val="auto"/>
              </w:rPr>
            </w:pPr>
            <w:r>
              <w:rPr>
                <w:rFonts w:hint="eastAsia"/>
                <w:color w:val="auto"/>
                <w:lang w:val="en-US" w:eastAsia="zh-CN"/>
              </w:rPr>
              <w:t>达标</w:t>
            </w:r>
          </w:p>
        </w:tc>
      </w:tr>
      <w:tr w14:paraId="1187E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2F710866">
            <w:pPr>
              <w:pStyle w:val="31"/>
              <w:bidi w:val="0"/>
              <w:jc w:val="center"/>
              <w:rPr>
                <w:rFonts w:hint="eastAsia"/>
                <w:color w:val="auto"/>
              </w:rPr>
            </w:pPr>
            <w:r>
              <w:rPr>
                <w:rFonts w:hint="eastAsia"/>
                <w:color w:val="auto"/>
                <w:lang w:val="en-US" w:eastAsia="zh-CN"/>
              </w:rPr>
              <w:t>铜（</w:t>
            </w:r>
            <w:r>
              <w:rPr>
                <w:rFonts w:hint="default"/>
                <w:color w:val="auto"/>
                <w:lang w:val="en-US" w:eastAsia="zh-CN"/>
              </w:rPr>
              <w:t>µg/L</w:t>
            </w:r>
            <w:r>
              <w:rPr>
                <w:rFonts w:hint="eastAsia"/>
                <w:color w:val="auto"/>
                <w:lang w:val="en-US" w:eastAsia="zh-CN"/>
              </w:rPr>
              <w:t>）</w:t>
            </w:r>
          </w:p>
        </w:tc>
        <w:tc>
          <w:tcPr>
            <w:tcW w:w="0" w:type="auto"/>
            <w:shd w:val="clear" w:color="auto" w:fill="auto"/>
            <w:noWrap/>
            <w:vAlign w:val="center"/>
          </w:tcPr>
          <w:p w14:paraId="35B8CCD9">
            <w:pPr>
              <w:pStyle w:val="31"/>
              <w:bidi w:val="0"/>
              <w:jc w:val="center"/>
              <w:rPr>
                <w:rFonts w:hint="default"/>
                <w:color w:val="auto"/>
              </w:rPr>
            </w:pPr>
            <w:r>
              <w:rPr>
                <w:rFonts w:hint="default"/>
                <w:color w:val="auto"/>
                <w:lang w:val="en-US" w:eastAsia="zh-CN"/>
              </w:rPr>
              <w:t>1000</w:t>
            </w:r>
          </w:p>
        </w:tc>
        <w:tc>
          <w:tcPr>
            <w:tcW w:w="1080" w:type="dxa"/>
            <w:shd w:val="clear" w:color="auto" w:fill="auto"/>
            <w:vAlign w:val="center"/>
          </w:tcPr>
          <w:p w14:paraId="50E605BF">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3752D6B8">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31B6CF03">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4E5613B2">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434B381B">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3B41069">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689B335E">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5505E106">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D6FFFB5">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2A12F32F">
            <w:pPr>
              <w:pStyle w:val="31"/>
              <w:bidi w:val="0"/>
              <w:jc w:val="center"/>
              <w:rPr>
                <w:rFonts w:hint="default"/>
                <w:color w:val="auto"/>
              </w:rPr>
            </w:pPr>
            <w:r>
              <w:rPr>
                <w:rFonts w:hint="default"/>
                <w:color w:val="auto"/>
                <w:lang w:val="en-US" w:eastAsia="zh-CN"/>
              </w:rPr>
              <w:t>1L</w:t>
            </w:r>
          </w:p>
        </w:tc>
        <w:tc>
          <w:tcPr>
            <w:tcW w:w="1080" w:type="dxa"/>
            <w:shd w:val="clear" w:color="auto" w:fill="auto"/>
            <w:vAlign w:val="center"/>
          </w:tcPr>
          <w:p w14:paraId="55AC341D">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206524EE">
            <w:pPr>
              <w:pStyle w:val="31"/>
              <w:bidi w:val="0"/>
              <w:jc w:val="center"/>
              <w:rPr>
                <w:rFonts w:hint="eastAsia"/>
                <w:color w:val="auto"/>
              </w:rPr>
            </w:pPr>
            <w:r>
              <w:rPr>
                <w:rFonts w:hint="eastAsia"/>
                <w:color w:val="auto"/>
                <w:lang w:val="en-US" w:eastAsia="zh-CN"/>
              </w:rPr>
              <w:t>达标</w:t>
            </w:r>
          </w:p>
        </w:tc>
      </w:tr>
      <w:tr w14:paraId="68FF2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6BE0634B">
            <w:pPr>
              <w:pStyle w:val="31"/>
              <w:bidi w:val="0"/>
              <w:jc w:val="center"/>
              <w:rPr>
                <w:rFonts w:hint="eastAsia"/>
                <w:color w:val="auto"/>
              </w:rPr>
            </w:pPr>
            <w:r>
              <w:rPr>
                <w:rFonts w:hint="eastAsia"/>
                <w:color w:val="auto"/>
                <w:lang w:val="en-US" w:eastAsia="zh-CN"/>
              </w:rPr>
              <w:t>镍（</w:t>
            </w:r>
            <w:r>
              <w:rPr>
                <w:rFonts w:hint="default"/>
                <w:color w:val="auto"/>
                <w:lang w:val="en-US" w:eastAsia="zh-CN"/>
              </w:rPr>
              <w:t>mg/L</w:t>
            </w:r>
            <w:r>
              <w:rPr>
                <w:rFonts w:hint="eastAsia"/>
                <w:color w:val="auto"/>
                <w:lang w:val="en-US" w:eastAsia="zh-CN"/>
              </w:rPr>
              <w:t>）</w:t>
            </w:r>
          </w:p>
        </w:tc>
        <w:tc>
          <w:tcPr>
            <w:tcW w:w="0" w:type="auto"/>
            <w:shd w:val="clear" w:color="auto" w:fill="auto"/>
            <w:noWrap/>
            <w:vAlign w:val="center"/>
          </w:tcPr>
          <w:p w14:paraId="1DB6DBB1">
            <w:pPr>
              <w:pStyle w:val="31"/>
              <w:bidi w:val="0"/>
              <w:jc w:val="center"/>
              <w:rPr>
                <w:rFonts w:hint="default"/>
                <w:color w:val="auto"/>
              </w:rPr>
            </w:pPr>
            <w:r>
              <w:rPr>
                <w:rFonts w:hint="default"/>
                <w:color w:val="auto"/>
                <w:lang w:val="en-US" w:eastAsia="zh-CN"/>
              </w:rPr>
              <w:t>0.02</w:t>
            </w:r>
          </w:p>
        </w:tc>
        <w:tc>
          <w:tcPr>
            <w:tcW w:w="1080" w:type="dxa"/>
            <w:shd w:val="clear" w:color="auto" w:fill="auto"/>
            <w:vAlign w:val="center"/>
          </w:tcPr>
          <w:p w14:paraId="4550BAE2">
            <w:pPr>
              <w:pStyle w:val="31"/>
              <w:bidi w:val="0"/>
              <w:jc w:val="center"/>
              <w:rPr>
                <w:rFonts w:hint="default"/>
                <w:color w:val="auto"/>
              </w:rPr>
            </w:pPr>
            <w:r>
              <w:rPr>
                <w:rFonts w:hint="default"/>
                <w:color w:val="auto"/>
                <w:lang w:val="en-US" w:eastAsia="zh-CN"/>
              </w:rPr>
              <w:t>0.007L</w:t>
            </w:r>
          </w:p>
        </w:tc>
        <w:tc>
          <w:tcPr>
            <w:tcW w:w="1080" w:type="dxa"/>
            <w:shd w:val="clear" w:color="auto" w:fill="auto"/>
            <w:vAlign w:val="center"/>
          </w:tcPr>
          <w:p w14:paraId="4174062A">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4F540CA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3E34CA1B">
            <w:pPr>
              <w:pStyle w:val="31"/>
              <w:bidi w:val="0"/>
              <w:jc w:val="center"/>
              <w:rPr>
                <w:rFonts w:hint="default"/>
                <w:color w:val="auto"/>
              </w:rPr>
            </w:pPr>
            <w:r>
              <w:rPr>
                <w:rFonts w:hint="default"/>
                <w:color w:val="auto"/>
                <w:lang w:val="en-US" w:eastAsia="zh-CN"/>
              </w:rPr>
              <w:t>0.007L</w:t>
            </w:r>
          </w:p>
        </w:tc>
        <w:tc>
          <w:tcPr>
            <w:tcW w:w="1080" w:type="dxa"/>
            <w:shd w:val="clear" w:color="auto" w:fill="auto"/>
            <w:vAlign w:val="center"/>
          </w:tcPr>
          <w:p w14:paraId="6493F247">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72D9E90F">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5942D22A">
            <w:pPr>
              <w:pStyle w:val="31"/>
              <w:bidi w:val="0"/>
              <w:jc w:val="center"/>
              <w:rPr>
                <w:rFonts w:hint="default"/>
                <w:color w:val="auto"/>
              </w:rPr>
            </w:pPr>
            <w:r>
              <w:rPr>
                <w:rFonts w:hint="default"/>
                <w:color w:val="auto"/>
                <w:lang w:val="en-US" w:eastAsia="zh-CN"/>
              </w:rPr>
              <w:t>0.007L</w:t>
            </w:r>
          </w:p>
        </w:tc>
        <w:tc>
          <w:tcPr>
            <w:tcW w:w="1080" w:type="dxa"/>
            <w:shd w:val="clear" w:color="auto" w:fill="auto"/>
            <w:vAlign w:val="center"/>
          </w:tcPr>
          <w:p w14:paraId="71A3B2D3">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13051654">
            <w:pPr>
              <w:pStyle w:val="31"/>
              <w:bidi w:val="0"/>
              <w:jc w:val="center"/>
              <w:rPr>
                <w:rFonts w:hint="eastAsia"/>
                <w:color w:val="auto"/>
              </w:rPr>
            </w:pPr>
            <w:r>
              <w:rPr>
                <w:rFonts w:hint="eastAsia"/>
                <w:color w:val="auto"/>
                <w:lang w:val="en-US" w:eastAsia="zh-CN"/>
              </w:rPr>
              <w:t>达标</w:t>
            </w:r>
          </w:p>
        </w:tc>
        <w:tc>
          <w:tcPr>
            <w:tcW w:w="1080" w:type="dxa"/>
            <w:shd w:val="clear" w:color="auto" w:fill="auto"/>
            <w:vAlign w:val="center"/>
          </w:tcPr>
          <w:p w14:paraId="043C50C5">
            <w:pPr>
              <w:pStyle w:val="31"/>
              <w:bidi w:val="0"/>
              <w:jc w:val="center"/>
              <w:rPr>
                <w:rFonts w:hint="default"/>
                <w:color w:val="auto"/>
              </w:rPr>
            </w:pPr>
            <w:r>
              <w:rPr>
                <w:rFonts w:hint="default"/>
                <w:color w:val="auto"/>
                <w:lang w:val="en-US" w:eastAsia="zh-CN"/>
              </w:rPr>
              <w:t>0.007L</w:t>
            </w:r>
          </w:p>
        </w:tc>
        <w:tc>
          <w:tcPr>
            <w:tcW w:w="1080" w:type="dxa"/>
            <w:shd w:val="clear" w:color="auto" w:fill="auto"/>
            <w:vAlign w:val="center"/>
          </w:tcPr>
          <w:p w14:paraId="7CF874A1">
            <w:pPr>
              <w:pStyle w:val="31"/>
              <w:bidi w:val="0"/>
              <w:jc w:val="center"/>
              <w:rPr>
                <w:rFonts w:hint="default"/>
                <w:color w:val="auto"/>
              </w:rPr>
            </w:pPr>
            <w:r>
              <w:rPr>
                <w:rFonts w:hint="default"/>
                <w:color w:val="auto"/>
                <w:lang w:val="en-US" w:eastAsia="zh-CN"/>
              </w:rPr>
              <w:t>/</w:t>
            </w:r>
          </w:p>
        </w:tc>
        <w:tc>
          <w:tcPr>
            <w:tcW w:w="0" w:type="auto"/>
            <w:shd w:val="clear" w:color="auto" w:fill="auto"/>
            <w:noWrap/>
            <w:vAlign w:val="center"/>
          </w:tcPr>
          <w:p w14:paraId="050515C7">
            <w:pPr>
              <w:pStyle w:val="31"/>
              <w:bidi w:val="0"/>
              <w:jc w:val="center"/>
              <w:rPr>
                <w:rFonts w:hint="eastAsia"/>
                <w:color w:val="auto"/>
              </w:rPr>
            </w:pPr>
            <w:r>
              <w:rPr>
                <w:rFonts w:hint="eastAsia"/>
                <w:color w:val="auto"/>
                <w:lang w:val="en-US" w:eastAsia="zh-CN"/>
              </w:rPr>
              <w:t>达标</w:t>
            </w:r>
          </w:p>
        </w:tc>
      </w:tr>
      <w:tr w14:paraId="1DB2A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gridSpan w:val="14"/>
            <w:shd w:val="clear" w:color="auto" w:fill="auto"/>
            <w:noWrap/>
            <w:vAlign w:val="center"/>
          </w:tcPr>
          <w:p w14:paraId="39EA43A1">
            <w:pPr>
              <w:pStyle w:val="31"/>
              <w:bidi w:val="0"/>
              <w:jc w:val="left"/>
              <w:rPr>
                <w:rFonts w:hint="eastAsia"/>
                <w:color w:val="auto"/>
              </w:rPr>
            </w:pPr>
            <w:r>
              <w:rPr>
                <w:rFonts w:hint="eastAsia"/>
                <w:color w:val="auto"/>
                <w:lang w:val="en-US" w:eastAsia="zh-CN"/>
              </w:rPr>
              <w:t>1、结果有“L”表示检测结果低于方法检出限，其数值为该项目检出限。2、标注“*”项目为分包项目，分包单位为安徽绿健检测技术服务有限公司，证书编号：221221110286，检测报告编号：AHLJH2501-019S。</w:t>
            </w:r>
          </w:p>
        </w:tc>
      </w:tr>
    </w:tbl>
    <w:p w14:paraId="749D4F99">
      <w:pPr>
        <w:rPr>
          <w:rFonts w:hint="eastAsia"/>
          <w:color w:val="auto"/>
          <w:lang w:val="zh-CN" w:eastAsia="zh-CN"/>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upperRoman"/>
          <w:cols w:space="0" w:num="1"/>
          <w:rtlGutter w:val="0"/>
          <w:docGrid w:type="lines" w:linePitch="332" w:charSpace="0"/>
        </w:sectPr>
      </w:pPr>
      <w:r>
        <w:rPr>
          <w:rFonts w:hint="eastAsia"/>
          <w:color w:val="auto"/>
          <w:lang w:val="zh-CN" w:eastAsia="zh-CN"/>
        </w:rPr>
        <w:t>监测结果表明，</w:t>
      </w:r>
      <w:r>
        <w:rPr>
          <w:rFonts w:hint="eastAsia"/>
          <w:color w:val="auto"/>
          <w:lang w:val="en-US" w:eastAsia="zh-CN"/>
        </w:rPr>
        <w:t>除D3监测点PH浓度、D9及D12监测点总大肠菌群浓度略有超标，其余均满足</w:t>
      </w:r>
      <w:r>
        <w:rPr>
          <w:rFonts w:hint="eastAsia"/>
          <w:color w:val="auto"/>
          <w:lang w:val="zh-CN" w:eastAsia="zh-CN"/>
        </w:rPr>
        <w:t>《地下水质量标准》（GB/T14848-2017）中的Ⅲ类标准要求</w:t>
      </w:r>
      <w:r>
        <w:rPr>
          <w:rFonts w:hint="eastAsia"/>
          <w:color w:val="auto"/>
          <w:lang w:val="en-US" w:eastAsia="zh-CN"/>
        </w:rPr>
        <w:t>，超标原因可能为与当地地下水环境及当地居民生活方式有关</w:t>
      </w:r>
      <w:r>
        <w:rPr>
          <w:rFonts w:hint="eastAsia"/>
          <w:color w:val="auto"/>
          <w:lang w:val="zh-CN" w:eastAsia="zh-CN"/>
        </w:rPr>
        <w:t>。</w:t>
      </w:r>
    </w:p>
    <w:p w14:paraId="2FF6ACE7">
      <w:pPr>
        <w:pStyle w:val="3"/>
        <w:bidi w:val="0"/>
        <w:ind w:left="480" w:leftChars="0" w:firstLineChars="0"/>
        <w:rPr>
          <w:rFonts w:hint="eastAsia"/>
          <w:color w:val="auto"/>
          <w:lang w:val="zh-CN" w:eastAsia="zh-CN"/>
        </w:rPr>
      </w:pPr>
      <w:bookmarkStart w:id="127" w:name="_Toc26625"/>
      <w:r>
        <w:rPr>
          <w:rFonts w:hint="eastAsia"/>
          <w:color w:val="auto"/>
          <w:lang w:val="zh-CN" w:eastAsia="zh-CN"/>
        </w:rPr>
        <w:t>生态环境现状调查与评价</w:t>
      </w:r>
      <w:bookmarkEnd w:id="127"/>
    </w:p>
    <w:p w14:paraId="06FD2FA9">
      <w:pPr>
        <w:pStyle w:val="4"/>
        <w:bidi w:val="0"/>
        <w:rPr>
          <w:rFonts w:hint="default"/>
          <w:color w:val="auto"/>
          <w:lang w:val="en-US" w:eastAsia="zh-CN"/>
        </w:rPr>
      </w:pPr>
      <w:bookmarkStart w:id="128" w:name="_Toc31367"/>
      <w:bookmarkStart w:id="129" w:name="_Toc21597"/>
      <w:r>
        <w:rPr>
          <w:rFonts w:hint="eastAsia"/>
          <w:color w:val="auto"/>
          <w:lang w:val="en-US" w:eastAsia="zh-CN"/>
        </w:rPr>
        <w:t>调查内容</w:t>
      </w:r>
      <w:bookmarkEnd w:id="128"/>
      <w:bookmarkEnd w:id="129"/>
    </w:p>
    <w:p w14:paraId="6D951E33">
      <w:pPr>
        <w:rPr>
          <w:rFonts w:hint="eastAsia"/>
          <w:color w:val="auto"/>
          <w:lang w:val="zh-CN" w:eastAsia="zh-CN"/>
        </w:rPr>
      </w:pPr>
      <w:r>
        <w:rPr>
          <w:rFonts w:hint="eastAsia"/>
          <w:color w:val="auto"/>
          <w:lang w:val="zh-CN" w:eastAsia="zh-CN"/>
        </w:rPr>
        <w:t>根据《环境影响评价技术导则生态影响》（HJ19-2022）的相关要求，本项目生态影响评价等级整体为二级，</w:t>
      </w:r>
      <w:r>
        <w:rPr>
          <w:rFonts w:hint="eastAsia"/>
          <w:color w:val="auto"/>
          <w:lang w:val="en-US" w:eastAsia="zh-CN"/>
        </w:rPr>
        <w:t>项目涉及生态环境敏感区，</w:t>
      </w:r>
      <w:r>
        <w:rPr>
          <w:rFonts w:hint="eastAsia"/>
          <w:color w:val="auto"/>
          <w:lang w:val="zh-CN" w:eastAsia="zh-CN"/>
        </w:rPr>
        <w:t>生态影响评价范围为工程两侧或边界向外延伸</w:t>
      </w:r>
      <w:r>
        <w:rPr>
          <w:rFonts w:hint="eastAsia"/>
          <w:color w:val="auto"/>
          <w:lang w:val="en-US" w:eastAsia="zh-CN"/>
        </w:rPr>
        <w:t>10</w:t>
      </w:r>
      <w:r>
        <w:rPr>
          <w:rFonts w:hint="eastAsia"/>
          <w:color w:val="auto"/>
          <w:lang w:val="zh-CN" w:eastAsia="zh-CN"/>
        </w:rPr>
        <w:t>00m。生态现状调查内容主要包括陆生生态现状调查、区域存在的主要生态问题等：</w:t>
      </w:r>
    </w:p>
    <w:p w14:paraId="3FAA55FD">
      <w:pPr>
        <w:rPr>
          <w:rFonts w:hint="eastAsia"/>
          <w:color w:val="auto"/>
          <w:lang w:val="zh-CN" w:eastAsia="zh-CN"/>
        </w:rPr>
      </w:pPr>
      <w:r>
        <w:rPr>
          <w:rFonts w:hint="eastAsia"/>
          <w:color w:val="auto"/>
          <w:lang w:val="zh-CN" w:eastAsia="zh-CN"/>
        </w:rPr>
        <w:t>陆生生态现状调查内容主要包括评价范围内的植物区系、植被类型，植物群落结构及演替规律，群落中的关键种、建群种、优势种；动物区系、物种组成及分布特征；生态系统的类型、面积及空间分布；重要物种的分布、生态学特征、种群现状，迁徙物种的主要迁徙路线、迁徙时间，重要生境的分布及现状。</w:t>
      </w:r>
    </w:p>
    <w:p w14:paraId="4270DA2D">
      <w:pPr>
        <w:rPr>
          <w:rFonts w:hint="default"/>
          <w:color w:val="auto"/>
          <w:lang w:val="en-US" w:eastAsia="zh-CN"/>
        </w:rPr>
      </w:pPr>
      <w:r>
        <w:rPr>
          <w:rFonts w:hint="eastAsia"/>
          <w:color w:val="auto"/>
          <w:lang w:val="en-US" w:eastAsia="zh-CN"/>
        </w:rPr>
        <w:t>收集生态敏感区的相关规划资料、图件、数据，调查评价范围内生态敏感区主要保护对象、功能区划、保护要求等。</w:t>
      </w:r>
    </w:p>
    <w:p w14:paraId="79D2D403">
      <w:pPr>
        <w:rPr>
          <w:rFonts w:hint="eastAsia"/>
          <w:color w:val="auto"/>
          <w:lang w:val="zh-CN" w:eastAsia="zh-CN"/>
        </w:rPr>
      </w:pPr>
      <w:r>
        <w:rPr>
          <w:rFonts w:hint="eastAsia"/>
          <w:color w:val="auto"/>
          <w:lang w:val="zh-CN" w:eastAsia="zh-CN"/>
        </w:rPr>
        <w:t>调查区域存在的主要生态问题，如水土流失、沙漠化、石漠化、盐渍化、生物入侵和污染危害等。调查已经存在的对生态保护目标产生不利影响的干扰因素。</w:t>
      </w:r>
    </w:p>
    <w:p w14:paraId="00B41747">
      <w:pPr>
        <w:pStyle w:val="4"/>
        <w:bidi w:val="0"/>
        <w:rPr>
          <w:color w:val="auto"/>
        </w:rPr>
      </w:pPr>
      <w:bookmarkStart w:id="130" w:name="_Toc19125"/>
      <w:r>
        <w:rPr>
          <w:rFonts w:hint="eastAsia"/>
          <w:b/>
          <w:bCs/>
          <w:color w:val="auto"/>
          <w:lang w:val="en-US" w:eastAsia="zh-CN"/>
        </w:rPr>
        <w:t>评价区生态敏感区调查与分析</w:t>
      </w:r>
      <w:bookmarkEnd w:id="130"/>
    </w:p>
    <w:p w14:paraId="104803C5">
      <w:pPr>
        <w:bidi w:val="0"/>
        <w:rPr>
          <w:rFonts w:hint="eastAsia"/>
          <w:color w:val="auto"/>
          <w:lang w:val="en-US" w:eastAsia="zh-CN"/>
        </w:rPr>
      </w:pPr>
      <w:r>
        <w:rPr>
          <w:rFonts w:hint="eastAsia"/>
          <w:color w:val="auto"/>
          <w:lang w:val="en-US" w:eastAsia="zh-CN"/>
        </w:rPr>
        <w:t>本项目对秋浦河航道整治工程5号、6号抛泥区抛泥清除恢复，抛泥区位于生态保护红线内。生态保护红线涉及的保护地为杏花村省级湿地公园和秋浦仙境风景名胜区。</w:t>
      </w:r>
    </w:p>
    <w:p w14:paraId="079BBF42">
      <w:pPr>
        <w:pStyle w:val="4"/>
        <w:bidi w:val="0"/>
        <w:rPr>
          <w:rFonts w:hint="default"/>
          <w:color w:val="auto"/>
          <w:lang w:val="en-US" w:eastAsia="zh-CN"/>
        </w:rPr>
      </w:pPr>
      <w:bookmarkStart w:id="131" w:name="_Toc26646"/>
      <w:r>
        <w:rPr>
          <w:rFonts w:hint="eastAsia"/>
          <w:color w:val="auto"/>
          <w:lang w:val="en-US" w:eastAsia="zh-CN"/>
        </w:rPr>
        <w:t>区域生态功能区划</w:t>
      </w:r>
      <w:bookmarkEnd w:id="131"/>
    </w:p>
    <w:p w14:paraId="323B5FC1">
      <w:pPr>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根据《安徽省生态功能区划》内容，本项目所在地处于Ⅴ1-1东至-贵池低山水土保持与生物多样性保护生态功能区</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lang w:val="en-US" w:eastAsia="zh-CN"/>
        </w:rPr>
        <w:t>本项目生态功能区类型见</w:t>
      </w:r>
      <w:r>
        <w:rPr>
          <w:rFonts w:hint="eastAsia" w:cs="Times New Roman"/>
          <w:color w:val="auto"/>
          <w:sz w:val="24"/>
          <w:szCs w:val="24"/>
          <w:lang w:val="en-US" w:eastAsia="zh-CN"/>
        </w:rPr>
        <w:t>下表</w:t>
      </w:r>
      <w:r>
        <w:rPr>
          <w:rFonts w:hint="eastAsia" w:ascii="Times New Roman" w:hAnsi="Times New Roman" w:eastAsia="宋体" w:cs="Times New Roman"/>
          <w:color w:val="auto"/>
          <w:sz w:val="24"/>
          <w:szCs w:val="24"/>
          <w:lang w:val="en-US" w:eastAsia="zh-CN"/>
        </w:rPr>
        <w:t>。</w:t>
      </w:r>
    </w:p>
    <w:p w14:paraId="4B185D9D">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1</w:t>
      </w:r>
      <w:r>
        <w:rPr>
          <w:color w:val="auto"/>
        </w:rPr>
        <w:fldChar w:fldCharType="end"/>
      </w:r>
      <w:r>
        <w:rPr>
          <w:rFonts w:hint="eastAsia" w:hAnsi="Times New Roman" w:cs="Times New Roman"/>
          <w:b/>
          <w:bCs/>
          <w:color w:val="auto"/>
          <w:sz w:val="21"/>
          <w:szCs w:val="21"/>
          <w:lang w:val="en-US" w:eastAsia="zh-CN"/>
        </w:rPr>
        <w:t>项目</w:t>
      </w:r>
      <w:r>
        <w:rPr>
          <w:rFonts w:hint="eastAsia" w:ascii="Times New Roman" w:hAnsi="Times New Roman" w:eastAsia="宋体" w:cs="Times New Roman"/>
          <w:b/>
          <w:bCs/>
          <w:color w:val="auto"/>
          <w:sz w:val="21"/>
          <w:szCs w:val="21"/>
          <w:lang w:val="en-US" w:eastAsia="zh-CN"/>
        </w:rPr>
        <w:t>生态功能区类型表</w:t>
      </w:r>
    </w:p>
    <w:tbl>
      <w:tblPr>
        <w:tblStyle w:val="24"/>
        <w:tblpPr w:leftFromText="180" w:rightFromText="180" w:vertAnchor="text" w:tblpXSpec="center" w:tblpY="1"/>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770"/>
        <w:gridCol w:w="1149"/>
        <w:gridCol w:w="1339"/>
        <w:gridCol w:w="1244"/>
        <w:gridCol w:w="887"/>
        <w:gridCol w:w="966"/>
        <w:gridCol w:w="1530"/>
      </w:tblGrid>
      <w:tr w14:paraId="447C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blHeader/>
          <w:jc w:val="center"/>
        </w:trPr>
        <w:tc>
          <w:tcPr>
            <w:tcW w:w="2556" w:type="dxa"/>
            <w:gridSpan w:val="3"/>
            <w:noWrap w:val="0"/>
            <w:vAlign w:val="center"/>
          </w:tcPr>
          <w:p w14:paraId="68F1229C">
            <w:pPr>
              <w:pStyle w:val="31"/>
              <w:bidi w:val="0"/>
              <w:rPr>
                <w:rFonts w:hint="eastAsia"/>
                <w:color w:val="auto"/>
              </w:rPr>
            </w:pPr>
            <w:r>
              <w:rPr>
                <w:rFonts w:hint="eastAsia"/>
                <w:color w:val="auto"/>
              </w:rPr>
              <w:t>生态功能分区单元</w:t>
            </w:r>
          </w:p>
        </w:tc>
        <w:tc>
          <w:tcPr>
            <w:tcW w:w="1339" w:type="dxa"/>
            <w:vMerge w:val="restart"/>
            <w:noWrap w:val="0"/>
            <w:vAlign w:val="center"/>
          </w:tcPr>
          <w:p w14:paraId="4CCFC037">
            <w:pPr>
              <w:pStyle w:val="31"/>
              <w:bidi w:val="0"/>
              <w:rPr>
                <w:rFonts w:hint="eastAsia"/>
                <w:color w:val="auto"/>
              </w:rPr>
            </w:pPr>
            <w:r>
              <w:rPr>
                <w:rFonts w:hint="eastAsia"/>
                <w:color w:val="auto"/>
              </w:rPr>
              <w:t>所在区域与面积</w:t>
            </w:r>
          </w:p>
        </w:tc>
        <w:tc>
          <w:tcPr>
            <w:tcW w:w="1244" w:type="dxa"/>
            <w:vMerge w:val="restart"/>
            <w:noWrap w:val="0"/>
            <w:vAlign w:val="center"/>
          </w:tcPr>
          <w:p w14:paraId="1B6E33A6">
            <w:pPr>
              <w:pStyle w:val="31"/>
              <w:bidi w:val="0"/>
              <w:rPr>
                <w:rFonts w:hint="eastAsia"/>
                <w:color w:val="auto"/>
              </w:rPr>
            </w:pPr>
            <w:r>
              <w:rPr>
                <w:rFonts w:hint="eastAsia"/>
                <w:color w:val="auto"/>
              </w:rPr>
              <w:t>主要生态环境问题</w:t>
            </w:r>
          </w:p>
        </w:tc>
        <w:tc>
          <w:tcPr>
            <w:tcW w:w="887" w:type="dxa"/>
            <w:vMerge w:val="restart"/>
            <w:noWrap w:val="0"/>
            <w:vAlign w:val="center"/>
          </w:tcPr>
          <w:p w14:paraId="29413724">
            <w:pPr>
              <w:pStyle w:val="31"/>
              <w:bidi w:val="0"/>
              <w:rPr>
                <w:rFonts w:hint="eastAsia"/>
                <w:color w:val="auto"/>
              </w:rPr>
            </w:pPr>
            <w:r>
              <w:rPr>
                <w:rFonts w:hint="eastAsia"/>
                <w:color w:val="auto"/>
              </w:rPr>
              <w:t>生态环境敏感性</w:t>
            </w:r>
          </w:p>
        </w:tc>
        <w:tc>
          <w:tcPr>
            <w:tcW w:w="966" w:type="dxa"/>
            <w:vMerge w:val="restart"/>
            <w:noWrap w:val="0"/>
            <w:vAlign w:val="center"/>
          </w:tcPr>
          <w:p w14:paraId="0FD95FAB">
            <w:pPr>
              <w:pStyle w:val="31"/>
              <w:bidi w:val="0"/>
              <w:rPr>
                <w:rFonts w:hint="eastAsia"/>
                <w:color w:val="auto"/>
              </w:rPr>
            </w:pPr>
            <w:r>
              <w:rPr>
                <w:rFonts w:hint="eastAsia"/>
                <w:color w:val="auto"/>
              </w:rPr>
              <w:t>主要生态系统服务功能</w:t>
            </w:r>
          </w:p>
        </w:tc>
        <w:tc>
          <w:tcPr>
            <w:tcW w:w="1530" w:type="dxa"/>
            <w:vMerge w:val="restart"/>
            <w:noWrap w:val="0"/>
            <w:vAlign w:val="center"/>
          </w:tcPr>
          <w:p w14:paraId="16D63BD4">
            <w:pPr>
              <w:pStyle w:val="31"/>
              <w:bidi w:val="0"/>
              <w:rPr>
                <w:rFonts w:hint="eastAsia"/>
                <w:color w:val="auto"/>
              </w:rPr>
            </w:pPr>
            <w:r>
              <w:rPr>
                <w:rFonts w:hint="eastAsia"/>
                <w:color w:val="auto"/>
              </w:rPr>
              <w:t>保护措施与发展方向</w:t>
            </w:r>
          </w:p>
        </w:tc>
      </w:tr>
      <w:tr w14:paraId="5DF0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blHeader/>
          <w:jc w:val="center"/>
        </w:trPr>
        <w:tc>
          <w:tcPr>
            <w:tcW w:w="637" w:type="dxa"/>
            <w:noWrap w:val="0"/>
            <w:vAlign w:val="center"/>
          </w:tcPr>
          <w:p w14:paraId="7596293F">
            <w:pPr>
              <w:pStyle w:val="31"/>
              <w:bidi w:val="0"/>
              <w:rPr>
                <w:rFonts w:hint="eastAsia"/>
                <w:color w:val="auto"/>
              </w:rPr>
            </w:pPr>
            <w:r>
              <w:rPr>
                <w:rFonts w:hint="eastAsia"/>
                <w:color w:val="auto"/>
              </w:rPr>
              <w:t>生态区</w:t>
            </w:r>
          </w:p>
        </w:tc>
        <w:tc>
          <w:tcPr>
            <w:tcW w:w="770" w:type="dxa"/>
            <w:noWrap w:val="0"/>
            <w:vAlign w:val="center"/>
          </w:tcPr>
          <w:p w14:paraId="1F82585D">
            <w:pPr>
              <w:pStyle w:val="31"/>
              <w:bidi w:val="0"/>
              <w:rPr>
                <w:rFonts w:hint="eastAsia"/>
                <w:color w:val="auto"/>
              </w:rPr>
            </w:pPr>
            <w:r>
              <w:rPr>
                <w:rFonts w:hint="eastAsia"/>
                <w:color w:val="auto"/>
              </w:rPr>
              <w:t>生态亚区</w:t>
            </w:r>
          </w:p>
        </w:tc>
        <w:tc>
          <w:tcPr>
            <w:tcW w:w="1149" w:type="dxa"/>
            <w:noWrap w:val="0"/>
            <w:vAlign w:val="center"/>
          </w:tcPr>
          <w:p w14:paraId="2D215B39">
            <w:pPr>
              <w:pStyle w:val="31"/>
              <w:bidi w:val="0"/>
              <w:rPr>
                <w:rFonts w:hint="eastAsia"/>
                <w:color w:val="auto"/>
              </w:rPr>
            </w:pPr>
            <w:r>
              <w:rPr>
                <w:rFonts w:hint="eastAsia"/>
                <w:color w:val="auto"/>
              </w:rPr>
              <w:t>生态功能区</w:t>
            </w:r>
          </w:p>
        </w:tc>
        <w:tc>
          <w:tcPr>
            <w:tcW w:w="1339" w:type="dxa"/>
            <w:vMerge w:val="continue"/>
            <w:noWrap w:val="0"/>
            <w:vAlign w:val="top"/>
          </w:tcPr>
          <w:p w14:paraId="4ABD7BFF">
            <w:pPr>
              <w:pStyle w:val="31"/>
              <w:bidi w:val="0"/>
              <w:rPr>
                <w:rFonts w:hint="eastAsia"/>
                <w:color w:val="auto"/>
              </w:rPr>
            </w:pPr>
          </w:p>
        </w:tc>
        <w:tc>
          <w:tcPr>
            <w:tcW w:w="1244" w:type="dxa"/>
            <w:vMerge w:val="continue"/>
            <w:noWrap w:val="0"/>
            <w:vAlign w:val="top"/>
          </w:tcPr>
          <w:p w14:paraId="2025BF6C">
            <w:pPr>
              <w:pStyle w:val="31"/>
              <w:bidi w:val="0"/>
              <w:rPr>
                <w:rFonts w:hint="eastAsia"/>
                <w:color w:val="auto"/>
              </w:rPr>
            </w:pPr>
          </w:p>
        </w:tc>
        <w:tc>
          <w:tcPr>
            <w:tcW w:w="887" w:type="dxa"/>
            <w:vMerge w:val="continue"/>
            <w:noWrap w:val="0"/>
            <w:vAlign w:val="top"/>
          </w:tcPr>
          <w:p w14:paraId="5786B11B">
            <w:pPr>
              <w:pStyle w:val="31"/>
              <w:bidi w:val="0"/>
              <w:rPr>
                <w:rFonts w:hint="eastAsia"/>
                <w:color w:val="auto"/>
              </w:rPr>
            </w:pPr>
          </w:p>
        </w:tc>
        <w:tc>
          <w:tcPr>
            <w:tcW w:w="966" w:type="dxa"/>
            <w:vMerge w:val="continue"/>
            <w:noWrap w:val="0"/>
            <w:vAlign w:val="top"/>
          </w:tcPr>
          <w:p w14:paraId="7E5DA7F0">
            <w:pPr>
              <w:pStyle w:val="31"/>
              <w:bidi w:val="0"/>
              <w:rPr>
                <w:rFonts w:hint="eastAsia"/>
                <w:color w:val="auto"/>
              </w:rPr>
            </w:pPr>
          </w:p>
        </w:tc>
        <w:tc>
          <w:tcPr>
            <w:tcW w:w="1530" w:type="dxa"/>
            <w:vMerge w:val="continue"/>
            <w:noWrap w:val="0"/>
            <w:vAlign w:val="top"/>
          </w:tcPr>
          <w:p w14:paraId="6986AA38">
            <w:pPr>
              <w:pStyle w:val="31"/>
              <w:bidi w:val="0"/>
              <w:rPr>
                <w:rFonts w:hint="eastAsia"/>
                <w:color w:val="auto"/>
              </w:rPr>
            </w:pPr>
          </w:p>
        </w:tc>
      </w:tr>
      <w:tr w14:paraId="14092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blHeader/>
          <w:jc w:val="center"/>
        </w:trPr>
        <w:tc>
          <w:tcPr>
            <w:tcW w:w="637" w:type="dxa"/>
            <w:noWrap w:val="0"/>
            <w:vAlign w:val="center"/>
          </w:tcPr>
          <w:p w14:paraId="258817FC">
            <w:pPr>
              <w:pStyle w:val="31"/>
              <w:bidi w:val="0"/>
              <w:rPr>
                <w:rFonts w:hint="eastAsia"/>
                <w:color w:val="auto"/>
              </w:rPr>
            </w:pPr>
            <w:r>
              <w:rPr>
                <w:rFonts w:hint="eastAsia"/>
                <w:color w:val="auto"/>
              </w:rPr>
              <w:t>Ⅳ沿长江平原生态区</w:t>
            </w:r>
          </w:p>
        </w:tc>
        <w:tc>
          <w:tcPr>
            <w:tcW w:w="770" w:type="dxa"/>
            <w:noWrap w:val="0"/>
            <w:vAlign w:val="center"/>
          </w:tcPr>
          <w:p w14:paraId="4D2A16B3">
            <w:pPr>
              <w:pStyle w:val="31"/>
              <w:bidi w:val="0"/>
              <w:rPr>
                <w:rFonts w:hint="eastAsia"/>
                <w:color w:val="auto"/>
              </w:rPr>
            </w:pPr>
            <w:r>
              <w:rPr>
                <w:rFonts w:hint="eastAsia"/>
                <w:color w:val="auto"/>
              </w:rPr>
              <w:t>Ⅳ</w:t>
            </w:r>
            <w:r>
              <w:rPr>
                <w:color w:val="auto"/>
              </w:rPr>
              <w:t>2</w:t>
            </w:r>
            <w:r>
              <w:rPr>
                <w:rFonts w:hint="eastAsia"/>
                <w:color w:val="auto"/>
              </w:rPr>
              <w:t>皖江沿岸湿地保护与洪水调蓄生态亚区</w:t>
            </w:r>
          </w:p>
        </w:tc>
        <w:tc>
          <w:tcPr>
            <w:tcW w:w="1149" w:type="dxa"/>
            <w:shd w:val="clear" w:color="auto" w:fill="auto"/>
            <w:noWrap w:val="0"/>
            <w:vAlign w:val="center"/>
          </w:tcPr>
          <w:p w14:paraId="52215D66">
            <w:pPr>
              <w:pStyle w:val="31"/>
              <w:bidi w:val="0"/>
              <w:ind w:firstLine="0" w:firstLineChars="0"/>
              <w:rPr>
                <w:rFonts w:hint="eastAsia" w:ascii="Times New Roman" w:hAnsi="Times New Roman" w:eastAsia="宋体" w:cs="Times New Roman"/>
                <w:bCs/>
                <w:color w:val="auto"/>
                <w:sz w:val="21"/>
                <w:szCs w:val="21"/>
              </w:rPr>
            </w:pPr>
            <w:r>
              <w:rPr>
                <w:rFonts w:hint="eastAsia"/>
                <w:color w:val="auto"/>
              </w:rPr>
              <w:t>Ⅳ</w:t>
            </w:r>
            <w:r>
              <w:rPr>
                <w:color w:val="auto"/>
              </w:rPr>
              <w:t>2-2</w:t>
            </w:r>
            <w:r>
              <w:rPr>
                <w:rFonts w:hint="eastAsia"/>
                <w:color w:val="auto"/>
              </w:rPr>
              <w:t>安庆</w:t>
            </w:r>
            <w:r>
              <w:rPr>
                <w:color w:val="auto"/>
              </w:rPr>
              <w:t>-</w:t>
            </w:r>
            <w:r>
              <w:rPr>
                <w:rFonts w:hint="eastAsia"/>
                <w:color w:val="auto"/>
              </w:rPr>
              <w:t>铜陵沿江湿地生态保护生态功能区</w:t>
            </w:r>
          </w:p>
        </w:tc>
        <w:tc>
          <w:tcPr>
            <w:tcW w:w="1339" w:type="dxa"/>
            <w:shd w:val="clear" w:color="auto" w:fill="auto"/>
            <w:noWrap w:val="0"/>
            <w:vAlign w:val="center"/>
          </w:tcPr>
          <w:p w14:paraId="03AE5FBB">
            <w:pPr>
              <w:pStyle w:val="31"/>
              <w:bidi w:val="0"/>
              <w:ind w:firstLine="0" w:firstLineChars="0"/>
              <w:rPr>
                <w:rFonts w:hint="eastAsia" w:ascii="Times New Roman" w:hAnsi="Times New Roman" w:eastAsia="宋体" w:cs="Times New Roman"/>
                <w:bCs/>
                <w:color w:val="auto"/>
                <w:sz w:val="21"/>
                <w:szCs w:val="21"/>
              </w:rPr>
            </w:pPr>
            <w:r>
              <w:rPr>
                <w:rFonts w:hint="eastAsia"/>
                <w:color w:val="auto"/>
              </w:rPr>
              <w:t>东至县西北部、安庆市区大部、贵池区沿江地带、枞阳县南部、铜陵市区及铜陵县沿江地带，面积</w:t>
            </w:r>
            <w:r>
              <w:rPr>
                <w:color w:val="auto"/>
              </w:rPr>
              <w:t>3639.6km</w:t>
            </w:r>
            <w:r>
              <w:rPr>
                <w:color w:val="auto"/>
                <w:vertAlign w:val="superscript"/>
              </w:rPr>
              <w:t>2</w:t>
            </w:r>
          </w:p>
        </w:tc>
        <w:tc>
          <w:tcPr>
            <w:tcW w:w="1244" w:type="dxa"/>
            <w:shd w:val="clear" w:color="auto" w:fill="auto"/>
            <w:noWrap w:val="0"/>
            <w:vAlign w:val="center"/>
          </w:tcPr>
          <w:p w14:paraId="641F2BF7">
            <w:pPr>
              <w:pStyle w:val="31"/>
              <w:bidi w:val="0"/>
              <w:ind w:firstLine="0" w:firstLineChars="0"/>
              <w:rPr>
                <w:rFonts w:hint="eastAsia" w:ascii="Times New Roman" w:hAnsi="Times New Roman" w:eastAsia="宋体" w:cs="Times New Roman"/>
                <w:bCs/>
                <w:color w:val="auto"/>
                <w:sz w:val="21"/>
                <w:szCs w:val="21"/>
              </w:rPr>
            </w:pPr>
            <w:r>
              <w:rPr>
                <w:rFonts w:hint="eastAsia"/>
                <w:color w:val="auto"/>
              </w:rPr>
              <w:t>水土流失剧烈，湖盆淤积严重，部分湖泊湖区网箱养殖强度过大，矿区水土流失和其它地质灾害严重，涝渍灾害常发</w:t>
            </w:r>
          </w:p>
        </w:tc>
        <w:tc>
          <w:tcPr>
            <w:tcW w:w="887" w:type="dxa"/>
            <w:shd w:val="clear" w:color="auto" w:fill="auto"/>
            <w:noWrap w:val="0"/>
            <w:vAlign w:val="center"/>
          </w:tcPr>
          <w:p w14:paraId="387B90AC">
            <w:pPr>
              <w:pStyle w:val="31"/>
              <w:bidi w:val="0"/>
              <w:ind w:firstLine="0" w:firstLineChars="0"/>
              <w:rPr>
                <w:rFonts w:hint="eastAsia" w:ascii="Times New Roman" w:hAnsi="Times New Roman" w:eastAsia="宋体" w:cs="Times New Roman"/>
                <w:bCs/>
                <w:color w:val="auto"/>
                <w:sz w:val="21"/>
                <w:szCs w:val="21"/>
              </w:rPr>
            </w:pPr>
            <w:r>
              <w:rPr>
                <w:rFonts w:hint="eastAsia"/>
                <w:color w:val="auto"/>
              </w:rPr>
              <w:t>部分地区地质灾害极敏感，局部地段水土流失高度敏感</w:t>
            </w:r>
          </w:p>
        </w:tc>
        <w:tc>
          <w:tcPr>
            <w:tcW w:w="966" w:type="dxa"/>
            <w:shd w:val="clear" w:color="auto" w:fill="auto"/>
            <w:noWrap w:val="0"/>
            <w:vAlign w:val="center"/>
          </w:tcPr>
          <w:p w14:paraId="53198745">
            <w:pPr>
              <w:pStyle w:val="31"/>
              <w:bidi w:val="0"/>
              <w:ind w:firstLine="0" w:firstLineChars="0"/>
              <w:rPr>
                <w:rFonts w:hint="eastAsia" w:ascii="Times New Roman" w:hAnsi="Times New Roman" w:eastAsia="宋体" w:cs="Times New Roman"/>
                <w:bCs/>
                <w:color w:val="auto"/>
                <w:sz w:val="21"/>
                <w:szCs w:val="21"/>
              </w:rPr>
            </w:pPr>
            <w:r>
              <w:rPr>
                <w:rFonts w:hint="eastAsia"/>
                <w:color w:val="auto"/>
              </w:rPr>
              <w:t>湖泊湿地保护与生物多样性保护</w:t>
            </w:r>
          </w:p>
        </w:tc>
        <w:tc>
          <w:tcPr>
            <w:tcW w:w="1530" w:type="dxa"/>
            <w:shd w:val="clear" w:color="auto" w:fill="auto"/>
            <w:noWrap w:val="0"/>
            <w:vAlign w:val="center"/>
          </w:tcPr>
          <w:p w14:paraId="549FB8CA">
            <w:pPr>
              <w:pStyle w:val="31"/>
              <w:bidi w:val="0"/>
              <w:ind w:firstLine="0" w:firstLineChars="0"/>
              <w:rPr>
                <w:rFonts w:hint="eastAsia" w:ascii="Times New Roman" w:hAnsi="Times New Roman" w:eastAsia="宋体" w:cs="Times New Roman"/>
                <w:bCs/>
                <w:color w:val="auto"/>
                <w:sz w:val="21"/>
                <w:szCs w:val="21"/>
              </w:rPr>
            </w:pPr>
            <w:r>
              <w:rPr>
                <w:color w:val="auto"/>
              </w:rPr>
              <w:t>实施退田还湖，进行生态养殖，控制水土流失，保证湖泊湿地的洪水调蓄功能的发挥；加强城镇环境污染综合治理，采矿业要实行严格的生态恢复与治理措施</w:t>
            </w:r>
          </w:p>
        </w:tc>
      </w:tr>
    </w:tbl>
    <w:p w14:paraId="1E6CC161">
      <w:pPr>
        <w:bidi w:val="0"/>
        <w:rPr>
          <w:rFonts w:hint="eastAsia"/>
          <w:color w:val="auto"/>
          <w:lang w:eastAsia="zh-CN"/>
        </w:rPr>
      </w:pPr>
      <w:r>
        <w:rPr>
          <w:rFonts w:hint="eastAsia"/>
          <w:color w:val="auto"/>
          <w:lang w:eastAsia="zh-CN"/>
        </w:rPr>
        <w:t>该生态功能区位于皖江中段地区，主要分布于铜陵至安庆和东至段沿江两岸，行政区划包括东至县西北部、安庆市区大部、贵池区沿江地带、枞阳县南部、铜陵市区及铜陵县沿江地带，面积3639.68km</w:t>
      </w:r>
      <w:r>
        <w:rPr>
          <w:rFonts w:hint="eastAsia"/>
          <w:color w:val="auto"/>
          <w:vertAlign w:val="superscript"/>
          <w:lang w:eastAsia="zh-CN"/>
        </w:rPr>
        <w:t>2</w:t>
      </w:r>
      <w:r>
        <w:rPr>
          <w:rFonts w:hint="eastAsia"/>
          <w:color w:val="auto"/>
          <w:lang w:eastAsia="zh-CN"/>
        </w:rPr>
        <w:t>。</w:t>
      </w:r>
    </w:p>
    <w:p w14:paraId="73F02FE2">
      <w:pPr>
        <w:bidi w:val="0"/>
        <w:rPr>
          <w:rFonts w:hint="eastAsia"/>
          <w:color w:val="auto"/>
          <w:lang w:eastAsia="zh-CN"/>
        </w:rPr>
      </w:pPr>
      <w:r>
        <w:rPr>
          <w:rFonts w:hint="eastAsia"/>
          <w:color w:val="auto"/>
          <w:lang w:eastAsia="zh-CN"/>
        </w:rPr>
        <w:t>该区地貌以冲积平原和洲圩为主，间有低山丘岗分布。气候属亚热带湿润性季风气候，雨水和光照充足，水热条件优越，年平均降雨量1400mm左右，蒸发量1600mm，年平均气温16.0~16.8℃，年平均无霜期240天，日照时数2000小时。</w:t>
      </w:r>
    </w:p>
    <w:p w14:paraId="13872829">
      <w:pPr>
        <w:bidi w:val="0"/>
        <w:rPr>
          <w:rFonts w:hint="eastAsia"/>
          <w:color w:val="auto"/>
          <w:lang w:eastAsia="zh-CN"/>
        </w:rPr>
      </w:pPr>
      <w:r>
        <w:rPr>
          <w:rFonts w:hint="eastAsia"/>
          <w:color w:val="auto"/>
          <w:lang w:eastAsia="zh-CN"/>
        </w:rPr>
        <w:t>土壤类型复杂多样，主要有红壤、潴育水稻土、灰潮土、潜育水稻土和黄褐土等为主。耕作制度以一年两熟为主，主要农产品以水稻、棉花、小麦、油菜等，也盛产鱼、虾等水产品。</w:t>
      </w:r>
    </w:p>
    <w:p w14:paraId="70F0227F">
      <w:pPr>
        <w:bidi w:val="0"/>
        <w:rPr>
          <w:rFonts w:hint="eastAsia"/>
          <w:color w:val="auto"/>
          <w:lang w:eastAsia="zh-CN"/>
        </w:rPr>
      </w:pPr>
      <w:r>
        <w:rPr>
          <w:rFonts w:hint="eastAsia"/>
          <w:color w:val="auto"/>
          <w:lang w:eastAsia="zh-CN"/>
        </w:rPr>
        <w:t>本区自然资源丰富，尤其是金、铅、铜等金属矿和水泥石灰岩、煤炭等丰富，目前开采已具规模。同时，湖泊湿地丰富，升金湖水禽自然保护区、十八索湿地自然保护和铜陵淡水豚类自然保护区均位于本区；沿江圩区水网纵横，也是重要的湿地资源。升金湖水禽国家级自然保区是长江南岸一个大型的浅淡水湖及毗邻的沼泽池，水生维管束植物38科84种、浮游植物22种；浮游动物13种、底栖动物23种、爬行类21种、鱼类62种；同时升金湖也是迁徒水禽重要的越冬地，有鸟类142种，其中越冬候鸟66种，属于国家一级保护的鸟类有白头鹤、白鹤、黑鹳等5种，属于国家二级保护的鸟类有白枕鹤、小天鹅等16种。越冬鸟主要栖息于水位下降后形成的湖泊浅水沼泽区，该保护区分布有中国最大的白头鹤越冬种群（约有200~360只），可见本区生物多样性保护极其重要。同时，沿江分布的湿地对于长江洪水调蓄也具有重要作用。</w:t>
      </w:r>
    </w:p>
    <w:p w14:paraId="331C9184">
      <w:pPr>
        <w:bidi w:val="0"/>
        <w:rPr>
          <w:rFonts w:hint="eastAsia"/>
          <w:color w:val="auto"/>
          <w:lang w:eastAsia="zh-CN"/>
        </w:rPr>
      </w:pPr>
      <w:r>
        <w:rPr>
          <w:rFonts w:hint="eastAsia"/>
          <w:color w:val="auto"/>
          <w:lang w:eastAsia="zh-CN"/>
        </w:rPr>
        <w:t>区内主要生态环境问题有：（1）湿地湖泊由于上游地区植被覆盖度低，历史上坡耕种植和全垦造林导致水土流失剧烈，湖盆淤积严重，如升金湖80%的湖盆被淤积，加上部分地区围垦湖泊造田，湿地调蓄洪水功能大为减弱；（2）部分湖泊湖区网箱养殖强度过大，常有非法打捞和贩运湖区水草现象，水生生态系统生态链功能受到严重威胁；（3）采矿业大规模开采后生态恢复力度小，矿区水土流失和其它地质灾害严重；（3）湖泊湿地生态系统保护力度不够，水禽等重要物种的生境受到一定的威胁；（4）受整个长江流域湖泊的调蓄洪水功能衰退的影响，本区低洼圩区也是涝渍灾害常发区。</w:t>
      </w:r>
    </w:p>
    <w:p w14:paraId="0B85F0DC">
      <w:pPr>
        <w:bidi w:val="0"/>
        <w:rPr>
          <w:rFonts w:hint="eastAsia"/>
          <w:color w:val="auto"/>
          <w:lang w:eastAsia="zh-CN"/>
        </w:rPr>
      </w:pPr>
      <w:r>
        <w:rPr>
          <w:rFonts w:hint="eastAsia"/>
          <w:color w:val="auto"/>
          <w:lang w:eastAsia="zh-CN"/>
        </w:rPr>
        <w:t>生态环境建设与保护应以湖泊湿地和生物多样性保护为核心，实施退田还湖，进行生态水产养殖，控制水土流失，保证湖泊湿地的洪水调蓄生态功能的发挥；加强城镇环境污染综合治理，采矿业要实行严格的生态恢复与治理措施，保护生态与景观系统结构与功能的完整性。</w:t>
      </w:r>
    </w:p>
    <w:p w14:paraId="0E17786B">
      <w:pPr>
        <w:bidi w:val="0"/>
        <w:rPr>
          <w:rFonts w:hint="default"/>
          <w:color w:val="auto"/>
          <w:lang w:val="en-US" w:eastAsia="zh-CN"/>
        </w:rPr>
      </w:pPr>
      <w:r>
        <w:rPr>
          <w:rFonts w:hint="eastAsia"/>
          <w:color w:val="auto"/>
          <w:lang w:val="en-US" w:eastAsia="zh-CN"/>
        </w:rPr>
        <w:t>本项目在安徽省生态功能区划中的位置如下图：</w:t>
      </w:r>
    </w:p>
    <w:p w14:paraId="5802B01C">
      <w:pPr>
        <w:pStyle w:val="31"/>
        <w:bidi w:val="0"/>
        <w:rPr>
          <w:color w:val="auto"/>
        </w:rPr>
      </w:pPr>
      <w:r>
        <w:rPr>
          <w:color w:val="auto"/>
          <w:sz w:val="28"/>
        </w:rPr>
        <mc:AlternateContent>
          <mc:Choice Requires="wps">
            <w:drawing>
              <wp:anchor distT="0" distB="0" distL="114300" distR="114300" simplePos="0" relativeHeight="251665408" behindDoc="0" locked="0" layoutInCell="1" allowOverlap="1">
                <wp:simplePos x="0" y="0"/>
                <wp:positionH relativeFrom="column">
                  <wp:posOffset>3463925</wp:posOffset>
                </wp:positionH>
                <wp:positionV relativeFrom="paragraph">
                  <wp:posOffset>4665980</wp:posOffset>
                </wp:positionV>
                <wp:extent cx="651510" cy="246380"/>
                <wp:effectExtent l="308610" t="6350" r="11430" b="52070"/>
                <wp:wrapNone/>
                <wp:docPr id="18" name="线形标注 2 18"/>
                <wp:cNvGraphicFramePr/>
                <a:graphic xmlns:a="http://schemas.openxmlformats.org/drawingml/2006/main">
                  <a:graphicData uri="http://schemas.microsoft.com/office/word/2010/wordprocessingShape">
                    <wps:wsp>
                      <wps:cNvSpPr/>
                      <wps:spPr>
                        <a:xfrm>
                          <a:off x="4321175" y="5807710"/>
                          <a:ext cx="651510" cy="246380"/>
                        </a:xfrm>
                        <a:prstGeom prst="borderCallout2">
                          <a:avLst>
                            <a:gd name="adj1" fmla="val 44952"/>
                            <a:gd name="adj2" fmla="val 347"/>
                            <a:gd name="adj3" fmla="val 44952"/>
                            <a:gd name="adj4" fmla="val -22479"/>
                            <a:gd name="adj5" fmla="val 112500"/>
                            <a:gd name="adj6" fmla="val -46667"/>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67267C8">
                            <w:pPr>
                              <w:ind w:left="0" w:leftChars="0" w:firstLine="0" w:firstLineChars="0"/>
                              <w:jc w:val="both"/>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8" type="#_x0000_t48" style="position:absolute;left:0pt;margin-left:272.75pt;margin-top:367.4pt;height:19.4pt;width:51.3pt;z-index:251665408;v-text-anchor:middle;mso-width-relative:page;mso-height-relative:page;" fillcolor="#FFFFFF [3212]" filled="t" stroked="t" coordsize="21600,21600" o:gfxdata="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DLd2UnbAAAACwEAAA8AAAAAAAAAAQAgAAAAIgAAAGRycy9kb3du&#10;cmV2LnhtbFBLAQIUABQAAAAIAIdO4kCb8WjH4AIAAAAGAAAOAAAAAAAAAAEAIAAAACoBAABkcnMv&#10;ZTJvRG9jLnhtbFBLBQYAAAAABgAGAFkBAAB8BgAAAAA=&#10;" adj="-10080,24300,-4855,9710,75,9710">
                <v:fill on="t" focussize="0,0"/>
                <v:stroke weight="1pt" color="#000000 [3213]" miterlimit="8" joinstyle="miter"/>
                <v:imagedata o:title=""/>
                <o:lock v:ext="edit" aspectratio="f"/>
                <v:textbox>
                  <w:txbxContent>
                    <w:p w14:paraId="367267C8">
                      <w:pPr>
                        <w:ind w:left="0" w:leftChars="0" w:firstLine="0" w:firstLineChars="0"/>
                        <w:jc w:val="both"/>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本项目</w:t>
                      </w:r>
                    </w:p>
                  </w:txbxContent>
                </v:textbox>
              </v:shape>
            </w:pict>
          </mc:Fallback>
        </mc:AlternateContent>
      </w:r>
      <w:r>
        <w:rPr>
          <w:rFonts w:hint="default" w:ascii="Times New Roman" w:hAnsi="Times New Roman"/>
          <w:b/>
          <w:bCs/>
          <w:color w:val="auto"/>
          <w:sz w:val="28"/>
        </w:rPr>
        <w:drawing>
          <wp:inline distT="0" distB="0" distL="114300" distR="114300">
            <wp:extent cx="5400040" cy="7628890"/>
            <wp:effectExtent l="0" t="0" r="0" b="0"/>
            <wp:docPr id="17" name="图片 15" descr="..\jpg\bbb功能区划.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jpg\bbb功能区划.wmf"/>
                    <pic:cNvPicPr>
                      <a:picLocks noChangeAspect="1"/>
                    </pic:cNvPicPr>
                  </pic:nvPicPr>
                  <pic:blipFill>
                    <a:blip r:embed="rId49"/>
                    <a:stretch>
                      <a:fillRect/>
                    </a:stretch>
                  </pic:blipFill>
                  <pic:spPr>
                    <a:xfrm>
                      <a:off x="0" y="0"/>
                      <a:ext cx="5400040" cy="7628890"/>
                    </a:xfrm>
                    <a:prstGeom prst="rect">
                      <a:avLst/>
                    </a:prstGeom>
                    <a:noFill/>
                    <a:ln>
                      <a:noFill/>
                    </a:ln>
                  </pic:spPr>
                </pic:pic>
              </a:graphicData>
            </a:graphic>
          </wp:inline>
        </w:drawing>
      </w:r>
    </w:p>
    <w:p w14:paraId="71A3AEFA">
      <w:pPr>
        <w:pStyle w:val="11"/>
        <w:numPr>
          <w:ilvl w:val="0"/>
          <w:numId w:val="0"/>
        </w:numPr>
        <w:spacing w:line="360" w:lineRule="auto"/>
        <w:jc w:val="center"/>
        <w:rPr>
          <w:rFonts w:hint="default"/>
          <w:b/>
          <w:bCs/>
          <w:color w:val="auto"/>
          <w:highlight w:val="yellow"/>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rFonts w:hint="eastAsia" w:cs="Times New Roman"/>
          <w:b/>
          <w:bCs/>
          <w:color w:val="auto"/>
          <w:sz w:val="21"/>
          <w:szCs w:val="21"/>
          <w:highlight w:val="none"/>
          <w:lang w:val="en-US" w:eastAsia="zh-CN"/>
        </w:rPr>
        <w:t>拟建</w:t>
      </w:r>
      <w:r>
        <w:rPr>
          <w:rFonts w:hint="eastAsia" w:ascii="Times New Roman" w:hAnsi="Times New Roman" w:eastAsia="宋体" w:cs="Times New Roman"/>
          <w:b/>
          <w:bCs/>
          <w:color w:val="auto"/>
          <w:sz w:val="21"/>
          <w:szCs w:val="21"/>
          <w:highlight w:val="none"/>
          <w:lang w:val="en-US" w:eastAsia="zh-CN"/>
        </w:rPr>
        <w:t>项目在安徽省生态功能区划中的位置示意图</w:t>
      </w:r>
    </w:p>
    <w:p w14:paraId="09837014">
      <w:pPr>
        <w:spacing w:line="240" w:lineRule="auto"/>
        <w:jc w:val="center"/>
        <w:rPr>
          <w:rFonts w:hint="default" w:ascii="Times New Roman" w:hAnsi="Times New Roman" w:cs="Times New Roman"/>
          <w:b/>
          <w:color w:val="auto"/>
          <w:sz w:val="21"/>
          <w:szCs w:val="21"/>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659F5E50">
      <w:pPr>
        <w:pStyle w:val="4"/>
        <w:keepNext/>
        <w:keepLines/>
        <w:pageBreakBefore w:val="0"/>
        <w:widowControl/>
        <w:kinsoku/>
        <w:wordWrap/>
        <w:overflowPunct/>
        <w:topLinePunct w:val="0"/>
        <w:autoSpaceDE/>
        <w:autoSpaceDN/>
        <w:bidi w:val="0"/>
        <w:adjustRightInd/>
        <w:snapToGrid/>
        <w:spacing w:beforeLines="0" w:line="360" w:lineRule="auto"/>
        <w:textAlignment w:val="auto"/>
        <w:rPr>
          <w:rFonts w:hint="default" w:ascii="Times New Roman" w:hAnsi="Times New Roman" w:cs="Times New Roman"/>
          <w:color w:val="auto"/>
          <w:sz w:val="32"/>
          <w:szCs w:val="32"/>
          <w:lang w:val="en-US" w:eastAsia="zh-CN"/>
        </w:rPr>
      </w:pPr>
      <w:bookmarkStart w:id="132" w:name="_Toc6531"/>
      <w:bookmarkStart w:id="133" w:name="_Toc522804862"/>
      <w:bookmarkStart w:id="134" w:name="_Toc510813710"/>
      <w:bookmarkStart w:id="135" w:name="_Toc1463"/>
      <w:bookmarkStart w:id="136" w:name="_Toc25840"/>
      <w:bookmarkStart w:id="137" w:name="_Toc13992"/>
      <w:r>
        <w:rPr>
          <w:rFonts w:hint="default" w:ascii="Times New Roman" w:hAnsi="Times New Roman" w:cs="Times New Roman"/>
          <w:color w:val="auto"/>
          <w:sz w:val="32"/>
          <w:szCs w:val="32"/>
          <w:lang w:val="en-US" w:eastAsia="zh-CN"/>
        </w:rPr>
        <w:t>生态系统现状</w:t>
      </w:r>
      <w:bookmarkEnd w:id="132"/>
      <w:bookmarkEnd w:id="133"/>
      <w:bookmarkEnd w:id="134"/>
      <w:bookmarkEnd w:id="135"/>
      <w:bookmarkEnd w:id="136"/>
      <w:bookmarkEnd w:id="137"/>
    </w:p>
    <w:p w14:paraId="00666CA2">
      <w:pPr>
        <w:bidi w:val="0"/>
        <w:rPr>
          <w:rFonts w:hint="eastAsia"/>
          <w:color w:val="auto"/>
          <w:lang w:val="en-US" w:eastAsia="zh-CN"/>
        </w:rPr>
      </w:pPr>
      <w:r>
        <w:rPr>
          <w:rFonts w:hint="eastAsia"/>
          <w:color w:val="auto"/>
          <w:lang w:val="en-US" w:eastAsia="zh-CN"/>
        </w:rPr>
        <w:t>本项目为河湖整治工程，项目位于涓桥镇，周边开发历史久远、人类活动频繁（如耕作、采伐、旅游开发等），原有的森林植被呈现为过度利用，许多演变成人工栽培植被及少量次生灌草丛植被。</w:t>
      </w:r>
      <w:r>
        <w:rPr>
          <w:rFonts w:hint="default"/>
          <w:color w:val="auto"/>
          <w:lang w:val="zh-CN" w:eastAsia="zh-CN"/>
        </w:rPr>
        <w:t>评价区主要生态系统类</w:t>
      </w:r>
      <w:r>
        <w:rPr>
          <w:rFonts w:hint="eastAsia"/>
          <w:color w:val="auto"/>
          <w:lang w:val="en-US" w:eastAsia="zh-CN"/>
        </w:rPr>
        <w:t>型</w:t>
      </w:r>
      <w:r>
        <w:rPr>
          <w:rFonts w:hint="default"/>
          <w:color w:val="auto"/>
          <w:lang w:val="zh-CN" w:eastAsia="zh-CN"/>
        </w:rPr>
        <w:t>有</w:t>
      </w:r>
      <w:r>
        <w:rPr>
          <w:rFonts w:hint="eastAsia"/>
          <w:color w:val="auto"/>
          <w:lang w:val="en-US" w:eastAsia="zh-CN"/>
        </w:rPr>
        <w:t>森林</w:t>
      </w:r>
      <w:r>
        <w:rPr>
          <w:rFonts w:hint="default"/>
          <w:color w:val="auto"/>
          <w:lang w:val="zh-CN" w:eastAsia="zh-CN"/>
        </w:rPr>
        <w:t>生态系统、</w:t>
      </w:r>
      <w:r>
        <w:rPr>
          <w:rFonts w:hint="eastAsia"/>
          <w:color w:val="auto"/>
          <w:lang w:val="en-US" w:eastAsia="zh-CN"/>
        </w:rPr>
        <w:t>农田生态系统、城镇生态系统、水域生态系统、草地生态系统</w:t>
      </w:r>
      <w:r>
        <w:rPr>
          <w:rFonts w:hint="default"/>
          <w:color w:val="auto"/>
          <w:lang w:val="zh-CN" w:eastAsia="zh-CN"/>
        </w:rPr>
        <w:t>等</w:t>
      </w:r>
      <w:r>
        <w:rPr>
          <w:rFonts w:hint="eastAsia"/>
          <w:color w:val="auto"/>
          <w:lang w:val="en-US" w:eastAsia="zh-CN"/>
        </w:rPr>
        <w:t>（图5.3-6）。</w:t>
      </w:r>
    </w:p>
    <w:p w14:paraId="67451605">
      <w:pPr>
        <w:bidi w:val="0"/>
        <w:rPr>
          <w:rFonts w:hint="eastAsia"/>
          <w:color w:val="auto"/>
          <w:lang w:val="en-US" w:eastAsia="zh-CN"/>
        </w:rPr>
      </w:pPr>
      <w:r>
        <w:rPr>
          <w:rFonts w:hint="default"/>
          <w:color w:val="auto"/>
          <w:lang w:val="zh-CN" w:eastAsia="zh-CN"/>
        </w:rPr>
        <w:t>本次评价通过现场调查</w:t>
      </w:r>
      <w:r>
        <w:rPr>
          <w:rFonts w:hint="eastAsia"/>
          <w:color w:val="auto"/>
          <w:lang w:val="zh-CN" w:eastAsia="zh-CN"/>
        </w:rPr>
        <w:t>结合</w:t>
      </w:r>
      <w:r>
        <w:rPr>
          <w:rFonts w:hint="default"/>
          <w:color w:val="auto"/>
          <w:lang w:val="zh-CN" w:eastAsia="zh-CN"/>
        </w:rPr>
        <w:t>卫星遥感影像解译</w:t>
      </w:r>
      <w:r>
        <w:rPr>
          <w:rFonts w:hint="eastAsia"/>
          <w:color w:val="auto"/>
          <w:lang w:val="zh-CN" w:eastAsia="zh-CN"/>
        </w:rPr>
        <w:t>，</w:t>
      </w:r>
      <w:r>
        <w:rPr>
          <w:rFonts w:hint="default"/>
          <w:color w:val="auto"/>
          <w:lang w:val="zh-CN" w:eastAsia="zh-CN"/>
        </w:rPr>
        <w:t>对</w:t>
      </w:r>
      <w:r>
        <w:rPr>
          <w:rFonts w:hint="eastAsia"/>
          <w:color w:val="auto"/>
          <w:lang w:val="zh-CN" w:eastAsia="zh-CN"/>
        </w:rPr>
        <w:t>评价区</w:t>
      </w:r>
      <w:r>
        <w:rPr>
          <w:rFonts w:hint="eastAsia"/>
          <w:color w:val="auto"/>
          <w:lang w:val="en-US" w:eastAsia="zh-CN"/>
        </w:rPr>
        <w:t>的生态系统</w:t>
      </w:r>
      <w:r>
        <w:rPr>
          <w:rFonts w:hint="default"/>
          <w:color w:val="auto"/>
          <w:lang w:val="zh-CN" w:eastAsia="zh-CN"/>
        </w:rPr>
        <w:t>现状进行调查与分析。</w:t>
      </w:r>
      <w:r>
        <w:rPr>
          <w:rFonts w:hint="eastAsia"/>
          <w:color w:val="auto"/>
          <w:lang w:val="en-US" w:eastAsia="zh-CN"/>
        </w:rPr>
        <w:t>生态系统</w:t>
      </w:r>
      <w:r>
        <w:rPr>
          <w:rFonts w:hint="eastAsia"/>
          <w:color w:val="auto"/>
          <w:lang w:val="zh-CN" w:eastAsia="zh-CN"/>
        </w:rPr>
        <w:t>分类</w:t>
      </w:r>
      <w:r>
        <w:rPr>
          <w:rFonts w:hint="eastAsia"/>
          <w:color w:val="auto"/>
          <w:lang w:val="en-US" w:eastAsia="zh-CN"/>
        </w:rPr>
        <w:t>采取</w:t>
      </w:r>
      <w:r>
        <w:rPr>
          <w:rFonts w:hint="eastAsia"/>
          <w:color w:val="auto"/>
          <w:lang w:val="zh-CN" w:eastAsia="zh-CN"/>
        </w:rPr>
        <w:t>《</w:t>
      </w:r>
      <w:r>
        <w:rPr>
          <w:rFonts w:hint="eastAsia"/>
          <w:color w:val="auto"/>
          <w:lang w:val="en-US" w:eastAsia="zh-CN"/>
        </w:rPr>
        <w:t>全国生态系统状况调查评估技术规范—生态系统遥感解译与野外调查</w:t>
      </w:r>
      <w:r>
        <w:rPr>
          <w:rFonts w:hint="eastAsia"/>
          <w:color w:val="auto"/>
          <w:lang w:val="zh-CN" w:eastAsia="zh-CN"/>
        </w:rPr>
        <w:t>》（</w:t>
      </w:r>
      <w:r>
        <w:rPr>
          <w:rFonts w:hint="eastAsia"/>
          <w:color w:val="auto"/>
          <w:lang w:val="en-US" w:eastAsia="zh-CN"/>
        </w:rPr>
        <w:t>HJ1166</w:t>
      </w:r>
      <w:r>
        <w:rPr>
          <w:rFonts w:hint="eastAsia"/>
          <w:color w:val="auto"/>
          <w:lang w:val="zh-CN" w:eastAsia="zh-CN"/>
        </w:rPr>
        <w:t>-20</w:t>
      </w:r>
      <w:r>
        <w:rPr>
          <w:rFonts w:hint="eastAsia"/>
          <w:color w:val="auto"/>
          <w:lang w:val="en-US" w:eastAsia="zh-CN"/>
        </w:rPr>
        <w:t>21</w:t>
      </w:r>
      <w:r>
        <w:rPr>
          <w:rFonts w:hint="eastAsia"/>
          <w:color w:val="auto"/>
          <w:lang w:val="zh-CN" w:eastAsia="zh-CN"/>
        </w:rPr>
        <w:t>）</w:t>
      </w:r>
      <w:r>
        <w:rPr>
          <w:rFonts w:hint="eastAsia"/>
          <w:color w:val="auto"/>
          <w:lang w:val="en-US" w:eastAsia="zh-CN"/>
        </w:rPr>
        <w:t>分类体系，按</w:t>
      </w:r>
      <w:r>
        <w:rPr>
          <w:rFonts w:hint="eastAsia"/>
          <w:color w:val="auto"/>
          <w:lang w:val="en-US" w:eastAsia="zh-CN"/>
        </w:rPr>
        <w:fldChar w:fldCharType="begin"/>
      </w:r>
      <w:r>
        <w:rPr>
          <w:rFonts w:hint="eastAsia"/>
          <w:color w:val="auto"/>
          <w:lang w:val="en-US" w:eastAsia="zh-CN"/>
        </w:rPr>
        <w:instrText xml:space="preserve"> = 2 \* ROMAN \* MERGEFORMAT </w:instrText>
      </w:r>
      <w:r>
        <w:rPr>
          <w:rFonts w:hint="eastAsia"/>
          <w:color w:val="auto"/>
          <w:lang w:val="en-US" w:eastAsia="zh-CN"/>
        </w:rPr>
        <w:fldChar w:fldCharType="separate"/>
      </w:r>
      <w:r>
        <w:t>II</w:t>
      </w:r>
      <w:r>
        <w:rPr>
          <w:rFonts w:hint="eastAsia"/>
          <w:color w:val="auto"/>
          <w:lang w:val="en-US" w:eastAsia="zh-CN"/>
        </w:rPr>
        <w:fldChar w:fldCharType="end"/>
      </w:r>
      <w:r>
        <w:rPr>
          <w:rFonts w:hint="eastAsia"/>
          <w:color w:val="auto"/>
          <w:lang w:val="zh-CN" w:eastAsia="zh-CN"/>
        </w:rPr>
        <w:t>级类</w:t>
      </w:r>
      <w:r>
        <w:rPr>
          <w:rFonts w:hint="eastAsia"/>
          <w:color w:val="auto"/>
          <w:lang w:val="en-US" w:eastAsia="zh-CN"/>
        </w:rPr>
        <w:t>进行分类。</w:t>
      </w:r>
    </w:p>
    <w:p w14:paraId="24DA83D8">
      <w:pPr>
        <w:bidi w:val="0"/>
        <w:rPr>
          <w:rFonts w:hint="eastAsia"/>
          <w:color w:val="auto"/>
          <w:shd w:val="clear" w:color="auto" w:fill="auto"/>
          <w:lang w:val="en-US" w:eastAsia="zh-CN"/>
        </w:rPr>
      </w:pPr>
      <w:r>
        <w:rPr>
          <w:rFonts w:hint="eastAsia"/>
          <w:color w:val="auto"/>
          <w:lang w:val="en-US" w:eastAsia="zh-CN"/>
        </w:rPr>
        <w:t>评价区生态系统现状评价范围为工程两侧或边界向外延伸1000m（图5.3-6）。评价</w:t>
      </w:r>
      <w:r>
        <w:rPr>
          <w:rFonts w:hint="eastAsia"/>
          <w:color w:val="auto"/>
          <w:shd w:val="clear" w:color="auto" w:fill="auto"/>
          <w:lang w:val="en-US" w:eastAsia="zh-CN"/>
        </w:rPr>
        <w:t>区内生态系统现状见下表。</w:t>
      </w:r>
    </w:p>
    <w:p w14:paraId="06E3BEEF">
      <w:pPr>
        <w:bidi w:val="0"/>
        <w:rPr>
          <w:rFonts w:hint="eastAsia" w:ascii="Times New Roman" w:hAnsi="Times New Roman" w:eastAsia="宋体" w:cs="Times New Roman"/>
          <w:color w:val="auto"/>
          <w:kern w:val="2"/>
          <w:sz w:val="24"/>
          <w:szCs w:val="21"/>
          <w:shd w:val="clear" w:color="auto" w:fill="auto"/>
          <w:lang w:val="en-US" w:eastAsia="zh-CN" w:bidi="ar-SA"/>
        </w:rPr>
      </w:pPr>
      <w:r>
        <w:rPr>
          <w:rFonts w:hint="eastAsia" w:ascii="Times New Roman" w:hAnsi="Times New Roman" w:eastAsia="宋体" w:cs="Times New Roman"/>
          <w:color w:val="auto"/>
          <w:kern w:val="2"/>
          <w:sz w:val="24"/>
          <w:szCs w:val="21"/>
          <w:shd w:val="clear" w:color="auto" w:fill="auto"/>
          <w:lang w:val="en-US" w:eastAsia="zh-CN" w:bidi="ar-SA"/>
        </w:rPr>
        <w:t>可以看出，评价区最主要的生态系统类型为</w:t>
      </w:r>
      <w:r>
        <w:rPr>
          <w:rFonts w:hint="eastAsia" w:cs="Times New Roman"/>
          <w:color w:val="auto"/>
          <w:kern w:val="2"/>
          <w:sz w:val="24"/>
          <w:szCs w:val="21"/>
          <w:shd w:val="clear" w:color="auto" w:fill="auto"/>
          <w:lang w:val="en-US" w:eastAsia="zh-CN" w:bidi="ar-SA"/>
        </w:rPr>
        <w:t>森林</w:t>
      </w:r>
      <w:r>
        <w:rPr>
          <w:rFonts w:hint="eastAsia" w:ascii="Times New Roman" w:hAnsi="Times New Roman" w:eastAsia="宋体" w:cs="Times New Roman"/>
          <w:color w:val="auto"/>
          <w:kern w:val="2"/>
          <w:sz w:val="24"/>
          <w:szCs w:val="21"/>
          <w:shd w:val="clear" w:color="auto" w:fill="auto"/>
          <w:lang w:val="en-US" w:eastAsia="zh-CN" w:bidi="ar-SA"/>
        </w:rPr>
        <w:t>生态系统，为902.21</w:t>
      </w:r>
      <w:r>
        <w:rPr>
          <w:rFonts w:hint="eastAsia" w:cs="Times New Roman"/>
          <w:color w:val="auto"/>
          <w:kern w:val="2"/>
          <w:sz w:val="24"/>
          <w:szCs w:val="21"/>
          <w:shd w:val="clear" w:color="auto" w:fill="auto"/>
          <w:lang w:val="en-US" w:eastAsia="zh-CN" w:bidi="ar-SA"/>
        </w:rPr>
        <w:t>h</w:t>
      </w:r>
      <w:r>
        <w:rPr>
          <w:rFonts w:hint="eastAsia" w:ascii="Times New Roman" w:hAnsi="Times New Roman" w:eastAsia="宋体" w:cs="Times New Roman"/>
          <w:color w:val="auto"/>
          <w:kern w:val="2"/>
          <w:sz w:val="24"/>
          <w:szCs w:val="21"/>
          <w:shd w:val="clear" w:color="auto" w:fill="auto"/>
          <w:lang w:val="en-US" w:eastAsia="zh-CN" w:bidi="ar-SA"/>
        </w:rPr>
        <w:t>m</w:t>
      </w:r>
      <w:r>
        <w:rPr>
          <w:rFonts w:hint="eastAsia" w:ascii="Times New Roman" w:hAnsi="Times New Roman" w:eastAsia="宋体" w:cs="Times New Roman"/>
          <w:color w:val="auto"/>
          <w:kern w:val="2"/>
          <w:sz w:val="24"/>
          <w:szCs w:val="21"/>
          <w:shd w:val="clear" w:color="auto" w:fill="auto"/>
          <w:vertAlign w:val="superscript"/>
          <w:lang w:val="en-US" w:eastAsia="zh-CN" w:bidi="ar-SA"/>
        </w:rPr>
        <w:t>2</w:t>
      </w:r>
      <w:r>
        <w:rPr>
          <w:rFonts w:hint="eastAsia" w:ascii="Times New Roman" w:hAnsi="Times New Roman" w:eastAsia="宋体" w:cs="Times New Roman"/>
          <w:color w:val="auto"/>
          <w:kern w:val="2"/>
          <w:sz w:val="24"/>
          <w:szCs w:val="21"/>
          <w:shd w:val="clear" w:color="auto" w:fill="auto"/>
          <w:lang w:val="en-US" w:eastAsia="zh-CN" w:bidi="ar-SA"/>
        </w:rPr>
        <w:t>，占评价区面积的比例为45.12%。</w:t>
      </w:r>
    </w:p>
    <w:p w14:paraId="6E098C23">
      <w:pPr>
        <w:pStyle w:val="11"/>
        <w:bidi w:val="0"/>
        <w:rPr>
          <w:rFonts w:hint="eastAsia"/>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2</w:t>
      </w:r>
      <w:r>
        <w:rPr>
          <w:color w:val="auto"/>
        </w:rPr>
        <w:fldChar w:fldCharType="end"/>
      </w:r>
      <w:r>
        <w:rPr>
          <w:rFonts w:hint="eastAsia"/>
          <w:color w:val="auto"/>
        </w:rPr>
        <w:t>评价区生态系统现状</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87"/>
        <w:gridCol w:w="1001"/>
        <w:gridCol w:w="1022"/>
        <w:gridCol w:w="922"/>
        <w:gridCol w:w="1146"/>
        <w:gridCol w:w="1258"/>
        <w:gridCol w:w="1280"/>
        <w:gridCol w:w="1272"/>
      </w:tblGrid>
      <w:tr w14:paraId="46C96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ED399">
            <w:pPr>
              <w:pStyle w:val="31"/>
              <w:bidi w:val="0"/>
              <w:jc w:val="center"/>
              <w:rPr>
                <w:rFonts w:hint="eastAsia"/>
                <w:color w:val="auto"/>
              </w:rPr>
            </w:pPr>
            <w:r>
              <w:rPr>
                <w:rFonts w:hint="eastAsia"/>
                <w:color w:val="auto"/>
                <w:lang w:val="en-US" w:eastAsia="zh-CN"/>
              </w:rPr>
              <w:t>生态系统</w:t>
            </w: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A0AB4">
            <w:pPr>
              <w:pStyle w:val="31"/>
              <w:bidi w:val="0"/>
              <w:jc w:val="center"/>
              <w:rPr>
                <w:rFonts w:hint="eastAsia"/>
                <w:color w:val="auto"/>
              </w:rPr>
            </w:pPr>
            <w:r>
              <w:rPr>
                <w:rFonts w:hint="eastAsia"/>
                <w:color w:val="auto"/>
                <w:lang w:val="en-US" w:eastAsia="zh-CN"/>
              </w:rPr>
              <w:t>森林生态系统</w:t>
            </w: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200AC">
            <w:pPr>
              <w:pStyle w:val="31"/>
              <w:bidi w:val="0"/>
              <w:jc w:val="center"/>
              <w:rPr>
                <w:rFonts w:hint="eastAsia"/>
                <w:color w:val="auto"/>
              </w:rPr>
            </w:pPr>
            <w:r>
              <w:rPr>
                <w:rFonts w:hint="eastAsia"/>
                <w:color w:val="auto"/>
                <w:lang w:val="en-US" w:eastAsia="zh-CN"/>
              </w:rPr>
              <w:t>灌丛生态系统</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586D">
            <w:pPr>
              <w:pStyle w:val="31"/>
              <w:bidi w:val="0"/>
              <w:jc w:val="center"/>
              <w:rPr>
                <w:rFonts w:hint="eastAsia"/>
                <w:color w:val="auto"/>
              </w:rPr>
            </w:pPr>
            <w:r>
              <w:rPr>
                <w:rFonts w:hint="eastAsia"/>
                <w:color w:val="auto"/>
                <w:lang w:val="en-US" w:eastAsia="zh-CN"/>
              </w:rPr>
              <w:t>草地生态系统</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5B472">
            <w:pPr>
              <w:pStyle w:val="31"/>
              <w:bidi w:val="0"/>
              <w:jc w:val="center"/>
              <w:rPr>
                <w:rFonts w:hint="eastAsia"/>
                <w:color w:val="auto"/>
              </w:rPr>
            </w:pPr>
            <w:r>
              <w:rPr>
                <w:rFonts w:hint="eastAsia"/>
                <w:color w:val="auto"/>
                <w:lang w:val="en-US" w:eastAsia="zh-CN"/>
              </w:rPr>
              <w:t>农田生态系统</w:t>
            </w:r>
          </w:p>
        </w:tc>
        <w:tc>
          <w:tcPr>
            <w:tcW w:w="13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A936F">
            <w:pPr>
              <w:pStyle w:val="31"/>
              <w:bidi w:val="0"/>
              <w:jc w:val="center"/>
              <w:rPr>
                <w:rFonts w:hint="eastAsia"/>
                <w:color w:val="auto"/>
              </w:rPr>
            </w:pPr>
            <w:r>
              <w:rPr>
                <w:rFonts w:hint="eastAsia"/>
                <w:color w:val="auto"/>
                <w:lang w:val="en-US" w:eastAsia="zh-CN"/>
              </w:rPr>
              <w:t>湿地生态系统</w:t>
            </w:r>
          </w:p>
        </w:tc>
        <w:tc>
          <w:tcPr>
            <w:tcW w:w="1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C0B3">
            <w:pPr>
              <w:pStyle w:val="31"/>
              <w:bidi w:val="0"/>
              <w:jc w:val="center"/>
              <w:rPr>
                <w:rFonts w:hint="eastAsia"/>
                <w:color w:val="auto"/>
              </w:rPr>
            </w:pPr>
            <w:r>
              <w:rPr>
                <w:rFonts w:hint="eastAsia"/>
                <w:color w:val="auto"/>
                <w:lang w:val="en-US" w:eastAsia="zh-CN"/>
              </w:rPr>
              <w:t>城镇生态系统</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DDA6">
            <w:pPr>
              <w:pStyle w:val="31"/>
              <w:bidi w:val="0"/>
              <w:jc w:val="center"/>
              <w:rPr>
                <w:rFonts w:hint="eastAsia"/>
                <w:color w:val="auto"/>
              </w:rPr>
            </w:pPr>
            <w:r>
              <w:rPr>
                <w:rFonts w:hint="eastAsia"/>
                <w:color w:val="auto"/>
                <w:lang w:val="en-US" w:eastAsia="zh-CN"/>
              </w:rPr>
              <w:t>总和</w:t>
            </w:r>
          </w:p>
        </w:tc>
      </w:tr>
      <w:tr w14:paraId="7852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464BE">
            <w:pPr>
              <w:pStyle w:val="31"/>
              <w:bidi w:val="0"/>
              <w:jc w:val="center"/>
              <w:rPr>
                <w:rFonts w:hint="eastAsia"/>
                <w:color w:val="auto"/>
              </w:rPr>
            </w:pPr>
            <w:r>
              <w:rPr>
                <w:rFonts w:hint="eastAsia"/>
                <w:color w:val="auto"/>
                <w:lang w:val="en-US" w:eastAsia="zh-CN"/>
              </w:rPr>
              <w:t>面积（公顷）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689E">
            <w:pPr>
              <w:pStyle w:val="31"/>
              <w:bidi w:val="0"/>
              <w:jc w:val="center"/>
              <w:rPr>
                <w:rFonts w:hint="eastAsia"/>
                <w:color w:val="auto"/>
              </w:rPr>
            </w:pPr>
            <w:r>
              <w:rPr>
                <w:rFonts w:hint="eastAsia"/>
                <w:color w:val="auto"/>
                <w:lang w:val="en-US" w:eastAsia="zh-CN"/>
              </w:rPr>
              <w:t>902.21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578FF">
            <w:pPr>
              <w:pStyle w:val="31"/>
              <w:bidi w:val="0"/>
              <w:jc w:val="center"/>
              <w:rPr>
                <w:rFonts w:hint="eastAsia"/>
                <w:color w:val="auto"/>
              </w:rPr>
            </w:pPr>
            <w:r>
              <w:rPr>
                <w:rFonts w:hint="eastAsia"/>
                <w:color w:val="auto"/>
                <w:lang w:val="en-US" w:eastAsia="zh-CN"/>
              </w:rPr>
              <w:t>45.09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780B">
            <w:pPr>
              <w:pStyle w:val="31"/>
              <w:bidi w:val="0"/>
              <w:jc w:val="center"/>
              <w:rPr>
                <w:rFonts w:hint="eastAsia"/>
                <w:color w:val="auto"/>
              </w:rPr>
            </w:pPr>
            <w:r>
              <w:rPr>
                <w:rFonts w:hint="eastAsia"/>
                <w:color w:val="auto"/>
                <w:lang w:val="en-US" w:eastAsia="zh-CN"/>
              </w:rPr>
              <w:t>62.17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148C0">
            <w:pPr>
              <w:pStyle w:val="31"/>
              <w:bidi w:val="0"/>
              <w:jc w:val="center"/>
              <w:rPr>
                <w:rFonts w:hint="eastAsia"/>
                <w:color w:val="auto"/>
              </w:rPr>
            </w:pPr>
            <w:r>
              <w:rPr>
                <w:rFonts w:hint="eastAsia"/>
                <w:color w:val="auto"/>
                <w:lang w:val="en-US" w:eastAsia="zh-CN"/>
              </w:rPr>
              <w:t>409.90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436A">
            <w:pPr>
              <w:pStyle w:val="31"/>
              <w:bidi w:val="0"/>
              <w:jc w:val="center"/>
              <w:rPr>
                <w:rFonts w:hint="eastAsia"/>
                <w:color w:val="auto"/>
              </w:rPr>
            </w:pPr>
            <w:r>
              <w:rPr>
                <w:rFonts w:hint="eastAsia"/>
                <w:color w:val="auto"/>
                <w:lang w:val="en-US" w:eastAsia="zh-CN"/>
              </w:rPr>
              <w:t>429.40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B9F9">
            <w:pPr>
              <w:pStyle w:val="31"/>
              <w:bidi w:val="0"/>
              <w:jc w:val="center"/>
              <w:rPr>
                <w:rFonts w:hint="eastAsia"/>
                <w:color w:val="auto"/>
              </w:rPr>
            </w:pPr>
            <w:r>
              <w:rPr>
                <w:rFonts w:hint="eastAsia"/>
                <w:color w:val="auto"/>
                <w:lang w:val="en-US" w:eastAsia="zh-CN"/>
              </w:rPr>
              <w:t>150.98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9F87">
            <w:pPr>
              <w:pStyle w:val="31"/>
              <w:bidi w:val="0"/>
              <w:jc w:val="center"/>
              <w:rPr>
                <w:rFonts w:hint="eastAsia"/>
                <w:color w:val="auto"/>
              </w:rPr>
            </w:pPr>
            <w:r>
              <w:rPr>
                <w:rFonts w:hint="eastAsia"/>
                <w:color w:val="auto"/>
                <w:lang w:val="en-US" w:eastAsia="zh-CN"/>
              </w:rPr>
              <w:t>1999.75</w:t>
            </w:r>
          </w:p>
        </w:tc>
      </w:tr>
      <w:tr w14:paraId="7236C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0414">
            <w:pPr>
              <w:pStyle w:val="31"/>
              <w:bidi w:val="0"/>
              <w:jc w:val="center"/>
              <w:rPr>
                <w:rFonts w:hint="eastAsia"/>
                <w:color w:val="auto"/>
              </w:rPr>
            </w:pPr>
            <w:r>
              <w:rPr>
                <w:rFonts w:hint="eastAsia"/>
                <w:color w:val="auto"/>
                <w:lang w:val="en-US" w:eastAsia="zh-CN"/>
              </w:rPr>
              <w:t>占比（%）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CA189">
            <w:pPr>
              <w:pStyle w:val="31"/>
              <w:bidi w:val="0"/>
              <w:jc w:val="center"/>
              <w:rPr>
                <w:rFonts w:hint="eastAsia"/>
                <w:color w:val="auto"/>
              </w:rPr>
            </w:pPr>
            <w:r>
              <w:rPr>
                <w:rFonts w:hint="eastAsia"/>
                <w:color w:val="auto"/>
                <w:lang w:val="en-US" w:eastAsia="zh-CN"/>
              </w:rPr>
              <w:t>45.12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7D1C7">
            <w:pPr>
              <w:pStyle w:val="31"/>
              <w:bidi w:val="0"/>
              <w:jc w:val="center"/>
              <w:rPr>
                <w:rFonts w:hint="eastAsia"/>
                <w:color w:val="auto"/>
              </w:rPr>
            </w:pPr>
            <w:r>
              <w:rPr>
                <w:rFonts w:hint="eastAsia"/>
                <w:color w:val="auto"/>
                <w:lang w:val="en-US" w:eastAsia="zh-CN"/>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3955">
            <w:pPr>
              <w:pStyle w:val="31"/>
              <w:bidi w:val="0"/>
              <w:jc w:val="center"/>
              <w:rPr>
                <w:rFonts w:hint="eastAsia"/>
                <w:color w:val="auto"/>
              </w:rPr>
            </w:pPr>
            <w:r>
              <w:rPr>
                <w:rFonts w:hint="eastAsia"/>
                <w:color w:val="auto"/>
                <w:lang w:val="en-US" w:eastAsia="zh-CN"/>
              </w:rPr>
              <w:t>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3D76">
            <w:pPr>
              <w:pStyle w:val="31"/>
              <w:bidi w:val="0"/>
              <w:jc w:val="center"/>
              <w:rPr>
                <w:rFonts w:hint="eastAsia"/>
                <w:color w:val="auto"/>
              </w:rPr>
            </w:pPr>
            <w:r>
              <w:rPr>
                <w:rFonts w:hint="eastAsia"/>
                <w:color w:val="auto"/>
                <w:lang w:val="en-US" w:eastAsia="zh-CN"/>
              </w:rPr>
              <w:t>20.50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8614F">
            <w:pPr>
              <w:pStyle w:val="31"/>
              <w:bidi w:val="0"/>
              <w:jc w:val="center"/>
              <w:rPr>
                <w:rFonts w:hint="eastAsia"/>
                <w:color w:val="auto"/>
              </w:rPr>
            </w:pPr>
            <w:r>
              <w:rPr>
                <w:rFonts w:hint="eastAsia"/>
                <w:color w:val="auto"/>
                <w:lang w:val="en-US" w:eastAsia="zh-CN"/>
              </w:rPr>
              <w:t>21.47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FA95">
            <w:pPr>
              <w:pStyle w:val="31"/>
              <w:bidi w:val="0"/>
              <w:jc w:val="center"/>
              <w:rPr>
                <w:rFonts w:hint="eastAsia"/>
                <w:color w:val="auto"/>
              </w:rPr>
            </w:pPr>
            <w:r>
              <w:rPr>
                <w:rFonts w:hint="eastAsia"/>
                <w:color w:val="auto"/>
                <w:lang w:val="en-US" w:eastAsia="zh-CN"/>
              </w:rPr>
              <w:t>7.55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21ED3">
            <w:pPr>
              <w:pStyle w:val="31"/>
              <w:bidi w:val="0"/>
              <w:jc w:val="center"/>
              <w:rPr>
                <w:rFonts w:hint="eastAsia"/>
                <w:color w:val="auto"/>
              </w:rPr>
            </w:pPr>
            <w:r>
              <w:rPr>
                <w:rFonts w:hint="eastAsia"/>
                <w:color w:val="auto"/>
                <w:lang w:val="en-US" w:eastAsia="zh-CN"/>
              </w:rPr>
              <w:t>100.00</w:t>
            </w:r>
          </w:p>
        </w:tc>
      </w:tr>
      <w:tr w14:paraId="2B7D2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28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1C947">
            <w:pPr>
              <w:pStyle w:val="31"/>
              <w:bidi w:val="0"/>
              <w:jc w:val="both"/>
              <w:rPr>
                <w:rFonts w:hint="eastAsia"/>
                <w:color w:val="auto"/>
                <w:lang w:val="en-US" w:eastAsia="zh-CN"/>
              </w:rPr>
            </w:pPr>
            <w:r>
              <w:rPr>
                <w:color w:val="auto"/>
              </w:rPr>
              <w:drawing>
                <wp:inline distT="0" distB="0" distL="114300" distR="114300">
                  <wp:extent cx="5756275" cy="2676525"/>
                  <wp:effectExtent l="4445" t="4445" r="11430" b="5080"/>
                  <wp:docPr id="1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r>
    </w:tbl>
    <w:p w14:paraId="62A5D267">
      <w:pPr>
        <w:pStyle w:val="11"/>
        <w:bidi w:val="0"/>
        <w:jc w:val="both"/>
        <w:rPr>
          <w:rFonts w:hint="eastAsia"/>
          <w:color w:val="auto"/>
        </w:rPr>
      </w:pPr>
    </w:p>
    <w:p w14:paraId="2CB3A05B">
      <w:pPr>
        <w:pStyle w:val="31"/>
        <w:bidi w:val="0"/>
        <w:rPr>
          <w:rFonts w:hint="eastAsia"/>
          <w:color w:val="auto"/>
          <w:lang w:eastAsia="zh-CN"/>
        </w:rPr>
      </w:pPr>
      <w:r>
        <w:rPr>
          <w:rFonts w:hint="eastAsia"/>
          <w:color w:val="auto"/>
          <w:lang w:eastAsia="zh-CN"/>
        </w:rPr>
        <w:drawing>
          <wp:inline distT="0" distB="0" distL="114300" distR="114300">
            <wp:extent cx="5755005" cy="8134985"/>
            <wp:effectExtent l="0" t="0" r="17145" b="18415"/>
            <wp:docPr id="5" name="图片 5" descr="生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生态"/>
                    <pic:cNvPicPr>
                      <a:picLocks noChangeAspect="1"/>
                    </pic:cNvPicPr>
                  </pic:nvPicPr>
                  <pic:blipFill>
                    <a:blip r:embed="rId51"/>
                    <a:stretch>
                      <a:fillRect/>
                    </a:stretch>
                  </pic:blipFill>
                  <pic:spPr>
                    <a:xfrm>
                      <a:off x="0" y="0"/>
                      <a:ext cx="5755005" cy="8134985"/>
                    </a:xfrm>
                    <a:prstGeom prst="rect">
                      <a:avLst/>
                    </a:prstGeom>
                  </pic:spPr>
                </pic:pic>
              </a:graphicData>
            </a:graphic>
          </wp:inline>
        </w:drawing>
      </w:r>
    </w:p>
    <w:p w14:paraId="7E3DB86B">
      <w:pPr>
        <w:pStyle w:val="11"/>
        <w:bidi w:val="0"/>
        <w:rPr>
          <w:rFonts w:hint="eastAsia"/>
          <w:color w:val="auto"/>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2</w:t>
      </w:r>
      <w:r>
        <w:rPr>
          <w:color w:val="auto"/>
        </w:rPr>
        <w:fldChar w:fldCharType="end"/>
      </w:r>
      <w:r>
        <w:rPr>
          <w:rFonts w:hint="eastAsia"/>
          <w:color w:val="auto"/>
        </w:rPr>
        <w:t>评价区生态系统现状图</w:t>
      </w:r>
    </w:p>
    <w:p w14:paraId="13874CA6">
      <w:pPr>
        <w:pStyle w:val="4"/>
        <w:bidi w:val="0"/>
        <w:rPr>
          <w:rFonts w:hint="default"/>
          <w:color w:val="auto"/>
          <w:lang w:val="zh-CN" w:eastAsia="zh-CN"/>
        </w:rPr>
      </w:pPr>
      <w:bookmarkStart w:id="138" w:name="_Toc7940"/>
      <w:r>
        <w:rPr>
          <w:rFonts w:hint="eastAsia"/>
          <w:color w:val="auto"/>
          <w:lang w:val="en-US" w:eastAsia="zh-CN"/>
        </w:rPr>
        <w:t>土地利用现状</w:t>
      </w:r>
      <w:bookmarkEnd w:id="138"/>
    </w:p>
    <w:p w14:paraId="4082963A">
      <w:pPr>
        <w:bidi w:val="0"/>
        <w:rPr>
          <w:rFonts w:hint="eastAsia"/>
          <w:color w:val="auto"/>
          <w:lang w:val="en-US" w:eastAsia="zh-CN"/>
        </w:rPr>
      </w:pPr>
      <w:r>
        <w:rPr>
          <w:rFonts w:hint="default"/>
          <w:color w:val="auto"/>
          <w:lang w:val="zh-CN" w:eastAsia="zh-CN"/>
        </w:rPr>
        <w:t>本次评价通过现场调查</w:t>
      </w:r>
      <w:r>
        <w:rPr>
          <w:rFonts w:hint="eastAsia"/>
          <w:color w:val="auto"/>
          <w:lang w:val="zh-CN" w:eastAsia="zh-CN"/>
        </w:rPr>
        <w:t>结合</w:t>
      </w:r>
      <w:r>
        <w:rPr>
          <w:rFonts w:hint="default"/>
          <w:color w:val="auto"/>
          <w:lang w:val="zh-CN" w:eastAsia="zh-CN"/>
        </w:rPr>
        <w:t>卫星遥感影像解译</w:t>
      </w:r>
      <w:r>
        <w:rPr>
          <w:rFonts w:hint="eastAsia"/>
          <w:color w:val="auto"/>
          <w:lang w:val="zh-CN" w:eastAsia="zh-CN"/>
        </w:rPr>
        <w:t>，</w:t>
      </w:r>
      <w:r>
        <w:rPr>
          <w:rFonts w:hint="default"/>
          <w:color w:val="auto"/>
          <w:lang w:val="zh-CN" w:eastAsia="zh-CN"/>
        </w:rPr>
        <w:t>对</w:t>
      </w:r>
      <w:r>
        <w:rPr>
          <w:rFonts w:hint="eastAsia"/>
          <w:color w:val="auto"/>
          <w:lang w:val="zh-CN" w:eastAsia="zh-CN"/>
        </w:rPr>
        <w:t>评价区</w:t>
      </w:r>
      <w:r>
        <w:rPr>
          <w:rFonts w:hint="eastAsia"/>
          <w:color w:val="auto"/>
          <w:lang w:val="en-US" w:eastAsia="zh-CN"/>
        </w:rPr>
        <w:t>的</w:t>
      </w:r>
      <w:r>
        <w:rPr>
          <w:rFonts w:hint="default"/>
          <w:color w:val="auto"/>
          <w:lang w:val="zh-CN" w:eastAsia="zh-CN"/>
        </w:rPr>
        <w:t>土地利用现状进行调查与分析</w:t>
      </w:r>
      <w:r>
        <w:rPr>
          <w:rFonts w:hint="eastAsia"/>
          <w:color w:val="auto"/>
          <w:lang w:val="zh-CN" w:eastAsia="zh-CN"/>
        </w:rPr>
        <w:t>，土地利用分类</w:t>
      </w:r>
      <w:r>
        <w:rPr>
          <w:rFonts w:hint="eastAsia"/>
          <w:color w:val="auto"/>
          <w:lang w:val="en-US" w:eastAsia="zh-CN"/>
        </w:rPr>
        <w:t>采取</w:t>
      </w:r>
      <w:r>
        <w:rPr>
          <w:rFonts w:hint="eastAsia"/>
          <w:color w:val="auto"/>
          <w:lang w:val="zh-CN" w:eastAsia="zh-CN"/>
        </w:rPr>
        <w:t>《土地利用现状分类》（GB</w:t>
      </w:r>
      <w:r>
        <w:rPr>
          <w:rFonts w:hint="eastAsia"/>
          <w:color w:val="auto"/>
          <w:lang w:val="en-US" w:eastAsia="zh-CN"/>
        </w:rPr>
        <w:t>/</w:t>
      </w:r>
      <w:r>
        <w:rPr>
          <w:rFonts w:hint="eastAsia"/>
          <w:color w:val="auto"/>
          <w:lang w:val="zh-CN" w:eastAsia="zh-CN"/>
        </w:rPr>
        <w:t>T21010-2017）</w:t>
      </w:r>
      <w:r>
        <w:rPr>
          <w:rFonts w:hint="eastAsia"/>
          <w:color w:val="auto"/>
          <w:lang w:val="en-US" w:eastAsia="zh-CN"/>
        </w:rPr>
        <w:t>分类体系，按二</w:t>
      </w:r>
      <w:r>
        <w:rPr>
          <w:rFonts w:hint="eastAsia"/>
          <w:color w:val="auto"/>
          <w:lang w:val="zh-CN" w:eastAsia="zh-CN"/>
        </w:rPr>
        <w:t>级类</w:t>
      </w:r>
      <w:r>
        <w:rPr>
          <w:rFonts w:hint="eastAsia"/>
          <w:color w:val="auto"/>
          <w:lang w:val="en-US" w:eastAsia="zh-CN"/>
        </w:rPr>
        <w:t>进行分类。</w:t>
      </w:r>
    </w:p>
    <w:p w14:paraId="4703482B">
      <w:pPr>
        <w:bidi w:val="0"/>
        <w:rPr>
          <w:rFonts w:hint="default"/>
          <w:color w:val="auto"/>
          <w:lang w:val="en-US" w:eastAsia="zh-CN"/>
        </w:rPr>
      </w:pPr>
      <w:r>
        <w:rPr>
          <w:rFonts w:hint="eastAsia"/>
          <w:color w:val="auto"/>
          <w:lang w:val="en-US" w:eastAsia="zh-CN"/>
        </w:rPr>
        <w:t>评价区土地利用现状评价范围为工程两侧或边界向外延伸1000m（图5.3-8）。</w:t>
      </w:r>
    </w:p>
    <w:p w14:paraId="3E78E024">
      <w:pPr>
        <w:bidi w:val="0"/>
        <w:rPr>
          <w:rFonts w:hint="eastAsia" w:ascii="Times New Roman" w:hAnsi="Times New Roman" w:eastAsia="宋体" w:cs="Times New Roman"/>
          <w:color w:val="auto"/>
          <w:kern w:val="2"/>
          <w:sz w:val="24"/>
          <w:szCs w:val="21"/>
          <w:lang w:val="en-US" w:eastAsia="zh-CN" w:bidi="ar-SA"/>
        </w:rPr>
      </w:pPr>
      <w:r>
        <w:rPr>
          <w:rFonts w:hint="eastAsia" w:ascii="Times New Roman" w:hAnsi="Times New Roman" w:eastAsia="宋体" w:cs="Times New Roman"/>
          <w:color w:val="auto"/>
          <w:kern w:val="2"/>
          <w:sz w:val="24"/>
          <w:szCs w:val="21"/>
          <w:lang w:val="en-US" w:eastAsia="zh-CN" w:bidi="ar-SA"/>
        </w:rPr>
        <w:t>评价区内土地利用现状见下表下图。可以看出，评价区最主要的土地利用类型为</w:t>
      </w:r>
      <w:r>
        <w:rPr>
          <w:rFonts w:hint="eastAsia" w:cs="Times New Roman"/>
          <w:color w:val="auto"/>
          <w:kern w:val="2"/>
          <w:sz w:val="24"/>
          <w:szCs w:val="21"/>
          <w:lang w:val="en-US" w:eastAsia="zh-CN" w:bidi="ar-SA"/>
        </w:rPr>
        <w:t>林地</w:t>
      </w:r>
      <w:r>
        <w:rPr>
          <w:rFonts w:hint="eastAsia" w:ascii="Times New Roman" w:hAnsi="Times New Roman" w:eastAsia="宋体" w:cs="Times New Roman"/>
          <w:color w:val="auto"/>
          <w:kern w:val="2"/>
          <w:sz w:val="24"/>
          <w:szCs w:val="21"/>
          <w:lang w:val="en-US" w:eastAsia="zh-CN" w:bidi="ar-SA"/>
        </w:rPr>
        <w:t>，为</w:t>
      </w:r>
      <w:r>
        <w:rPr>
          <w:rFonts w:hint="eastAsia"/>
          <w:color w:val="auto"/>
          <w:lang w:val="en-US" w:eastAsia="zh-CN"/>
        </w:rPr>
        <w:t>933.54h</w:t>
      </w:r>
      <w:r>
        <w:rPr>
          <w:rFonts w:hint="eastAsia" w:ascii="Times New Roman" w:hAnsi="Times New Roman" w:eastAsia="宋体" w:cs="Times New Roman"/>
          <w:color w:val="auto"/>
          <w:kern w:val="2"/>
          <w:sz w:val="24"/>
          <w:szCs w:val="21"/>
          <w:lang w:val="en-US" w:eastAsia="zh-CN" w:bidi="ar-SA"/>
        </w:rPr>
        <w:t>m</w:t>
      </w:r>
      <w:r>
        <w:rPr>
          <w:rFonts w:hint="eastAsia" w:ascii="Times New Roman" w:hAnsi="Times New Roman" w:eastAsia="宋体" w:cs="Times New Roman"/>
          <w:color w:val="auto"/>
          <w:kern w:val="2"/>
          <w:sz w:val="24"/>
          <w:szCs w:val="21"/>
          <w:vertAlign w:val="superscript"/>
          <w:lang w:val="en-US" w:eastAsia="zh-CN" w:bidi="ar-SA"/>
        </w:rPr>
        <w:t>2</w:t>
      </w:r>
      <w:r>
        <w:rPr>
          <w:rFonts w:hint="eastAsia" w:ascii="Times New Roman" w:hAnsi="Times New Roman" w:eastAsia="宋体" w:cs="Times New Roman"/>
          <w:color w:val="auto"/>
          <w:kern w:val="2"/>
          <w:sz w:val="24"/>
          <w:szCs w:val="21"/>
          <w:lang w:val="en-US" w:eastAsia="zh-CN" w:bidi="ar-SA"/>
        </w:rPr>
        <w:t>，占评价区面积的比例为</w:t>
      </w:r>
      <w:r>
        <w:rPr>
          <w:rFonts w:hint="eastAsia"/>
          <w:color w:val="auto"/>
          <w:lang w:val="en-US" w:eastAsia="zh-CN"/>
        </w:rPr>
        <w:t>46.68</w:t>
      </w:r>
      <w:r>
        <w:rPr>
          <w:rFonts w:hint="eastAsia" w:ascii="Times New Roman" w:hAnsi="Times New Roman" w:eastAsia="宋体" w:cs="Times New Roman"/>
          <w:color w:val="auto"/>
          <w:kern w:val="2"/>
          <w:sz w:val="24"/>
          <w:szCs w:val="21"/>
          <w:lang w:val="en-US" w:eastAsia="zh-CN" w:bidi="ar-SA"/>
        </w:rPr>
        <w:t>%。</w:t>
      </w:r>
    </w:p>
    <w:p w14:paraId="1D9107E1">
      <w:pPr>
        <w:pStyle w:val="11"/>
        <w:bidi w:val="0"/>
        <w:rPr>
          <w:rFonts w:hint="eastAsia"/>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3</w:t>
      </w:r>
      <w:r>
        <w:rPr>
          <w:color w:val="auto"/>
        </w:rPr>
        <w:fldChar w:fldCharType="end"/>
      </w:r>
      <w:r>
        <w:rPr>
          <w:rFonts w:hint="eastAsia"/>
          <w:color w:val="auto"/>
        </w:rPr>
        <w:t>评价区土地利用现状</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60"/>
        <w:gridCol w:w="992"/>
        <w:gridCol w:w="1013"/>
        <w:gridCol w:w="914"/>
        <w:gridCol w:w="1135"/>
        <w:gridCol w:w="1246"/>
        <w:gridCol w:w="1268"/>
        <w:gridCol w:w="1260"/>
      </w:tblGrid>
      <w:tr w14:paraId="6E728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B0BC">
            <w:pPr>
              <w:pStyle w:val="31"/>
              <w:bidi w:val="0"/>
              <w:jc w:val="center"/>
              <w:rPr>
                <w:rFonts w:hint="eastAsia"/>
                <w:color w:val="auto"/>
              </w:rPr>
            </w:pPr>
            <w:r>
              <w:rPr>
                <w:rFonts w:hint="eastAsia"/>
                <w:color w:val="auto"/>
                <w:lang w:val="en-US" w:eastAsia="zh-CN"/>
              </w:rPr>
              <w:t>土地类型</w:t>
            </w:r>
          </w:p>
        </w:tc>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E66B">
            <w:pPr>
              <w:pStyle w:val="31"/>
              <w:bidi w:val="0"/>
              <w:jc w:val="center"/>
              <w:rPr>
                <w:rFonts w:hint="eastAsia"/>
                <w:color w:val="auto"/>
              </w:rPr>
            </w:pPr>
            <w:r>
              <w:rPr>
                <w:rFonts w:hint="eastAsia"/>
                <w:color w:val="auto"/>
                <w:lang w:val="en-US" w:eastAsia="zh-CN"/>
              </w:rPr>
              <w:t>林地</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2CBA">
            <w:pPr>
              <w:pStyle w:val="31"/>
              <w:bidi w:val="0"/>
              <w:jc w:val="center"/>
              <w:rPr>
                <w:rFonts w:hint="eastAsia"/>
                <w:color w:val="auto"/>
              </w:rPr>
            </w:pPr>
            <w:r>
              <w:rPr>
                <w:rFonts w:hint="eastAsia"/>
                <w:color w:val="auto"/>
                <w:lang w:val="en-US" w:eastAsia="zh-CN"/>
              </w:rPr>
              <w:t>草地</w:t>
            </w: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47BB">
            <w:pPr>
              <w:pStyle w:val="31"/>
              <w:bidi w:val="0"/>
              <w:jc w:val="center"/>
              <w:rPr>
                <w:rFonts w:hint="eastAsia"/>
                <w:color w:val="auto"/>
              </w:rPr>
            </w:pPr>
            <w:r>
              <w:rPr>
                <w:rFonts w:hint="eastAsia"/>
                <w:color w:val="auto"/>
                <w:lang w:val="en-US" w:eastAsia="zh-CN"/>
              </w:rPr>
              <w:t>耕地</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3FE2E">
            <w:pPr>
              <w:pStyle w:val="31"/>
              <w:bidi w:val="0"/>
              <w:jc w:val="center"/>
              <w:rPr>
                <w:rFonts w:hint="eastAsia"/>
                <w:color w:val="auto"/>
              </w:rPr>
            </w:pPr>
            <w:r>
              <w:rPr>
                <w:rFonts w:hint="eastAsia"/>
                <w:color w:val="auto"/>
                <w:lang w:val="en-US" w:eastAsia="zh-CN"/>
              </w:rPr>
              <w:t>交通运输用地</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7E65">
            <w:pPr>
              <w:pStyle w:val="31"/>
              <w:bidi w:val="0"/>
              <w:jc w:val="center"/>
              <w:rPr>
                <w:rFonts w:hint="eastAsia"/>
                <w:color w:val="auto"/>
              </w:rPr>
            </w:pPr>
            <w:r>
              <w:rPr>
                <w:rFonts w:hint="eastAsia"/>
                <w:color w:val="auto"/>
                <w:lang w:val="en-US" w:eastAsia="zh-CN"/>
              </w:rPr>
              <w:t>水域及水利设施用地</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92D3">
            <w:pPr>
              <w:pStyle w:val="31"/>
              <w:bidi w:val="0"/>
              <w:jc w:val="center"/>
              <w:rPr>
                <w:rFonts w:hint="eastAsia"/>
                <w:color w:val="auto"/>
              </w:rPr>
            </w:pPr>
            <w:r>
              <w:rPr>
                <w:rFonts w:hint="eastAsia"/>
                <w:color w:val="auto"/>
                <w:lang w:val="en-US" w:eastAsia="zh-CN"/>
              </w:rPr>
              <w:t>城镇村及工矿用地</w:t>
            </w:r>
          </w:p>
        </w:tc>
        <w:tc>
          <w:tcPr>
            <w:tcW w:w="1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CD5C1">
            <w:pPr>
              <w:pStyle w:val="31"/>
              <w:bidi w:val="0"/>
              <w:jc w:val="center"/>
              <w:rPr>
                <w:rFonts w:hint="eastAsia"/>
                <w:color w:val="auto"/>
              </w:rPr>
            </w:pPr>
            <w:r>
              <w:rPr>
                <w:rFonts w:hint="eastAsia"/>
                <w:color w:val="auto"/>
                <w:lang w:val="en-US" w:eastAsia="zh-CN"/>
              </w:rPr>
              <w:t>总和</w:t>
            </w:r>
          </w:p>
        </w:tc>
      </w:tr>
      <w:tr w14:paraId="213BB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CF29F">
            <w:pPr>
              <w:pStyle w:val="31"/>
              <w:bidi w:val="0"/>
              <w:jc w:val="center"/>
              <w:rPr>
                <w:rFonts w:hint="eastAsia"/>
                <w:color w:val="auto"/>
              </w:rPr>
            </w:pPr>
            <w:r>
              <w:rPr>
                <w:rFonts w:hint="eastAsia"/>
                <w:color w:val="auto"/>
                <w:lang w:val="en-US" w:eastAsia="zh-CN"/>
              </w:rPr>
              <w:t>面积（公顷）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8261">
            <w:pPr>
              <w:pStyle w:val="31"/>
              <w:bidi w:val="0"/>
              <w:jc w:val="center"/>
              <w:rPr>
                <w:rFonts w:hint="eastAsia"/>
                <w:color w:val="auto"/>
              </w:rPr>
            </w:pPr>
            <w:r>
              <w:rPr>
                <w:rFonts w:hint="eastAsia"/>
                <w:color w:val="auto"/>
                <w:lang w:val="en-US" w:eastAsia="zh-CN"/>
              </w:rPr>
              <w:t>933.54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60CE">
            <w:pPr>
              <w:pStyle w:val="31"/>
              <w:bidi w:val="0"/>
              <w:jc w:val="center"/>
              <w:rPr>
                <w:rFonts w:hint="eastAsia"/>
                <w:color w:val="auto"/>
              </w:rPr>
            </w:pPr>
            <w:r>
              <w:rPr>
                <w:rFonts w:hint="eastAsia"/>
                <w:color w:val="auto"/>
                <w:lang w:val="en-US" w:eastAsia="zh-CN"/>
              </w:rPr>
              <w:t>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8CE3">
            <w:pPr>
              <w:pStyle w:val="31"/>
              <w:bidi w:val="0"/>
              <w:jc w:val="center"/>
              <w:rPr>
                <w:rFonts w:hint="eastAsia"/>
                <w:color w:val="auto"/>
              </w:rPr>
            </w:pPr>
            <w:r>
              <w:rPr>
                <w:rFonts w:hint="eastAsia"/>
                <w:color w:val="auto"/>
                <w:lang w:val="en-US" w:eastAsia="zh-CN"/>
              </w:rPr>
              <w:t>402.82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7341">
            <w:pPr>
              <w:pStyle w:val="31"/>
              <w:bidi w:val="0"/>
              <w:jc w:val="center"/>
              <w:rPr>
                <w:rFonts w:hint="eastAsia"/>
                <w:color w:val="auto"/>
              </w:rPr>
            </w:pPr>
            <w:r>
              <w:rPr>
                <w:rFonts w:hint="eastAsia"/>
                <w:color w:val="auto"/>
                <w:lang w:val="en-US" w:eastAsia="zh-CN"/>
              </w:rPr>
              <w:t>49.25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6D3C8">
            <w:pPr>
              <w:pStyle w:val="31"/>
              <w:bidi w:val="0"/>
              <w:jc w:val="center"/>
              <w:rPr>
                <w:rFonts w:hint="eastAsia"/>
                <w:color w:val="auto"/>
              </w:rPr>
            </w:pPr>
            <w:r>
              <w:rPr>
                <w:rFonts w:hint="eastAsia"/>
                <w:color w:val="auto"/>
                <w:lang w:val="en-US" w:eastAsia="zh-CN"/>
              </w:rPr>
              <w:t>487.19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32CA">
            <w:pPr>
              <w:pStyle w:val="31"/>
              <w:bidi w:val="0"/>
              <w:jc w:val="center"/>
              <w:rPr>
                <w:rFonts w:hint="eastAsia"/>
                <w:color w:val="auto"/>
              </w:rPr>
            </w:pPr>
            <w:r>
              <w:rPr>
                <w:rFonts w:hint="eastAsia"/>
                <w:color w:val="auto"/>
                <w:lang w:val="en-US" w:eastAsia="zh-CN"/>
              </w:rPr>
              <w:t>121.47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10BC">
            <w:pPr>
              <w:pStyle w:val="31"/>
              <w:bidi w:val="0"/>
              <w:jc w:val="center"/>
              <w:rPr>
                <w:rFonts w:hint="eastAsia"/>
                <w:color w:val="auto"/>
              </w:rPr>
            </w:pPr>
            <w:r>
              <w:rPr>
                <w:rFonts w:hint="eastAsia"/>
                <w:color w:val="auto"/>
                <w:lang w:val="en-US" w:eastAsia="zh-CN"/>
              </w:rPr>
              <w:t>1999.75</w:t>
            </w:r>
          </w:p>
        </w:tc>
      </w:tr>
      <w:tr w14:paraId="398A5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3ACA8">
            <w:pPr>
              <w:pStyle w:val="31"/>
              <w:bidi w:val="0"/>
              <w:jc w:val="center"/>
              <w:rPr>
                <w:rFonts w:hint="eastAsia"/>
                <w:color w:val="auto"/>
              </w:rPr>
            </w:pPr>
            <w:r>
              <w:rPr>
                <w:rFonts w:hint="eastAsia"/>
                <w:color w:val="auto"/>
                <w:lang w:val="en-US" w:eastAsia="zh-CN"/>
              </w:rPr>
              <w:t>占比（%）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66FB">
            <w:pPr>
              <w:pStyle w:val="31"/>
              <w:bidi w:val="0"/>
              <w:jc w:val="center"/>
              <w:rPr>
                <w:rFonts w:hint="eastAsia"/>
                <w:color w:val="auto"/>
              </w:rPr>
            </w:pPr>
            <w:r>
              <w:rPr>
                <w:rFonts w:hint="eastAsia"/>
                <w:color w:val="auto"/>
                <w:lang w:val="en-US" w:eastAsia="zh-CN"/>
              </w:rPr>
              <w:t>46.68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CF305">
            <w:pPr>
              <w:pStyle w:val="31"/>
              <w:bidi w:val="0"/>
              <w:jc w:val="center"/>
              <w:rPr>
                <w:rFonts w:hint="eastAsia"/>
                <w:color w:val="auto"/>
              </w:rPr>
            </w:pPr>
            <w:r>
              <w:rPr>
                <w:rFonts w:hint="eastAsia"/>
                <w:color w:val="auto"/>
                <w:lang w:val="en-US" w:eastAsia="zh-CN"/>
              </w:rPr>
              <w:t>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E3495">
            <w:pPr>
              <w:pStyle w:val="31"/>
              <w:bidi w:val="0"/>
              <w:jc w:val="center"/>
              <w:rPr>
                <w:rFonts w:hint="eastAsia"/>
                <w:color w:val="auto"/>
              </w:rPr>
            </w:pPr>
            <w:r>
              <w:rPr>
                <w:rFonts w:hint="eastAsia"/>
                <w:color w:val="auto"/>
                <w:lang w:val="en-US" w:eastAsia="zh-CN"/>
              </w:rPr>
              <w:t>20.14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C893">
            <w:pPr>
              <w:pStyle w:val="31"/>
              <w:bidi w:val="0"/>
              <w:jc w:val="center"/>
              <w:rPr>
                <w:rFonts w:hint="eastAsia"/>
                <w:color w:val="auto"/>
              </w:rPr>
            </w:pPr>
            <w:r>
              <w:rPr>
                <w:rFonts w:hint="eastAsia"/>
                <w:color w:val="auto"/>
                <w:lang w:val="en-US" w:eastAsia="zh-CN"/>
              </w:rPr>
              <w:t>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4FCF">
            <w:pPr>
              <w:pStyle w:val="31"/>
              <w:bidi w:val="0"/>
              <w:jc w:val="center"/>
              <w:rPr>
                <w:rFonts w:hint="eastAsia"/>
                <w:color w:val="auto"/>
              </w:rPr>
            </w:pPr>
            <w:r>
              <w:rPr>
                <w:rFonts w:hint="eastAsia"/>
                <w:color w:val="auto"/>
                <w:lang w:val="en-US" w:eastAsia="zh-CN"/>
              </w:rPr>
              <w:t>24.36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3B177">
            <w:pPr>
              <w:pStyle w:val="31"/>
              <w:bidi w:val="0"/>
              <w:jc w:val="center"/>
              <w:rPr>
                <w:rFonts w:hint="eastAsia"/>
                <w:color w:val="auto"/>
              </w:rPr>
            </w:pPr>
            <w:r>
              <w:rPr>
                <w:rFonts w:hint="eastAsia"/>
                <w:color w:val="auto"/>
                <w:lang w:val="en-US" w:eastAsia="zh-CN"/>
              </w:rPr>
              <w:t>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22E8">
            <w:pPr>
              <w:pStyle w:val="31"/>
              <w:bidi w:val="0"/>
              <w:jc w:val="center"/>
              <w:rPr>
                <w:rFonts w:hint="eastAsia"/>
                <w:color w:val="auto"/>
              </w:rPr>
            </w:pPr>
            <w:r>
              <w:rPr>
                <w:rFonts w:hint="eastAsia"/>
                <w:color w:val="auto"/>
                <w:lang w:val="en-US" w:eastAsia="zh-CN"/>
              </w:rPr>
              <w:t>100.00</w:t>
            </w:r>
          </w:p>
        </w:tc>
      </w:tr>
    </w:tbl>
    <w:p w14:paraId="0C72AE64">
      <w:pPr>
        <w:pStyle w:val="4"/>
        <w:keepNext/>
        <w:keepLines/>
        <w:pageBreakBefore w:val="0"/>
        <w:widowControl/>
        <w:kinsoku/>
        <w:wordWrap/>
        <w:overflowPunct/>
        <w:topLinePunct w:val="0"/>
        <w:autoSpaceDE/>
        <w:autoSpaceDN/>
        <w:bidi w:val="0"/>
        <w:adjustRightInd/>
        <w:snapToGrid/>
        <w:spacing w:beforeLines="0" w:line="360" w:lineRule="auto"/>
        <w:textAlignment w:val="auto"/>
        <w:rPr>
          <w:rFonts w:hint="default" w:ascii="Times New Roman" w:hAnsi="Times New Roman" w:cs="Times New Roman"/>
          <w:color w:val="auto"/>
          <w:sz w:val="32"/>
          <w:szCs w:val="32"/>
          <w:lang w:val="en-US" w:eastAsia="zh-CN"/>
        </w:rPr>
      </w:pPr>
      <w:bookmarkStart w:id="139" w:name="_Toc32247"/>
      <w:bookmarkStart w:id="140" w:name="_Toc522804863"/>
      <w:bookmarkStart w:id="141" w:name="_Toc510813711"/>
      <w:bookmarkStart w:id="142" w:name="_Toc21181"/>
      <w:bookmarkStart w:id="143" w:name="_Toc19550"/>
      <w:bookmarkStart w:id="144" w:name="_Toc20774"/>
      <w:r>
        <w:rPr>
          <w:rFonts w:hint="default" w:ascii="Times New Roman" w:hAnsi="Times New Roman" w:cs="Times New Roman"/>
          <w:color w:val="auto"/>
          <w:sz w:val="32"/>
          <w:szCs w:val="32"/>
          <w:lang w:val="en-US" w:eastAsia="zh-CN"/>
        </w:rPr>
        <w:t>植被</w:t>
      </w:r>
      <w:bookmarkEnd w:id="139"/>
      <w:bookmarkEnd w:id="140"/>
      <w:bookmarkEnd w:id="141"/>
      <w:r>
        <w:rPr>
          <w:rFonts w:hint="eastAsia" w:cs="Times New Roman"/>
          <w:color w:val="auto"/>
          <w:sz w:val="32"/>
          <w:szCs w:val="32"/>
          <w:lang w:val="en-US" w:eastAsia="zh-CN"/>
        </w:rPr>
        <w:t>现状</w:t>
      </w:r>
      <w:bookmarkEnd w:id="142"/>
      <w:bookmarkEnd w:id="143"/>
      <w:bookmarkEnd w:id="144"/>
    </w:p>
    <w:p w14:paraId="54DD5D85">
      <w:pPr>
        <w:pStyle w:val="5"/>
        <w:keepNext/>
        <w:keepLines/>
        <w:pageBreakBefore w:val="0"/>
        <w:widowControl/>
        <w:kinsoku/>
        <w:wordWrap/>
        <w:overflowPunct/>
        <w:topLinePunct w:val="0"/>
        <w:autoSpaceDE/>
        <w:autoSpaceDN/>
        <w:bidi w:val="0"/>
        <w:adjustRightInd/>
        <w:snapToGrid/>
        <w:spacing w:beforeLines="0" w:line="360" w:lineRule="auto"/>
        <w:textAlignment w:val="auto"/>
        <w:rPr>
          <w:rFonts w:hint="default" w:ascii="Times New Roman" w:hAnsi="Times New Roman" w:cs="Times New Roman"/>
          <w:color w:val="auto"/>
          <w:sz w:val="28"/>
          <w:szCs w:val="28"/>
          <w:lang w:val="en-US" w:eastAsia="zh-CN"/>
        </w:rPr>
      </w:pPr>
      <w:bookmarkStart w:id="145" w:name="_Toc15031"/>
      <w:bookmarkStart w:id="146" w:name="_Toc510813712"/>
      <w:bookmarkStart w:id="147" w:name="_Toc522804864"/>
      <w:r>
        <w:rPr>
          <w:rFonts w:hint="default" w:ascii="Times New Roman" w:hAnsi="Times New Roman" w:cs="Times New Roman"/>
          <w:color w:val="auto"/>
          <w:sz w:val="28"/>
          <w:szCs w:val="28"/>
          <w:lang w:val="en-US" w:eastAsia="zh-CN"/>
        </w:rPr>
        <w:t>调查方法</w:t>
      </w:r>
      <w:bookmarkEnd w:id="145"/>
      <w:bookmarkEnd w:id="146"/>
      <w:bookmarkEnd w:id="147"/>
    </w:p>
    <w:p w14:paraId="7633106E">
      <w:pPr>
        <w:bidi w:val="0"/>
        <w:rPr>
          <w:rFonts w:hint="default"/>
          <w:color w:val="auto"/>
        </w:rPr>
      </w:pPr>
      <w:bookmarkStart w:id="148" w:name="_Hlk130311443"/>
      <w:r>
        <w:rPr>
          <w:rFonts w:hint="eastAsia"/>
          <w:color w:val="auto"/>
          <w:lang w:val="en-US" w:eastAsia="zh-CN"/>
        </w:rPr>
        <w:t>根据</w:t>
      </w:r>
      <w:r>
        <w:rPr>
          <w:rFonts w:hint="default"/>
          <w:color w:val="auto"/>
        </w:rPr>
        <w:t>《生物物种监测技术</w:t>
      </w:r>
      <w:r>
        <w:rPr>
          <w:rFonts w:hint="eastAsia"/>
          <w:color w:val="auto"/>
          <w:lang w:val="en-US" w:eastAsia="zh-CN"/>
        </w:rPr>
        <w:t>导则</w:t>
      </w:r>
      <w:r>
        <w:rPr>
          <w:rFonts w:hint="default"/>
          <w:color w:val="auto"/>
        </w:rPr>
        <w:t>陆生维管植物》（HJ710.1-2014）中的</w:t>
      </w:r>
      <w:bookmarkEnd w:id="148"/>
      <w:r>
        <w:rPr>
          <w:rFonts w:hint="default"/>
          <w:color w:val="auto"/>
        </w:rPr>
        <w:t>调查指南，根据监测的目的，在监测区内选择具有代表性的群落类型，对群落中的植物多样性进行监测。植物现状调查采用现场踏查和资料查询相结合的方法，调查评价范围的植物区系类型、植被区划、植被类型、结构和植物物种组成情况。</w:t>
      </w:r>
    </w:p>
    <w:p w14:paraId="7F7DABEE">
      <w:pPr>
        <w:bidi w:val="0"/>
        <w:rPr>
          <w:rFonts w:hint="default"/>
          <w:color w:val="auto"/>
        </w:rPr>
      </w:pPr>
      <w:r>
        <w:rPr>
          <w:rFonts w:hint="default"/>
          <w:color w:val="auto"/>
        </w:rPr>
        <w:t>在重点评价范围</w:t>
      </w:r>
      <w:r>
        <w:rPr>
          <w:rFonts w:hint="default"/>
          <w:color w:val="auto"/>
          <w:lang w:val="en-US" w:eastAsia="zh-CN"/>
        </w:rPr>
        <w:t>内设置</w:t>
      </w:r>
      <w:r>
        <w:rPr>
          <w:rFonts w:hint="default"/>
          <w:color w:val="auto"/>
        </w:rPr>
        <w:t>植物调查样方进行调查。调查时记录每个样方的植被型组、植被型、植被亚型、层次、层盖度、种类组成</w:t>
      </w:r>
      <w:r>
        <w:rPr>
          <w:rFonts w:hint="default"/>
          <w:color w:val="auto"/>
          <w:lang w:val="en-US" w:eastAsia="zh-CN"/>
        </w:rPr>
        <w:t>等</w:t>
      </w:r>
      <w:r>
        <w:rPr>
          <w:rFonts w:hint="default"/>
          <w:color w:val="auto"/>
        </w:rPr>
        <w:t>，并拍摄样方照片。各样方基本能够涵盖工程范围内有代表性的自然植被群落类型，基本能够反映评价范围的植被和植物多样性现状。</w:t>
      </w:r>
    </w:p>
    <w:p w14:paraId="0B95DAF9">
      <w:pPr>
        <w:bidi w:val="0"/>
        <w:rPr>
          <w:rFonts w:hint="eastAsia"/>
          <w:color w:val="auto"/>
          <w:lang w:val="en-US" w:eastAsia="zh-CN"/>
        </w:rPr>
      </w:pPr>
      <w:r>
        <w:rPr>
          <w:rFonts w:hint="default"/>
          <w:color w:val="auto"/>
        </w:rPr>
        <w:t>调查主要参考资料：《中国种子植物区系地理</w:t>
      </w:r>
      <w:r>
        <w:rPr>
          <w:rFonts w:hint="default"/>
          <w:color w:val="auto"/>
          <w:lang w:eastAsia="zh-CN"/>
        </w:rPr>
        <w:t>》、《</w:t>
      </w:r>
      <w:r>
        <w:rPr>
          <w:rFonts w:hint="default"/>
          <w:color w:val="auto"/>
        </w:rPr>
        <w:t>中国植被：类型和区划—解读中华人民共和国植被图（1:1000000）</w:t>
      </w:r>
      <w:r>
        <w:rPr>
          <w:rFonts w:hint="default"/>
          <w:color w:val="auto"/>
          <w:lang w:eastAsia="zh-CN"/>
        </w:rPr>
        <w:t>》、《</w:t>
      </w:r>
      <w:r>
        <w:rPr>
          <w:rFonts w:hint="default"/>
          <w:color w:val="auto"/>
        </w:rPr>
        <w:t>中国植物志</w:t>
      </w:r>
      <w:r>
        <w:rPr>
          <w:rFonts w:hint="default"/>
          <w:color w:val="auto"/>
          <w:lang w:eastAsia="zh-CN"/>
        </w:rPr>
        <w:t>》、《</w:t>
      </w:r>
      <w:r>
        <w:rPr>
          <w:rFonts w:hint="default"/>
          <w:color w:val="auto"/>
        </w:rPr>
        <w:t>安徽省陆生野生动植物资源</w:t>
      </w:r>
      <w:r>
        <w:rPr>
          <w:rFonts w:hint="default"/>
          <w:color w:val="auto"/>
          <w:lang w:eastAsia="zh-CN"/>
        </w:rPr>
        <w:t>》、《</w:t>
      </w:r>
      <w:bookmarkStart w:id="149" w:name="OLE_LINK5"/>
      <w:r>
        <w:rPr>
          <w:rFonts w:hint="default"/>
          <w:color w:val="auto"/>
        </w:rPr>
        <w:t>安徽植被</w:t>
      </w:r>
      <w:bookmarkEnd w:id="149"/>
      <w:r>
        <w:rPr>
          <w:rFonts w:hint="default"/>
          <w:color w:val="auto"/>
        </w:rPr>
        <w:t>》</w:t>
      </w:r>
      <w:r>
        <w:rPr>
          <w:rFonts w:hint="default"/>
          <w:color w:val="auto"/>
          <w:lang w:val="en-US" w:eastAsia="zh-CN"/>
        </w:rPr>
        <w:t>中生态调查资料及</w:t>
      </w:r>
      <w:r>
        <w:rPr>
          <w:rFonts w:hint="default"/>
          <w:color w:val="auto"/>
        </w:rPr>
        <w:t>相关期刊论文等。</w:t>
      </w:r>
    </w:p>
    <w:p w14:paraId="0D9F39B4">
      <w:pPr>
        <w:pStyle w:val="5"/>
        <w:keepNext/>
        <w:keepLines/>
        <w:pageBreakBefore w:val="0"/>
        <w:widowControl/>
        <w:kinsoku/>
        <w:wordWrap/>
        <w:overflowPunct/>
        <w:topLinePunct w:val="0"/>
        <w:autoSpaceDE/>
        <w:autoSpaceDN/>
        <w:bidi w:val="0"/>
        <w:adjustRightInd/>
        <w:snapToGrid/>
        <w:spacing w:beforeLines="0" w:line="360" w:lineRule="auto"/>
        <w:textAlignment w:val="auto"/>
        <w:rPr>
          <w:rFonts w:hint="default" w:ascii="Times New Roman" w:hAnsi="Times New Roman" w:eastAsia="宋体" w:cs="Times New Roman"/>
          <w:color w:val="auto"/>
          <w:sz w:val="28"/>
          <w:szCs w:val="28"/>
          <w:lang w:val="en-US" w:eastAsia="zh-CN"/>
        </w:rPr>
      </w:pPr>
      <w:r>
        <w:rPr>
          <w:rFonts w:hint="default" w:ascii="Times New Roman" w:hAnsi="Times New Roman" w:eastAsia="宋体" w:cs="Times New Roman"/>
          <w:color w:val="auto"/>
          <w:sz w:val="28"/>
          <w:szCs w:val="28"/>
          <w:lang w:val="en-US" w:eastAsia="zh-CN"/>
        </w:rPr>
        <w:t>样方调查</w:t>
      </w:r>
    </w:p>
    <w:p w14:paraId="6F011566">
      <w:pPr>
        <w:keepNext w:val="0"/>
        <w:keepLines w:val="0"/>
        <w:pageBreakBefore w:val="0"/>
        <w:widowControl w:val="0"/>
        <w:kinsoku/>
        <w:wordWrap/>
        <w:overflowPunct/>
        <w:topLinePunct/>
        <w:autoSpaceDE w:val="0"/>
        <w:autoSpaceDN/>
        <w:bidi w:val="0"/>
        <w:adjustRightInd w:val="0"/>
        <w:snapToGrid w:val="0"/>
        <w:ind w:left="0" w:leftChars="0" w:firstLine="480"/>
        <w:textAlignment w:val="auto"/>
        <w:outlineLvl w:val="9"/>
        <w:rPr>
          <w:rFonts w:hint="default" w:ascii="Times New Roman" w:hAnsi="Times New Roman" w:cs="Times New Roman"/>
          <w:color w:val="auto"/>
          <w:kern w:val="0"/>
          <w:sz w:val="24"/>
          <w:szCs w:val="24"/>
        </w:rPr>
        <w:sectPr>
          <w:pgSz w:w="11906" w:h="16838"/>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r>
        <w:rPr>
          <w:rFonts w:hint="eastAsia" w:cs="Times New Roman"/>
          <w:color w:val="auto"/>
          <w:kern w:val="0"/>
          <w:sz w:val="24"/>
          <w:szCs w:val="24"/>
          <w:lang w:val="en-US" w:eastAsia="zh-CN"/>
        </w:rPr>
        <w:t>根据《环境影响评价技术导则生态影响》(HJ19-2022)，二级评价每种群落类型设置的样方数量不少于3个。本项目引用2025年1月《秋浦河航道整治工程5号、6号抛泥区抛泥清除恢复项目对安徽池州杏花村省级湿地公园生态影响评估报告》的调查结果</w:t>
      </w:r>
      <w:r>
        <w:rPr>
          <w:rFonts w:hint="default" w:ascii="Times New Roman" w:hAnsi="Times New Roman" w:cs="Times New Roman"/>
          <w:color w:val="auto"/>
          <w:kern w:val="0"/>
          <w:sz w:val="24"/>
          <w:szCs w:val="24"/>
          <w:lang w:eastAsia="zh-CN"/>
        </w:rPr>
        <w:t>。</w:t>
      </w:r>
      <w:r>
        <w:rPr>
          <w:rFonts w:hint="default" w:ascii="Times New Roman" w:hAnsi="Times New Roman" w:cs="Times New Roman"/>
          <w:color w:val="auto"/>
          <w:kern w:val="0"/>
          <w:sz w:val="24"/>
          <w:szCs w:val="24"/>
        </w:rPr>
        <w:t>植物调查样方布设情况符合《环境影响评价技术导则生态影响》（HJ19-2022）中的相关要求。</w:t>
      </w:r>
    </w:p>
    <w:p w14:paraId="0E85F5C5">
      <w:pPr>
        <w:bidi w:val="0"/>
        <w:ind w:left="0" w:leftChars="0" w:firstLine="0" w:firstLineChars="0"/>
        <w:jc w:val="center"/>
        <w:rPr>
          <w:rFonts w:hint="eastAsia" w:ascii="Times New Roman" w:hAnsi="Times New Roman" w:eastAsia="宋体" w:cs="Times New Roman"/>
          <w:b/>
          <w:bCs/>
          <w:color w:val="auto"/>
          <w:kern w:val="2"/>
          <w:sz w:val="24"/>
          <w:szCs w:val="24"/>
          <w:lang w:eastAsia="zh-CN"/>
        </w:rPr>
      </w:pPr>
      <w:r>
        <w:rPr>
          <w:rFonts w:hint="eastAsia" w:ascii="Times New Roman" w:hAnsi="Times New Roman" w:eastAsia="宋体" w:cs="Times New Roman"/>
          <w:b/>
          <w:bCs/>
          <w:color w:val="auto"/>
          <w:kern w:val="2"/>
          <w:sz w:val="24"/>
          <w:szCs w:val="24"/>
          <w:lang w:eastAsia="zh-CN"/>
        </w:rPr>
        <w:drawing>
          <wp:inline distT="0" distB="0" distL="114300" distR="114300">
            <wp:extent cx="8639810" cy="5388610"/>
            <wp:effectExtent l="0" t="0" r="8890" b="2540"/>
            <wp:docPr id="71" name="图片 71" descr="植物样方分布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植物样方分布图_00"/>
                    <pic:cNvPicPr>
                      <a:picLocks noChangeAspect="1"/>
                    </pic:cNvPicPr>
                  </pic:nvPicPr>
                  <pic:blipFill>
                    <a:blip r:embed="rId52"/>
                    <a:stretch>
                      <a:fillRect/>
                    </a:stretch>
                  </pic:blipFill>
                  <pic:spPr>
                    <a:xfrm>
                      <a:off x="0" y="0"/>
                      <a:ext cx="8639810" cy="5388610"/>
                    </a:xfrm>
                    <a:prstGeom prst="rect">
                      <a:avLst/>
                    </a:prstGeom>
                  </pic:spPr>
                </pic:pic>
              </a:graphicData>
            </a:graphic>
          </wp:inline>
        </w:drawing>
      </w:r>
    </w:p>
    <w:p w14:paraId="7A106655">
      <w:pPr>
        <w:pStyle w:val="11"/>
        <w:bidi w:val="0"/>
        <w:rPr>
          <w:rFonts w:hint="default"/>
          <w:lang w:val="en-US" w:eastAsia="zh-CN"/>
        </w:rPr>
        <w:sectPr>
          <w:pgSz w:w="16838" w:h="11906" w:orient="landscape"/>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r>
        <w:rPr>
          <w:rFonts w:hint="default"/>
        </w:rPr>
        <w:t>图</w:t>
      </w:r>
      <w:r>
        <w:fldChar w:fldCharType="begin"/>
      </w:r>
      <w:r>
        <w:instrText xml:space="preserve"> STYLEREF 2 \s </w:instrText>
      </w:r>
      <w:r>
        <w:fldChar w:fldCharType="separate"/>
      </w:r>
      <w:r>
        <w:t>4.3</w:t>
      </w:r>
      <w:r>
        <w:fldChar w:fldCharType="end"/>
      </w:r>
      <w:r>
        <w:rPr>
          <w:rFonts w:hint="eastAsia"/>
          <w:lang w:eastAsia="zh-CN"/>
        </w:rPr>
        <w:t>-</w:t>
      </w:r>
      <w:r>
        <w:fldChar w:fldCharType="begin"/>
      </w:r>
      <w:r>
        <w:instrText xml:space="preserve"> SEQ 图 \* ARABIC \s 2 </w:instrText>
      </w:r>
      <w:r>
        <w:fldChar w:fldCharType="separate"/>
      </w:r>
      <w:r>
        <w:t>4</w:t>
      </w:r>
      <w:r>
        <w:fldChar w:fldCharType="end"/>
      </w:r>
      <w:r>
        <w:rPr>
          <w:rFonts w:hint="default"/>
        </w:rPr>
        <w:t>植物</w:t>
      </w:r>
      <w:r>
        <w:rPr>
          <w:rFonts w:hint="eastAsia"/>
          <w:lang w:val="en-US" w:eastAsia="zh-CN"/>
        </w:rPr>
        <w:t>样方分布图</w:t>
      </w:r>
    </w:p>
    <w:p w14:paraId="6AF27081">
      <w:pPr>
        <w:pStyle w:val="11"/>
        <w:rPr>
          <w:rFonts w:hint="eastAsia"/>
          <w:color w:val="auto"/>
          <w:highlight w:val="none"/>
        </w:rPr>
      </w:pPr>
      <w:r>
        <w:rPr>
          <w:color w:val="auto"/>
          <w:highlight w:val="none"/>
        </w:rPr>
        <w:t>表</w:t>
      </w:r>
      <w:r>
        <w:rPr>
          <w:color w:val="auto"/>
          <w:highlight w:val="none"/>
        </w:rPr>
        <w:fldChar w:fldCharType="begin"/>
      </w:r>
      <w:r>
        <w:rPr>
          <w:color w:val="auto"/>
          <w:highlight w:val="none"/>
        </w:rPr>
        <w:instrText xml:space="preserve"> STYLEREF 2 \s </w:instrText>
      </w:r>
      <w:r>
        <w:rPr>
          <w:color w:val="auto"/>
          <w:highlight w:val="none"/>
        </w:rPr>
        <w:fldChar w:fldCharType="separate"/>
      </w:r>
      <w:r>
        <w:rPr>
          <w:color w:val="auto"/>
          <w:highlight w:val="none"/>
        </w:rPr>
        <w:t>4.3</w:t>
      </w:r>
      <w:r>
        <w:rPr>
          <w:color w:val="auto"/>
          <w:highlight w:val="none"/>
        </w:rPr>
        <w:fldChar w:fldCharType="end"/>
      </w:r>
      <w:r>
        <w:rPr>
          <w:rFonts w:hint="eastAsia"/>
          <w:color w:val="auto"/>
          <w:highlight w:val="none"/>
          <w:lang w:eastAsia="zh-CN"/>
        </w:rPr>
        <w:t>-</w:t>
      </w:r>
      <w:r>
        <w:rPr>
          <w:color w:val="auto"/>
          <w:highlight w:val="none"/>
        </w:rPr>
        <w:fldChar w:fldCharType="begin"/>
      </w:r>
      <w:r>
        <w:rPr>
          <w:color w:val="auto"/>
          <w:highlight w:val="none"/>
        </w:rPr>
        <w:instrText xml:space="preserve"> SEQ 表 \* ARABIC \s 2 </w:instrText>
      </w:r>
      <w:r>
        <w:rPr>
          <w:color w:val="auto"/>
          <w:highlight w:val="none"/>
        </w:rPr>
        <w:fldChar w:fldCharType="separate"/>
      </w:r>
      <w:r>
        <w:rPr>
          <w:color w:val="auto"/>
          <w:highlight w:val="none"/>
        </w:rPr>
        <w:t>4</w:t>
      </w:r>
      <w:r>
        <w:rPr>
          <w:color w:val="auto"/>
          <w:highlight w:val="none"/>
        </w:rPr>
        <w:fldChar w:fldCharType="end"/>
      </w:r>
      <w:r>
        <w:rPr>
          <w:rFonts w:hint="eastAsia"/>
          <w:color w:val="auto"/>
          <w:highlight w:val="none"/>
        </w:rPr>
        <w:t>植物样方调查表</w:t>
      </w:r>
    </w:p>
    <w:tbl>
      <w:tblPr>
        <w:tblStyle w:val="24"/>
        <w:tblW w:w="14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742"/>
        <w:gridCol w:w="741"/>
        <w:gridCol w:w="974"/>
        <w:gridCol w:w="654"/>
        <w:gridCol w:w="883"/>
        <w:gridCol w:w="730"/>
        <w:gridCol w:w="710"/>
        <w:gridCol w:w="1220"/>
        <w:gridCol w:w="2610"/>
        <w:gridCol w:w="628"/>
        <w:gridCol w:w="3642"/>
      </w:tblGrid>
      <w:tr w14:paraId="3555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0902B381">
            <w:pPr>
              <w:pStyle w:val="31"/>
              <w:bidi w:val="0"/>
              <w:rPr>
                <w:rFonts w:hint="default"/>
                <w:color w:val="auto"/>
              </w:rPr>
            </w:pPr>
            <w:r>
              <w:rPr>
                <w:rFonts w:hint="default"/>
                <w:color w:val="auto"/>
              </w:rPr>
              <w:t>序号</w:t>
            </w:r>
          </w:p>
        </w:tc>
        <w:tc>
          <w:tcPr>
            <w:tcW w:w="742" w:type="dxa"/>
            <w:tcBorders>
              <w:tl2br w:val="nil"/>
              <w:tr2bl w:val="nil"/>
            </w:tcBorders>
            <w:noWrap w:val="0"/>
            <w:tcMar>
              <w:top w:w="0" w:type="dxa"/>
              <w:left w:w="108" w:type="dxa"/>
              <w:bottom w:w="0" w:type="dxa"/>
              <w:right w:w="108" w:type="dxa"/>
            </w:tcMar>
            <w:vAlign w:val="center"/>
          </w:tcPr>
          <w:p w14:paraId="2F8DBD4A">
            <w:pPr>
              <w:pStyle w:val="31"/>
              <w:bidi w:val="0"/>
              <w:rPr>
                <w:rFonts w:hint="default" w:eastAsia="宋体"/>
                <w:color w:val="auto"/>
                <w:lang w:val="en-US" w:eastAsia="zh-CN"/>
              </w:rPr>
            </w:pPr>
            <w:r>
              <w:rPr>
                <w:rFonts w:hint="eastAsia"/>
                <w:color w:val="auto"/>
                <w:lang w:val="en-US" w:eastAsia="zh-CN"/>
              </w:rPr>
              <w:t>样方编号</w:t>
            </w:r>
          </w:p>
        </w:tc>
        <w:tc>
          <w:tcPr>
            <w:tcW w:w="741" w:type="dxa"/>
            <w:tcBorders>
              <w:tl2br w:val="nil"/>
              <w:tr2bl w:val="nil"/>
            </w:tcBorders>
            <w:noWrap w:val="0"/>
            <w:tcMar>
              <w:top w:w="0" w:type="dxa"/>
              <w:left w:w="108" w:type="dxa"/>
              <w:bottom w:w="0" w:type="dxa"/>
              <w:right w:w="108" w:type="dxa"/>
            </w:tcMar>
            <w:vAlign w:val="center"/>
          </w:tcPr>
          <w:p w14:paraId="6BE0F755">
            <w:pPr>
              <w:pStyle w:val="31"/>
              <w:bidi w:val="0"/>
              <w:rPr>
                <w:rFonts w:hint="eastAsia" w:eastAsia="宋体"/>
                <w:color w:val="auto"/>
                <w:lang w:val="en-US" w:eastAsia="zh-CN"/>
              </w:rPr>
            </w:pPr>
            <w:r>
              <w:rPr>
                <w:rFonts w:hint="eastAsia"/>
                <w:color w:val="auto"/>
                <w:lang w:val="en-US" w:eastAsia="zh-CN"/>
              </w:rPr>
              <w:t>地点</w:t>
            </w:r>
          </w:p>
        </w:tc>
        <w:tc>
          <w:tcPr>
            <w:tcW w:w="974" w:type="dxa"/>
            <w:tcBorders>
              <w:tl2br w:val="nil"/>
              <w:tr2bl w:val="nil"/>
            </w:tcBorders>
            <w:noWrap w:val="0"/>
            <w:tcMar>
              <w:top w:w="0" w:type="dxa"/>
              <w:left w:w="108" w:type="dxa"/>
              <w:bottom w:w="0" w:type="dxa"/>
              <w:right w:w="108" w:type="dxa"/>
            </w:tcMar>
            <w:vAlign w:val="center"/>
          </w:tcPr>
          <w:p w14:paraId="63536ED5">
            <w:pPr>
              <w:pStyle w:val="31"/>
              <w:bidi w:val="0"/>
              <w:rPr>
                <w:rFonts w:hint="default"/>
                <w:color w:val="auto"/>
              </w:rPr>
            </w:pPr>
            <w:r>
              <w:rPr>
                <w:rFonts w:hint="default"/>
                <w:color w:val="auto"/>
              </w:rPr>
              <w:t>日期</w:t>
            </w:r>
          </w:p>
        </w:tc>
        <w:tc>
          <w:tcPr>
            <w:tcW w:w="654" w:type="dxa"/>
            <w:tcBorders>
              <w:tl2br w:val="nil"/>
              <w:tr2bl w:val="nil"/>
            </w:tcBorders>
            <w:noWrap w:val="0"/>
            <w:tcMar>
              <w:top w:w="0" w:type="dxa"/>
              <w:left w:w="108" w:type="dxa"/>
              <w:bottom w:w="0" w:type="dxa"/>
              <w:right w:w="108" w:type="dxa"/>
            </w:tcMar>
            <w:vAlign w:val="center"/>
          </w:tcPr>
          <w:p w14:paraId="07CD6B92">
            <w:pPr>
              <w:pStyle w:val="31"/>
              <w:bidi w:val="0"/>
              <w:rPr>
                <w:rFonts w:hint="default"/>
                <w:color w:val="auto"/>
              </w:rPr>
            </w:pPr>
            <w:r>
              <w:rPr>
                <w:rFonts w:hint="default"/>
                <w:color w:val="auto"/>
              </w:rPr>
              <w:t>样方面积/m2</w:t>
            </w:r>
          </w:p>
        </w:tc>
        <w:tc>
          <w:tcPr>
            <w:tcW w:w="883" w:type="dxa"/>
            <w:tcBorders>
              <w:tl2br w:val="nil"/>
              <w:tr2bl w:val="nil"/>
            </w:tcBorders>
            <w:noWrap w:val="0"/>
            <w:tcMar>
              <w:top w:w="0" w:type="dxa"/>
              <w:left w:w="108" w:type="dxa"/>
              <w:bottom w:w="0" w:type="dxa"/>
              <w:right w:w="108" w:type="dxa"/>
            </w:tcMar>
            <w:vAlign w:val="center"/>
          </w:tcPr>
          <w:p w14:paraId="56D04332">
            <w:pPr>
              <w:pStyle w:val="31"/>
              <w:bidi w:val="0"/>
              <w:rPr>
                <w:rFonts w:hint="default"/>
                <w:color w:val="auto"/>
              </w:rPr>
            </w:pPr>
            <w:r>
              <w:rPr>
                <w:rFonts w:hint="default"/>
                <w:color w:val="auto"/>
              </w:rPr>
              <w:t>经纬度</w:t>
            </w:r>
          </w:p>
        </w:tc>
        <w:tc>
          <w:tcPr>
            <w:tcW w:w="730" w:type="dxa"/>
            <w:tcBorders>
              <w:tl2br w:val="nil"/>
              <w:tr2bl w:val="nil"/>
            </w:tcBorders>
            <w:noWrap w:val="0"/>
            <w:tcMar>
              <w:top w:w="0" w:type="dxa"/>
              <w:left w:w="108" w:type="dxa"/>
              <w:bottom w:w="0" w:type="dxa"/>
              <w:right w:w="108" w:type="dxa"/>
            </w:tcMar>
            <w:vAlign w:val="center"/>
          </w:tcPr>
          <w:p w14:paraId="322B2EE2">
            <w:pPr>
              <w:pStyle w:val="31"/>
              <w:bidi w:val="0"/>
              <w:rPr>
                <w:rFonts w:hint="eastAsia"/>
                <w:color w:val="auto"/>
                <w:lang w:val="en-US" w:eastAsia="zh-CN"/>
              </w:rPr>
            </w:pPr>
            <w:r>
              <w:rPr>
                <w:rFonts w:hint="default"/>
                <w:color w:val="auto"/>
              </w:rPr>
              <w:t>植被</w:t>
            </w:r>
            <w:r>
              <w:rPr>
                <w:rFonts w:hint="eastAsia"/>
                <w:color w:val="auto"/>
                <w:lang w:val="en-US" w:eastAsia="zh-CN"/>
              </w:rPr>
              <w:t>类型</w:t>
            </w:r>
          </w:p>
        </w:tc>
        <w:tc>
          <w:tcPr>
            <w:tcW w:w="710" w:type="dxa"/>
            <w:tcBorders>
              <w:tl2br w:val="nil"/>
              <w:tr2bl w:val="nil"/>
            </w:tcBorders>
            <w:noWrap w:val="0"/>
            <w:tcMar>
              <w:top w:w="0" w:type="dxa"/>
              <w:left w:w="108" w:type="dxa"/>
              <w:bottom w:w="0" w:type="dxa"/>
              <w:right w:w="108" w:type="dxa"/>
            </w:tcMar>
            <w:vAlign w:val="center"/>
          </w:tcPr>
          <w:p w14:paraId="54BEEE0C">
            <w:pPr>
              <w:pStyle w:val="31"/>
              <w:bidi w:val="0"/>
              <w:rPr>
                <w:rFonts w:hint="default"/>
                <w:color w:val="auto"/>
              </w:rPr>
            </w:pPr>
            <w:r>
              <w:rPr>
                <w:rFonts w:hint="default"/>
                <w:color w:val="auto"/>
              </w:rPr>
              <w:t>群落类型</w:t>
            </w:r>
          </w:p>
        </w:tc>
        <w:tc>
          <w:tcPr>
            <w:tcW w:w="1220" w:type="dxa"/>
            <w:tcBorders>
              <w:tl2br w:val="nil"/>
              <w:tr2bl w:val="nil"/>
            </w:tcBorders>
            <w:noWrap w:val="0"/>
            <w:tcMar>
              <w:top w:w="0" w:type="dxa"/>
              <w:left w:w="108" w:type="dxa"/>
              <w:bottom w:w="0" w:type="dxa"/>
              <w:right w:w="108" w:type="dxa"/>
            </w:tcMar>
            <w:vAlign w:val="center"/>
          </w:tcPr>
          <w:p w14:paraId="6664AFB3">
            <w:pPr>
              <w:pStyle w:val="31"/>
              <w:bidi w:val="0"/>
              <w:rPr>
                <w:rFonts w:hint="default"/>
                <w:color w:val="auto"/>
              </w:rPr>
            </w:pPr>
            <w:r>
              <w:rPr>
                <w:rFonts w:hint="default"/>
                <w:color w:val="auto"/>
              </w:rPr>
              <w:t>地形特征</w:t>
            </w:r>
          </w:p>
        </w:tc>
        <w:tc>
          <w:tcPr>
            <w:tcW w:w="2610" w:type="dxa"/>
            <w:tcBorders>
              <w:tl2br w:val="nil"/>
              <w:tr2bl w:val="nil"/>
            </w:tcBorders>
            <w:noWrap w:val="0"/>
            <w:tcMar>
              <w:top w:w="0" w:type="dxa"/>
              <w:left w:w="108" w:type="dxa"/>
              <w:bottom w:w="0" w:type="dxa"/>
              <w:right w:w="108" w:type="dxa"/>
            </w:tcMar>
            <w:vAlign w:val="center"/>
          </w:tcPr>
          <w:p w14:paraId="6A83CB87">
            <w:pPr>
              <w:pStyle w:val="31"/>
              <w:bidi w:val="0"/>
              <w:rPr>
                <w:rFonts w:hint="default"/>
                <w:color w:val="auto"/>
              </w:rPr>
            </w:pPr>
            <w:r>
              <w:rPr>
                <w:rFonts w:hint="default"/>
                <w:color w:val="auto"/>
              </w:rPr>
              <w:t>种类组成与生长状况</w:t>
            </w:r>
          </w:p>
        </w:tc>
        <w:tc>
          <w:tcPr>
            <w:tcW w:w="628" w:type="dxa"/>
            <w:tcBorders>
              <w:tl2br w:val="nil"/>
              <w:tr2bl w:val="nil"/>
            </w:tcBorders>
            <w:noWrap w:val="0"/>
            <w:tcMar>
              <w:top w:w="0" w:type="dxa"/>
              <w:left w:w="108" w:type="dxa"/>
              <w:bottom w:w="0" w:type="dxa"/>
              <w:right w:w="108" w:type="dxa"/>
            </w:tcMar>
            <w:vAlign w:val="center"/>
          </w:tcPr>
          <w:p w14:paraId="1BDE5FE5">
            <w:pPr>
              <w:pStyle w:val="31"/>
              <w:bidi w:val="0"/>
              <w:rPr>
                <w:rFonts w:hint="default"/>
                <w:color w:val="auto"/>
              </w:rPr>
            </w:pPr>
            <w:r>
              <w:rPr>
                <w:rFonts w:hint="default"/>
                <w:color w:val="auto"/>
              </w:rPr>
              <w:t>盖度/%</w:t>
            </w:r>
          </w:p>
        </w:tc>
        <w:tc>
          <w:tcPr>
            <w:tcW w:w="3642" w:type="dxa"/>
            <w:tcBorders>
              <w:tl2br w:val="nil"/>
              <w:tr2bl w:val="nil"/>
            </w:tcBorders>
            <w:noWrap w:val="0"/>
            <w:tcMar>
              <w:top w:w="0" w:type="dxa"/>
              <w:left w:w="108" w:type="dxa"/>
              <w:bottom w:w="0" w:type="dxa"/>
              <w:right w:w="108" w:type="dxa"/>
            </w:tcMar>
            <w:vAlign w:val="center"/>
          </w:tcPr>
          <w:p w14:paraId="172AE7D4">
            <w:pPr>
              <w:pStyle w:val="31"/>
              <w:bidi w:val="0"/>
              <w:rPr>
                <w:rFonts w:hint="default"/>
                <w:color w:val="auto"/>
              </w:rPr>
            </w:pPr>
            <w:r>
              <w:rPr>
                <w:rFonts w:hint="default"/>
                <w:color w:val="auto"/>
              </w:rPr>
              <w:t>样方照片</w:t>
            </w:r>
          </w:p>
        </w:tc>
      </w:tr>
      <w:tr w14:paraId="6B5D3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09168565">
            <w:pPr>
              <w:pStyle w:val="31"/>
              <w:bidi w:val="0"/>
              <w:rPr>
                <w:rFonts w:hint="eastAsia"/>
                <w:color w:val="auto"/>
                <w:lang w:val="en-US" w:eastAsia="zh-CN"/>
              </w:rPr>
            </w:pPr>
            <w:r>
              <w:rPr>
                <w:rFonts w:hint="eastAsia"/>
                <w:color w:val="auto"/>
                <w:lang w:val="en-US" w:eastAsia="zh-CN"/>
              </w:rPr>
              <w:t>1</w:t>
            </w:r>
          </w:p>
        </w:tc>
        <w:tc>
          <w:tcPr>
            <w:tcW w:w="742" w:type="dxa"/>
            <w:tcBorders>
              <w:tl2br w:val="nil"/>
              <w:tr2bl w:val="nil"/>
            </w:tcBorders>
            <w:noWrap w:val="0"/>
            <w:tcMar>
              <w:top w:w="0" w:type="dxa"/>
              <w:left w:w="108" w:type="dxa"/>
              <w:bottom w:w="0" w:type="dxa"/>
              <w:right w:w="108" w:type="dxa"/>
            </w:tcMar>
            <w:vAlign w:val="center"/>
          </w:tcPr>
          <w:p w14:paraId="1320F6C8">
            <w:pPr>
              <w:pStyle w:val="31"/>
              <w:bidi w:val="0"/>
              <w:rPr>
                <w:rFonts w:hint="default"/>
                <w:color w:val="auto"/>
                <w:lang w:val="en-US" w:eastAsia="zh-CN"/>
              </w:rPr>
            </w:pPr>
            <w:r>
              <w:rPr>
                <w:rFonts w:hint="eastAsia"/>
                <w:color w:val="auto"/>
                <w:lang w:val="en-US" w:eastAsia="zh-CN"/>
              </w:rPr>
              <w:t>样方4</w:t>
            </w:r>
          </w:p>
        </w:tc>
        <w:tc>
          <w:tcPr>
            <w:tcW w:w="741" w:type="dxa"/>
            <w:tcBorders>
              <w:tl2br w:val="nil"/>
              <w:tr2bl w:val="nil"/>
            </w:tcBorders>
            <w:noWrap w:val="0"/>
            <w:tcMar>
              <w:top w:w="0" w:type="dxa"/>
              <w:left w:w="108" w:type="dxa"/>
              <w:bottom w:w="0" w:type="dxa"/>
              <w:right w:w="108" w:type="dxa"/>
            </w:tcMar>
            <w:vAlign w:val="center"/>
          </w:tcPr>
          <w:p w14:paraId="14B9C879">
            <w:pPr>
              <w:pStyle w:val="31"/>
              <w:bidi w:val="0"/>
              <w:rPr>
                <w:rFonts w:hint="default"/>
                <w:color w:val="auto"/>
                <w:lang w:val="en-US" w:eastAsia="zh-CN"/>
              </w:rPr>
            </w:pPr>
            <w:r>
              <w:rPr>
                <w:rFonts w:hint="eastAsia"/>
                <w:color w:val="auto"/>
                <w:lang w:val="en-US" w:eastAsia="zh-CN"/>
              </w:rPr>
              <w:t>5#抛泥区北侧</w:t>
            </w:r>
          </w:p>
        </w:tc>
        <w:tc>
          <w:tcPr>
            <w:tcW w:w="974" w:type="dxa"/>
            <w:tcBorders>
              <w:tl2br w:val="nil"/>
              <w:tr2bl w:val="nil"/>
            </w:tcBorders>
            <w:noWrap w:val="0"/>
            <w:tcMar>
              <w:top w:w="0" w:type="dxa"/>
              <w:left w:w="108" w:type="dxa"/>
              <w:bottom w:w="0" w:type="dxa"/>
              <w:right w:w="108" w:type="dxa"/>
            </w:tcMar>
            <w:vAlign w:val="center"/>
          </w:tcPr>
          <w:p w14:paraId="22D1C2BE">
            <w:pPr>
              <w:pStyle w:val="31"/>
              <w:bidi w:val="0"/>
              <w:rPr>
                <w:rFonts w:hint="default"/>
                <w:color w:val="auto"/>
                <w:lang w:val="en-US" w:eastAsia="zh-CN"/>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4D46A419">
            <w:pPr>
              <w:pStyle w:val="31"/>
              <w:bidi w:val="0"/>
              <w:rPr>
                <w:rFonts w:hint="default"/>
                <w:color w:val="auto"/>
                <w:lang w:val="en-US" w:eastAsia="zh-CN"/>
              </w:rPr>
            </w:pPr>
            <w:r>
              <w:rPr>
                <w:rFonts w:hint="eastAsia"/>
                <w:color w:val="auto"/>
                <w:lang w:val="en-US" w:eastAsia="zh-CN"/>
              </w:rPr>
              <w:t>100</w:t>
            </w:r>
          </w:p>
        </w:tc>
        <w:tc>
          <w:tcPr>
            <w:tcW w:w="883" w:type="dxa"/>
            <w:tcBorders>
              <w:tl2br w:val="nil"/>
              <w:tr2bl w:val="nil"/>
            </w:tcBorders>
            <w:noWrap w:val="0"/>
            <w:tcMar>
              <w:top w:w="0" w:type="dxa"/>
              <w:left w:w="108" w:type="dxa"/>
              <w:bottom w:w="0" w:type="dxa"/>
              <w:right w:w="108" w:type="dxa"/>
            </w:tcMar>
            <w:vAlign w:val="center"/>
          </w:tcPr>
          <w:p w14:paraId="3AC9F8E0">
            <w:pPr>
              <w:pStyle w:val="31"/>
              <w:bidi w:val="0"/>
              <w:rPr>
                <w:rFonts w:hint="default"/>
                <w:color w:val="auto"/>
              </w:rPr>
            </w:pPr>
            <w:r>
              <w:rPr>
                <w:rFonts w:hint="default"/>
                <w:color w:val="auto"/>
              </w:rPr>
              <w:t>117.40019202,30.60277191</w:t>
            </w:r>
          </w:p>
        </w:tc>
        <w:tc>
          <w:tcPr>
            <w:tcW w:w="730" w:type="dxa"/>
            <w:tcBorders>
              <w:tl2br w:val="nil"/>
              <w:tr2bl w:val="nil"/>
            </w:tcBorders>
            <w:noWrap w:val="0"/>
            <w:tcMar>
              <w:top w:w="0" w:type="dxa"/>
              <w:left w:w="108" w:type="dxa"/>
              <w:bottom w:w="0" w:type="dxa"/>
              <w:right w:w="108" w:type="dxa"/>
            </w:tcMar>
            <w:vAlign w:val="center"/>
          </w:tcPr>
          <w:p w14:paraId="78DD9968">
            <w:pPr>
              <w:pStyle w:val="31"/>
              <w:bidi w:val="0"/>
              <w:rPr>
                <w:rFonts w:hint="eastAsia"/>
                <w:color w:val="auto"/>
                <w:lang w:val="en-US" w:eastAsia="zh-CN"/>
              </w:rPr>
            </w:pPr>
            <w:r>
              <w:rPr>
                <w:rFonts w:hint="eastAsia"/>
                <w:color w:val="auto"/>
                <w:lang w:val="en-US" w:eastAsia="zh-CN"/>
              </w:rPr>
              <w:t>乔木</w:t>
            </w:r>
          </w:p>
        </w:tc>
        <w:tc>
          <w:tcPr>
            <w:tcW w:w="710" w:type="dxa"/>
            <w:tcBorders>
              <w:tl2br w:val="nil"/>
              <w:tr2bl w:val="nil"/>
            </w:tcBorders>
            <w:noWrap w:val="0"/>
            <w:tcMar>
              <w:top w:w="0" w:type="dxa"/>
              <w:left w:w="108" w:type="dxa"/>
              <w:bottom w:w="0" w:type="dxa"/>
              <w:right w:w="108" w:type="dxa"/>
            </w:tcMar>
            <w:vAlign w:val="center"/>
          </w:tcPr>
          <w:p w14:paraId="11718804">
            <w:pPr>
              <w:pStyle w:val="31"/>
              <w:bidi w:val="0"/>
              <w:rPr>
                <w:rFonts w:hint="default"/>
                <w:color w:val="auto"/>
                <w:lang w:eastAsia="zh-CN"/>
              </w:rPr>
            </w:pPr>
            <w:r>
              <w:rPr>
                <w:rFonts w:hint="default"/>
                <w:color w:val="auto"/>
                <w:lang w:eastAsia="zh-CN"/>
              </w:rPr>
              <w:t>马尾松林</w:t>
            </w:r>
          </w:p>
        </w:tc>
        <w:tc>
          <w:tcPr>
            <w:tcW w:w="1220" w:type="dxa"/>
            <w:tcBorders>
              <w:tl2br w:val="nil"/>
              <w:tr2bl w:val="nil"/>
            </w:tcBorders>
            <w:noWrap w:val="0"/>
            <w:tcMar>
              <w:top w:w="0" w:type="dxa"/>
              <w:left w:w="108" w:type="dxa"/>
              <w:bottom w:w="0" w:type="dxa"/>
              <w:right w:w="108" w:type="dxa"/>
            </w:tcMar>
            <w:vAlign w:val="center"/>
          </w:tcPr>
          <w:p w14:paraId="6B0A3F0D">
            <w:pPr>
              <w:pStyle w:val="31"/>
              <w:bidi w:val="0"/>
              <w:rPr>
                <w:rFonts w:hint="default"/>
                <w:color w:val="auto"/>
                <w:lang w:eastAsia="zh-CN"/>
              </w:rPr>
            </w:pPr>
            <w:r>
              <w:rPr>
                <w:rFonts w:hint="default"/>
                <w:color w:val="auto"/>
              </w:rPr>
              <w:t>地形：</w:t>
            </w:r>
            <w:r>
              <w:rPr>
                <w:rFonts w:hint="default"/>
                <w:color w:val="auto"/>
                <w:lang w:val="en-US" w:eastAsia="zh-CN"/>
              </w:rPr>
              <w:t>平原</w:t>
            </w:r>
          </w:p>
          <w:p w14:paraId="0B09A9F3">
            <w:pPr>
              <w:pStyle w:val="31"/>
              <w:bidi w:val="0"/>
              <w:rPr>
                <w:rFonts w:hint="default"/>
                <w:color w:val="auto"/>
              </w:rPr>
            </w:pPr>
            <w:r>
              <w:rPr>
                <w:rFonts w:hint="default"/>
                <w:color w:val="auto"/>
              </w:rPr>
              <w:t>海拔：</w:t>
            </w:r>
            <w:r>
              <w:rPr>
                <w:rFonts w:hint="eastAsia"/>
                <w:color w:val="auto"/>
                <w:lang w:val="en-US" w:eastAsia="zh-CN"/>
              </w:rPr>
              <w:t>11</w:t>
            </w:r>
            <w:r>
              <w:rPr>
                <w:rFonts w:hint="default"/>
                <w:color w:val="auto"/>
              </w:rPr>
              <w:t>m</w:t>
            </w:r>
          </w:p>
          <w:p w14:paraId="77EF6F1B">
            <w:pPr>
              <w:pStyle w:val="31"/>
              <w:bidi w:val="0"/>
              <w:rPr>
                <w:rFonts w:hint="default"/>
                <w:color w:val="auto"/>
              </w:rPr>
            </w:pPr>
            <w:r>
              <w:rPr>
                <w:rFonts w:hint="default"/>
                <w:color w:val="auto"/>
              </w:rPr>
              <w:t>坡</w:t>
            </w:r>
            <w:r>
              <w:rPr>
                <w:rFonts w:hint="eastAsia"/>
                <w:color w:val="auto"/>
                <w:lang w:val="en-US" w:eastAsia="zh-CN"/>
              </w:rPr>
              <w:t>向</w:t>
            </w:r>
            <w:r>
              <w:rPr>
                <w:rFonts w:hint="default"/>
                <w:color w:val="auto"/>
              </w:rPr>
              <w:t>：</w:t>
            </w:r>
            <w:r>
              <w:rPr>
                <w:rFonts w:hint="default"/>
                <w:color w:val="auto"/>
                <w:lang w:val="en-US" w:eastAsia="zh-CN"/>
              </w:rPr>
              <w:t>-</w:t>
            </w:r>
          </w:p>
          <w:p w14:paraId="28371DD9">
            <w:pPr>
              <w:pStyle w:val="31"/>
              <w:bidi w:val="0"/>
              <w:rPr>
                <w:rFonts w:hint="default"/>
                <w:color w:val="auto"/>
                <w:lang w:val="en-US" w:eastAsia="zh-CN"/>
              </w:rPr>
            </w:pPr>
            <w:r>
              <w:rPr>
                <w:rFonts w:hint="default"/>
                <w:color w:val="auto"/>
              </w:rPr>
              <w:t>坡位：</w:t>
            </w:r>
            <w:r>
              <w:rPr>
                <w:rFonts w:hint="eastAsia"/>
                <w:color w:val="auto"/>
                <w:lang w:val="en-US" w:eastAsia="zh-CN"/>
              </w:rPr>
              <w:t>0°</w:t>
            </w:r>
          </w:p>
        </w:tc>
        <w:tc>
          <w:tcPr>
            <w:tcW w:w="2610" w:type="dxa"/>
            <w:tcBorders>
              <w:tl2br w:val="nil"/>
              <w:tr2bl w:val="nil"/>
            </w:tcBorders>
            <w:noWrap w:val="0"/>
            <w:tcMar>
              <w:top w:w="0" w:type="dxa"/>
              <w:left w:w="108" w:type="dxa"/>
              <w:bottom w:w="0" w:type="dxa"/>
              <w:right w:w="108" w:type="dxa"/>
            </w:tcMar>
            <w:vAlign w:val="center"/>
          </w:tcPr>
          <w:p w14:paraId="397B1C3E">
            <w:pPr>
              <w:pStyle w:val="31"/>
              <w:bidi w:val="0"/>
              <w:rPr>
                <w:rFonts w:hint="default"/>
                <w:color w:val="auto"/>
                <w:lang w:val="en-US" w:eastAsia="zh-CN"/>
              </w:rPr>
            </w:pPr>
            <w:r>
              <w:rPr>
                <w:rFonts w:hint="default"/>
                <w:color w:val="auto"/>
                <w:lang w:val="en-US" w:eastAsia="zh-CN"/>
              </w:rPr>
              <w:t>层高12m。优势种为马尾松，株高10m-13m，胸径14cm-18cm，。林下常见植物有悬钩子、山茶、箬竹（Indocalamus</w:t>
            </w:r>
          </w:p>
          <w:p w14:paraId="7FE2D3FA">
            <w:pPr>
              <w:pStyle w:val="31"/>
              <w:bidi w:val="0"/>
              <w:rPr>
                <w:rFonts w:hint="default"/>
                <w:color w:val="auto"/>
                <w:lang w:val="en-US" w:eastAsia="zh-CN"/>
              </w:rPr>
            </w:pPr>
            <w:r>
              <w:rPr>
                <w:rFonts w:hint="default"/>
                <w:color w:val="auto"/>
                <w:lang w:val="en-US" w:eastAsia="zh-CN"/>
              </w:rPr>
              <w:t>tessellatus）、狗脊、海金沙（Lygodiumjaponicum）等</w:t>
            </w:r>
          </w:p>
        </w:tc>
        <w:tc>
          <w:tcPr>
            <w:tcW w:w="628" w:type="dxa"/>
            <w:tcBorders>
              <w:tl2br w:val="nil"/>
              <w:tr2bl w:val="nil"/>
            </w:tcBorders>
            <w:noWrap w:val="0"/>
            <w:tcMar>
              <w:top w:w="0" w:type="dxa"/>
              <w:left w:w="108" w:type="dxa"/>
              <w:bottom w:w="0" w:type="dxa"/>
              <w:right w:w="108" w:type="dxa"/>
            </w:tcMar>
            <w:vAlign w:val="center"/>
          </w:tcPr>
          <w:p w14:paraId="7C21DC1D">
            <w:pPr>
              <w:pStyle w:val="31"/>
              <w:bidi w:val="0"/>
              <w:rPr>
                <w:rFonts w:hint="default"/>
                <w:color w:val="auto"/>
                <w:lang w:val="en-US" w:eastAsia="zh-CN"/>
              </w:rPr>
            </w:pPr>
            <w:r>
              <w:rPr>
                <w:rFonts w:hint="eastAsia"/>
                <w:color w:val="auto"/>
                <w:lang w:val="en-US" w:eastAsia="zh-CN"/>
              </w:rPr>
              <w:t>80</w:t>
            </w:r>
            <w:r>
              <w:rPr>
                <w:rFonts w:hint="default"/>
                <w:color w:val="auto"/>
                <w:lang w:val="en-US" w:eastAsia="zh-CN"/>
              </w:rPr>
              <w:t>%</w:t>
            </w:r>
          </w:p>
        </w:tc>
        <w:tc>
          <w:tcPr>
            <w:tcW w:w="3642" w:type="dxa"/>
            <w:tcBorders>
              <w:tl2br w:val="nil"/>
              <w:tr2bl w:val="nil"/>
            </w:tcBorders>
            <w:noWrap w:val="0"/>
            <w:tcMar>
              <w:top w:w="0" w:type="dxa"/>
              <w:left w:w="108" w:type="dxa"/>
              <w:bottom w:w="0" w:type="dxa"/>
              <w:right w:w="108" w:type="dxa"/>
            </w:tcMar>
            <w:vAlign w:val="center"/>
          </w:tcPr>
          <w:p w14:paraId="56200033">
            <w:pPr>
              <w:pStyle w:val="31"/>
              <w:bidi w:val="0"/>
              <w:rPr>
                <w:rFonts w:hint="default"/>
                <w:color w:val="auto"/>
                <w:lang w:eastAsia="zh-CN"/>
              </w:rPr>
            </w:pPr>
            <w:r>
              <w:rPr>
                <w:color w:val="auto"/>
              </w:rPr>
              <w:drawing>
                <wp:inline distT="0" distB="0" distL="114300" distR="114300">
                  <wp:extent cx="2360295" cy="1753235"/>
                  <wp:effectExtent l="0" t="0" r="1905" b="18415"/>
                  <wp:docPr id="7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0"/>
                          <pic:cNvPicPr>
                            <a:picLocks noChangeAspect="1"/>
                          </pic:cNvPicPr>
                        </pic:nvPicPr>
                        <pic:blipFill>
                          <a:blip r:embed="rId53"/>
                          <a:stretch>
                            <a:fillRect/>
                          </a:stretch>
                        </pic:blipFill>
                        <pic:spPr>
                          <a:xfrm>
                            <a:off x="0" y="0"/>
                            <a:ext cx="2360295" cy="1753235"/>
                          </a:xfrm>
                          <a:prstGeom prst="rect">
                            <a:avLst/>
                          </a:prstGeom>
                          <a:noFill/>
                          <a:ln>
                            <a:noFill/>
                          </a:ln>
                        </pic:spPr>
                      </pic:pic>
                    </a:graphicData>
                  </a:graphic>
                </wp:inline>
              </w:drawing>
            </w:r>
          </w:p>
        </w:tc>
      </w:tr>
      <w:tr w14:paraId="213AB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74805DE5">
            <w:pPr>
              <w:pStyle w:val="31"/>
              <w:bidi w:val="0"/>
              <w:rPr>
                <w:rFonts w:hint="eastAsia"/>
                <w:color w:val="auto"/>
                <w:lang w:val="en-US" w:eastAsia="zh-CN"/>
              </w:rPr>
            </w:pPr>
            <w:r>
              <w:rPr>
                <w:rFonts w:hint="eastAsia"/>
                <w:color w:val="auto"/>
                <w:lang w:val="en-US" w:eastAsia="zh-CN"/>
              </w:rPr>
              <w:t>2</w:t>
            </w:r>
          </w:p>
        </w:tc>
        <w:tc>
          <w:tcPr>
            <w:tcW w:w="742" w:type="dxa"/>
            <w:tcBorders>
              <w:tl2br w:val="nil"/>
              <w:tr2bl w:val="nil"/>
            </w:tcBorders>
            <w:noWrap w:val="0"/>
            <w:tcMar>
              <w:top w:w="0" w:type="dxa"/>
              <w:left w:w="108" w:type="dxa"/>
              <w:bottom w:w="0" w:type="dxa"/>
              <w:right w:w="108" w:type="dxa"/>
            </w:tcMar>
            <w:vAlign w:val="center"/>
          </w:tcPr>
          <w:p w14:paraId="0392F1A2">
            <w:pPr>
              <w:pStyle w:val="31"/>
              <w:bidi w:val="0"/>
              <w:rPr>
                <w:rFonts w:hint="default"/>
                <w:color w:val="auto"/>
                <w:lang w:val="en-US" w:eastAsia="zh-CN"/>
              </w:rPr>
            </w:pPr>
            <w:r>
              <w:rPr>
                <w:rFonts w:hint="eastAsia"/>
                <w:color w:val="auto"/>
                <w:lang w:val="en-US" w:eastAsia="zh-CN"/>
              </w:rPr>
              <w:t>样方10</w:t>
            </w:r>
          </w:p>
        </w:tc>
        <w:tc>
          <w:tcPr>
            <w:tcW w:w="741" w:type="dxa"/>
            <w:tcBorders>
              <w:tl2br w:val="nil"/>
              <w:tr2bl w:val="nil"/>
            </w:tcBorders>
            <w:noWrap w:val="0"/>
            <w:tcMar>
              <w:top w:w="0" w:type="dxa"/>
              <w:left w:w="108" w:type="dxa"/>
              <w:bottom w:w="0" w:type="dxa"/>
              <w:right w:w="108" w:type="dxa"/>
            </w:tcMar>
            <w:vAlign w:val="center"/>
          </w:tcPr>
          <w:p w14:paraId="5AD6EBDB">
            <w:pPr>
              <w:pStyle w:val="31"/>
              <w:bidi w:val="0"/>
              <w:rPr>
                <w:rFonts w:hint="default"/>
                <w:color w:val="auto"/>
                <w:lang w:val="en-US" w:eastAsia="zh-CN"/>
              </w:rPr>
            </w:pPr>
            <w:r>
              <w:rPr>
                <w:rFonts w:hint="eastAsia"/>
                <w:color w:val="auto"/>
                <w:lang w:val="en-US" w:eastAsia="zh-CN"/>
              </w:rPr>
              <w:t>6号抛泥区南侧</w:t>
            </w:r>
          </w:p>
        </w:tc>
        <w:tc>
          <w:tcPr>
            <w:tcW w:w="974" w:type="dxa"/>
            <w:tcBorders>
              <w:tl2br w:val="nil"/>
              <w:tr2bl w:val="nil"/>
            </w:tcBorders>
            <w:noWrap w:val="0"/>
            <w:tcMar>
              <w:top w:w="0" w:type="dxa"/>
              <w:left w:w="108" w:type="dxa"/>
              <w:bottom w:w="0" w:type="dxa"/>
              <w:right w:w="108" w:type="dxa"/>
            </w:tcMar>
            <w:vAlign w:val="center"/>
          </w:tcPr>
          <w:p w14:paraId="3AE4109A">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20EFBA5E">
            <w:pPr>
              <w:pStyle w:val="31"/>
              <w:bidi w:val="0"/>
              <w:rPr>
                <w:rFonts w:hint="default"/>
                <w:color w:val="auto"/>
                <w:lang w:eastAsia="zh-CN"/>
              </w:rPr>
            </w:pPr>
            <w:r>
              <w:rPr>
                <w:rFonts w:hint="eastAsia"/>
                <w:color w:val="auto"/>
                <w:lang w:val="en-US" w:eastAsia="zh-CN"/>
              </w:rPr>
              <w:t>100</w:t>
            </w:r>
          </w:p>
        </w:tc>
        <w:tc>
          <w:tcPr>
            <w:tcW w:w="883" w:type="dxa"/>
            <w:tcBorders>
              <w:tl2br w:val="nil"/>
              <w:tr2bl w:val="nil"/>
            </w:tcBorders>
            <w:noWrap w:val="0"/>
            <w:tcMar>
              <w:top w:w="0" w:type="dxa"/>
              <w:left w:w="108" w:type="dxa"/>
              <w:bottom w:w="0" w:type="dxa"/>
              <w:right w:w="108" w:type="dxa"/>
            </w:tcMar>
            <w:vAlign w:val="center"/>
          </w:tcPr>
          <w:p w14:paraId="29B03042">
            <w:pPr>
              <w:pStyle w:val="31"/>
              <w:bidi w:val="0"/>
              <w:rPr>
                <w:rFonts w:hint="default"/>
                <w:color w:val="auto"/>
              </w:rPr>
            </w:pPr>
            <w:r>
              <w:rPr>
                <w:rFonts w:hint="default"/>
                <w:color w:val="auto"/>
              </w:rPr>
              <w:t>117.38728523,30.58714589</w:t>
            </w:r>
          </w:p>
        </w:tc>
        <w:tc>
          <w:tcPr>
            <w:tcW w:w="730" w:type="dxa"/>
            <w:tcBorders>
              <w:tl2br w:val="nil"/>
              <w:tr2bl w:val="nil"/>
            </w:tcBorders>
            <w:noWrap w:val="0"/>
            <w:tcMar>
              <w:top w:w="0" w:type="dxa"/>
              <w:left w:w="108" w:type="dxa"/>
              <w:bottom w:w="0" w:type="dxa"/>
              <w:right w:w="108" w:type="dxa"/>
            </w:tcMar>
            <w:vAlign w:val="center"/>
          </w:tcPr>
          <w:p w14:paraId="09670191">
            <w:pPr>
              <w:pStyle w:val="31"/>
              <w:bidi w:val="0"/>
              <w:rPr>
                <w:rFonts w:hint="default"/>
                <w:color w:val="auto"/>
              </w:rPr>
            </w:pPr>
            <w:r>
              <w:rPr>
                <w:rFonts w:hint="eastAsia"/>
                <w:color w:val="auto"/>
                <w:lang w:val="en-US" w:eastAsia="zh-CN"/>
              </w:rPr>
              <w:t>乔木</w:t>
            </w:r>
          </w:p>
        </w:tc>
        <w:tc>
          <w:tcPr>
            <w:tcW w:w="710" w:type="dxa"/>
            <w:tcBorders>
              <w:tl2br w:val="nil"/>
              <w:tr2bl w:val="nil"/>
            </w:tcBorders>
            <w:noWrap w:val="0"/>
            <w:tcMar>
              <w:top w:w="0" w:type="dxa"/>
              <w:left w:w="108" w:type="dxa"/>
              <w:bottom w:w="0" w:type="dxa"/>
              <w:right w:w="108" w:type="dxa"/>
            </w:tcMar>
            <w:vAlign w:val="center"/>
          </w:tcPr>
          <w:p w14:paraId="25867D9F">
            <w:pPr>
              <w:pStyle w:val="31"/>
              <w:bidi w:val="0"/>
              <w:rPr>
                <w:rFonts w:hint="default"/>
                <w:color w:val="auto"/>
                <w:lang w:val="en-US" w:eastAsia="zh-CN"/>
              </w:rPr>
            </w:pPr>
            <w:r>
              <w:rPr>
                <w:rFonts w:hint="default"/>
                <w:color w:val="auto"/>
                <w:lang w:val="en-US" w:eastAsia="zh-CN"/>
              </w:rPr>
              <w:t>杉木林</w:t>
            </w:r>
          </w:p>
        </w:tc>
        <w:tc>
          <w:tcPr>
            <w:tcW w:w="1220" w:type="dxa"/>
            <w:tcBorders>
              <w:tl2br w:val="nil"/>
              <w:tr2bl w:val="nil"/>
            </w:tcBorders>
            <w:noWrap w:val="0"/>
            <w:tcMar>
              <w:top w:w="0" w:type="dxa"/>
              <w:left w:w="108" w:type="dxa"/>
              <w:bottom w:w="0" w:type="dxa"/>
              <w:right w:w="108" w:type="dxa"/>
            </w:tcMar>
            <w:vAlign w:val="center"/>
          </w:tcPr>
          <w:p w14:paraId="5EBA49B0">
            <w:pPr>
              <w:pStyle w:val="31"/>
              <w:bidi w:val="0"/>
              <w:rPr>
                <w:rFonts w:hint="default"/>
                <w:color w:val="auto"/>
                <w:lang w:val="en-US" w:eastAsia="zh-CN"/>
              </w:rPr>
            </w:pPr>
            <w:r>
              <w:rPr>
                <w:rFonts w:hint="default"/>
                <w:color w:val="auto"/>
                <w:lang w:val="en-US" w:eastAsia="zh-CN"/>
              </w:rPr>
              <w:t>地形：平原</w:t>
            </w:r>
          </w:p>
          <w:p w14:paraId="318C0536">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25</w:t>
            </w:r>
            <w:r>
              <w:rPr>
                <w:rFonts w:hint="default"/>
                <w:color w:val="auto"/>
                <w:lang w:val="en-US" w:eastAsia="zh-CN"/>
              </w:rPr>
              <w:t>m</w:t>
            </w:r>
          </w:p>
          <w:p w14:paraId="42622971">
            <w:pPr>
              <w:pStyle w:val="31"/>
              <w:bidi w:val="0"/>
              <w:rPr>
                <w:rFonts w:hint="default"/>
                <w:color w:val="auto"/>
                <w:lang w:val="en-US" w:eastAsia="zh-CN"/>
              </w:rPr>
            </w:pPr>
            <w:r>
              <w:rPr>
                <w:rFonts w:hint="default"/>
                <w:color w:val="auto"/>
                <w:lang w:val="en-US" w:eastAsia="zh-CN"/>
              </w:rPr>
              <w:t>坡向：-</w:t>
            </w:r>
          </w:p>
          <w:p w14:paraId="79DADEF3">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7B479A27">
            <w:pPr>
              <w:pStyle w:val="31"/>
              <w:bidi w:val="0"/>
              <w:rPr>
                <w:rFonts w:hint="default"/>
                <w:color w:val="auto"/>
                <w:lang w:eastAsia="zh-CN"/>
              </w:rPr>
            </w:pPr>
            <w:r>
              <w:rPr>
                <w:rFonts w:hint="default"/>
                <w:color w:val="auto"/>
                <w:lang w:eastAsia="zh-CN"/>
              </w:rPr>
              <w:t>层高16m。优势种为杉木，株高15m-17m，胸径14cm-16cm。乔木层间有木荷、马尾松、毛竹等。林下植物有野蔷薇（Rosamultiflora）、构树（Broussonetiapapyrifera）悬钩子、土茯苓、井栏边草、紫金牛（Ardisiajaponica）等</w:t>
            </w:r>
          </w:p>
        </w:tc>
        <w:tc>
          <w:tcPr>
            <w:tcW w:w="628" w:type="dxa"/>
            <w:tcBorders>
              <w:tl2br w:val="nil"/>
              <w:tr2bl w:val="nil"/>
            </w:tcBorders>
            <w:noWrap w:val="0"/>
            <w:tcMar>
              <w:top w:w="0" w:type="dxa"/>
              <w:left w:w="108" w:type="dxa"/>
              <w:bottom w:w="0" w:type="dxa"/>
              <w:right w:w="108" w:type="dxa"/>
            </w:tcMar>
            <w:vAlign w:val="center"/>
          </w:tcPr>
          <w:p w14:paraId="0A112266">
            <w:pPr>
              <w:pStyle w:val="31"/>
              <w:bidi w:val="0"/>
              <w:rPr>
                <w:rFonts w:hint="default"/>
                <w:color w:val="auto"/>
                <w:lang w:val="en-US" w:eastAsia="zh-CN"/>
              </w:rPr>
            </w:pPr>
            <w:r>
              <w:rPr>
                <w:rFonts w:hint="eastAsia"/>
                <w:color w:val="auto"/>
                <w:lang w:val="en-US" w:eastAsia="zh-CN"/>
              </w:rPr>
              <w:t>75</w:t>
            </w:r>
          </w:p>
        </w:tc>
        <w:tc>
          <w:tcPr>
            <w:tcW w:w="3642" w:type="dxa"/>
            <w:tcBorders>
              <w:tl2br w:val="nil"/>
              <w:tr2bl w:val="nil"/>
            </w:tcBorders>
            <w:noWrap w:val="0"/>
            <w:tcMar>
              <w:top w:w="0" w:type="dxa"/>
              <w:left w:w="108" w:type="dxa"/>
              <w:bottom w:w="0" w:type="dxa"/>
              <w:right w:w="108" w:type="dxa"/>
            </w:tcMar>
            <w:vAlign w:val="center"/>
          </w:tcPr>
          <w:p w14:paraId="17F9DF23">
            <w:pPr>
              <w:pStyle w:val="31"/>
              <w:bidi w:val="0"/>
              <w:rPr>
                <w:rFonts w:hint="default"/>
                <w:color w:val="auto"/>
                <w:lang w:eastAsia="zh-CN"/>
              </w:rPr>
            </w:pPr>
            <w:r>
              <w:rPr>
                <w:color w:val="auto"/>
              </w:rPr>
              <w:drawing>
                <wp:inline distT="0" distB="0" distL="114300" distR="114300">
                  <wp:extent cx="2362200" cy="1805305"/>
                  <wp:effectExtent l="0" t="0" r="0" b="4445"/>
                  <wp:docPr id="7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31"/>
                          <pic:cNvPicPr>
                            <a:picLocks noChangeAspect="1"/>
                          </pic:cNvPicPr>
                        </pic:nvPicPr>
                        <pic:blipFill>
                          <a:blip r:embed="rId54"/>
                          <a:stretch>
                            <a:fillRect/>
                          </a:stretch>
                        </pic:blipFill>
                        <pic:spPr>
                          <a:xfrm>
                            <a:off x="0" y="0"/>
                            <a:ext cx="2362200" cy="1805305"/>
                          </a:xfrm>
                          <a:prstGeom prst="rect">
                            <a:avLst/>
                          </a:prstGeom>
                          <a:noFill/>
                          <a:ln>
                            <a:noFill/>
                          </a:ln>
                        </pic:spPr>
                      </pic:pic>
                    </a:graphicData>
                  </a:graphic>
                </wp:inline>
              </w:drawing>
            </w:r>
          </w:p>
        </w:tc>
      </w:tr>
      <w:tr w14:paraId="2DCA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3C9BE17A">
            <w:pPr>
              <w:pStyle w:val="31"/>
              <w:bidi w:val="0"/>
              <w:rPr>
                <w:rFonts w:hint="eastAsia" w:eastAsia="宋体"/>
                <w:color w:val="auto"/>
                <w:lang w:val="en-US" w:eastAsia="zh-CN"/>
              </w:rPr>
            </w:pPr>
            <w:r>
              <w:rPr>
                <w:rFonts w:hint="eastAsia"/>
                <w:color w:val="auto"/>
                <w:lang w:val="en-US" w:eastAsia="zh-CN"/>
              </w:rPr>
              <w:t>3</w:t>
            </w:r>
          </w:p>
        </w:tc>
        <w:tc>
          <w:tcPr>
            <w:tcW w:w="742" w:type="dxa"/>
            <w:tcBorders>
              <w:tl2br w:val="nil"/>
              <w:tr2bl w:val="nil"/>
            </w:tcBorders>
            <w:noWrap w:val="0"/>
            <w:tcMar>
              <w:top w:w="0" w:type="dxa"/>
              <w:left w:w="108" w:type="dxa"/>
              <w:bottom w:w="0" w:type="dxa"/>
              <w:right w:w="108" w:type="dxa"/>
            </w:tcMar>
            <w:vAlign w:val="center"/>
          </w:tcPr>
          <w:p w14:paraId="729B4672">
            <w:pPr>
              <w:pStyle w:val="31"/>
              <w:bidi w:val="0"/>
              <w:rPr>
                <w:rFonts w:hint="default"/>
                <w:color w:val="auto"/>
                <w:lang w:val="en-US" w:eastAsia="zh-CN"/>
              </w:rPr>
            </w:pPr>
            <w:r>
              <w:rPr>
                <w:rFonts w:hint="eastAsia"/>
                <w:color w:val="auto"/>
                <w:lang w:val="en-US" w:eastAsia="zh-CN"/>
              </w:rPr>
              <w:t>样方13</w:t>
            </w:r>
          </w:p>
        </w:tc>
        <w:tc>
          <w:tcPr>
            <w:tcW w:w="741" w:type="dxa"/>
            <w:tcBorders>
              <w:tl2br w:val="nil"/>
              <w:tr2bl w:val="nil"/>
            </w:tcBorders>
            <w:noWrap w:val="0"/>
            <w:tcMar>
              <w:top w:w="0" w:type="dxa"/>
              <w:left w:w="108" w:type="dxa"/>
              <w:bottom w:w="0" w:type="dxa"/>
              <w:right w:w="108" w:type="dxa"/>
            </w:tcMar>
            <w:vAlign w:val="center"/>
          </w:tcPr>
          <w:p w14:paraId="11BEF0BE">
            <w:pPr>
              <w:pStyle w:val="31"/>
              <w:bidi w:val="0"/>
              <w:rPr>
                <w:rFonts w:hint="default"/>
                <w:color w:val="auto"/>
                <w:lang w:val="en-US" w:eastAsia="zh-CN"/>
              </w:rPr>
            </w:pPr>
            <w:r>
              <w:rPr>
                <w:rFonts w:hint="eastAsia"/>
                <w:color w:val="auto"/>
                <w:lang w:val="en-US" w:eastAsia="zh-CN"/>
              </w:rPr>
              <w:t>6号抛泥区南侧</w:t>
            </w:r>
          </w:p>
        </w:tc>
        <w:tc>
          <w:tcPr>
            <w:tcW w:w="974" w:type="dxa"/>
            <w:tcBorders>
              <w:tl2br w:val="nil"/>
              <w:tr2bl w:val="nil"/>
            </w:tcBorders>
            <w:noWrap w:val="0"/>
            <w:tcMar>
              <w:top w:w="0" w:type="dxa"/>
              <w:left w:w="108" w:type="dxa"/>
              <w:bottom w:w="0" w:type="dxa"/>
              <w:right w:w="108" w:type="dxa"/>
            </w:tcMar>
            <w:vAlign w:val="center"/>
          </w:tcPr>
          <w:p w14:paraId="66464E25">
            <w:pPr>
              <w:pStyle w:val="31"/>
              <w:bidi w:val="0"/>
              <w:rPr>
                <w:rFonts w:hint="default"/>
                <w:color w:val="auto"/>
                <w:lang w:val="en-US" w:eastAsia="zh-CN"/>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578D7FA1">
            <w:pPr>
              <w:pStyle w:val="31"/>
              <w:bidi w:val="0"/>
              <w:rPr>
                <w:rFonts w:hint="default"/>
                <w:color w:val="auto"/>
                <w:lang w:val="en-US" w:eastAsia="zh-CN"/>
              </w:rPr>
            </w:pPr>
            <w:r>
              <w:rPr>
                <w:rFonts w:hint="eastAsia"/>
                <w:color w:val="auto"/>
                <w:lang w:val="en-US" w:eastAsia="zh-CN"/>
              </w:rPr>
              <w:t>100</w:t>
            </w:r>
          </w:p>
        </w:tc>
        <w:tc>
          <w:tcPr>
            <w:tcW w:w="883" w:type="dxa"/>
            <w:tcBorders>
              <w:tl2br w:val="nil"/>
              <w:tr2bl w:val="nil"/>
            </w:tcBorders>
            <w:noWrap w:val="0"/>
            <w:tcMar>
              <w:top w:w="0" w:type="dxa"/>
              <w:left w:w="108" w:type="dxa"/>
              <w:bottom w:w="0" w:type="dxa"/>
              <w:right w:w="108" w:type="dxa"/>
            </w:tcMar>
            <w:vAlign w:val="center"/>
          </w:tcPr>
          <w:p w14:paraId="51CC2C5B">
            <w:pPr>
              <w:pStyle w:val="31"/>
              <w:bidi w:val="0"/>
              <w:rPr>
                <w:rFonts w:hint="default"/>
                <w:color w:val="auto"/>
                <w:lang w:val="en-US" w:eastAsia="zh-CN"/>
              </w:rPr>
            </w:pPr>
            <w:r>
              <w:rPr>
                <w:rFonts w:hint="default"/>
                <w:color w:val="auto"/>
                <w:lang w:val="en-US" w:eastAsia="zh-CN"/>
              </w:rPr>
              <w:t>117.38686144,30.58699811</w:t>
            </w:r>
          </w:p>
        </w:tc>
        <w:tc>
          <w:tcPr>
            <w:tcW w:w="730" w:type="dxa"/>
            <w:tcBorders>
              <w:tl2br w:val="nil"/>
              <w:tr2bl w:val="nil"/>
            </w:tcBorders>
            <w:noWrap w:val="0"/>
            <w:tcMar>
              <w:top w:w="0" w:type="dxa"/>
              <w:left w:w="108" w:type="dxa"/>
              <w:bottom w:w="0" w:type="dxa"/>
              <w:right w:w="108" w:type="dxa"/>
            </w:tcMar>
            <w:vAlign w:val="center"/>
          </w:tcPr>
          <w:p w14:paraId="5AD574D4">
            <w:pPr>
              <w:pStyle w:val="31"/>
              <w:bidi w:val="0"/>
              <w:rPr>
                <w:rFonts w:hint="default"/>
                <w:color w:val="auto"/>
              </w:rPr>
            </w:pPr>
            <w:r>
              <w:rPr>
                <w:rFonts w:hint="eastAsia"/>
                <w:color w:val="auto"/>
                <w:lang w:val="en-US" w:eastAsia="zh-CN"/>
              </w:rPr>
              <w:t>乔木</w:t>
            </w:r>
          </w:p>
        </w:tc>
        <w:tc>
          <w:tcPr>
            <w:tcW w:w="710" w:type="dxa"/>
            <w:tcBorders>
              <w:tl2br w:val="nil"/>
              <w:tr2bl w:val="nil"/>
            </w:tcBorders>
            <w:noWrap w:val="0"/>
            <w:tcMar>
              <w:top w:w="0" w:type="dxa"/>
              <w:left w:w="108" w:type="dxa"/>
              <w:bottom w:w="0" w:type="dxa"/>
              <w:right w:w="108" w:type="dxa"/>
            </w:tcMar>
            <w:vAlign w:val="center"/>
          </w:tcPr>
          <w:p w14:paraId="07D7B6FA">
            <w:pPr>
              <w:pStyle w:val="31"/>
              <w:bidi w:val="0"/>
              <w:rPr>
                <w:rFonts w:hint="default"/>
                <w:color w:val="auto"/>
                <w:lang w:val="en-US" w:eastAsia="zh-CN"/>
              </w:rPr>
            </w:pPr>
            <w:r>
              <w:rPr>
                <w:rFonts w:hint="default"/>
                <w:color w:val="auto"/>
                <w:lang w:val="en-US" w:eastAsia="zh-CN"/>
              </w:rPr>
              <w:t>木荷林</w:t>
            </w:r>
          </w:p>
        </w:tc>
        <w:tc>
          <w:tcPr>
            <w:tcW w:w="1220" w:type="dxa"/>
            <w:tcBorders>
              <w:tl2br w:val="nil"/>
              <w:tr2bl w:val="nil"/>
            </w:tcBorders>
            <w:noWrap w:val="0"/>
            <w:tcMar>
              <w:top w:w="0" w:type="dxa"/>
              <w:left w:w="108" w:type="dxa"/>
              <w:bottom w:w="0" w:type="dxa"/>
              <w:right w:w="108" w:type="dxa"/>
            </w:tcMar>
            <w:vAlign w:val="center"/>
          </w:tcPr>
          <w:p w14:paraId="16675FB4">
            <w:pPr>
              <w:pStyle w:val="31"/>
              <w:bidi w:val="0"/>
              <w:rPr>
                <w:rFonts w:hint="default"/>
                <w:color w:val="auto"/>
                <w:lang w:val="en-US" w:eastAsia="zh-CN"/>
              </w:rPr>
            </w:pPr>
            <w:r>
              <w:rPr>
                <w:rFonts w:hint="default"/>
                <w:color w:val="auto"/>
                <w:lang w:val="en-US" w:eastAsia="zh-CN"/>
              </w:rPr>
              <w:t>地形：平原</w:t>
            </w:r>
          </w:p>
          <w:p w14:paraId="4814E397">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22</w:t>
            </w:r>
            <w:r>
              <w:rPr>
                <w:rFonts w:hint="default"/>
                <w:color w:val="auto"/>
                <w:lang w:val="en-US" w:eastAsia="zh-CN"/>
              </w:rPr>
              <w:t>m</w:t>
            </w:r>
          </w:p>
          <w:p w14:paraId="670786C1">
            <w:pPr>
              <w:pStyle w:val="31"/>
              <w:bidi w:val="0"/>
              <w:rPr>
                <w:rFonts w:hint="default"/>
                <w:color w:val="auto"/>
                <w:lang w:val="en-US" w:eastAsia="zh-CN"/>
              </w:rPr>
            </w:pPr>
            <w:r>
              <w:rPr>
                <w:rFonts w:hint="default"/>
                <w:color w:val="auto"/>
                <w:lang w:val="en-US" w:eastAsia="zh-CN"/>
              </w:rPr>
              <w:t>坡向：-</w:t>
            </w:r>
          </w:p>
          <w:p w14:paraId="5C83FA3A">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33851894">
            <w:pPr>
              <w:pStyle w:val="31"/>
              <w:bidi w:val="0"/>
              <w:rPr>
                <w:rFonts w:hint="default"/>
                <w:color w:val="auto"/>
              </w:rPr>
            </w:pPr>
            <w:r>
              <w:rPr>
                <w:rFonts w:hint="default"/>
                <w:color w:val="auto"/>
              </w:rPr>
              <w:t>层高10m，优势种为木荷，高度8m-11m，胸径10cm-12cm。乔木层间有杉木、马尾松等。林下植物野蔷薇、山茶、紫金牛、井栏边草、海金沙等</w:t>
            </w:r>
          </w:p>
        </w:tc>
        <w:tc>
          <w:tcPr>
            <w:tcW w:w="628" w:type="dxa"/>
            <w:tcBorders>
              <w:tl2br w:val="nil"/>
              <w:tr2bl w:val="nil"/>
            </w:tcBorders>
            <w:noWrap w:val="0"/>
            <w:tcMar>
              <w:top w:w="0" w:type="dxa"/>
              <w:left w:w="108" w:type="dxa"/>
              <w:bottom w:w="0" w:type="dxa"/>
              <w:right w:w="108" w:type="dxa"/>
            </w:tcMar>
            <w:vAlign w:val="center"/>
          </w:tcPr>
          <w:p w14:paraId="05440545">
            <w:pPr>
              <w:pStyle w:val="31"/>
              <w:bidi w:val="0"/>
              <w:rPr>
                <w:rFonts w:hint="default"/>
                <w:color w:val="auto"/>
                <w:lang w:val="en-US" w:eastAsia="zh-CN"/>
              </w:rPr>
            </w:pPr>
            <w:r>
              <w:rPr>
                <w:rFonts w:hint="eastAsia"/>
                <w:color w:val="auto"/>
                <w:lang w:val="en-US" w:eastAsia="zh-CN"/>
              </w:rPr>
              <w:t>75</w:t>
            </w:r>
          </w:p>
        </w:tc>
        <w:tc>
          <w:tcPr>
            <w:tcW w:w="3642" w:type="dxa"/>
            <w:tcBorders>
              <w:tl2br w:val="nil"/>
              <w:tr2bl w:val="nil"/>
            </w:tcBorders>
            <w:noWrap w:val="0"/>
            <w:tcMar>
              <w:top w:w="0" w:type="dxa"/>
              <w:left w:w="108" w:type="dxa"/>
              <w:bottom w:w="0" w:type="dxa"/>
              <w:right w:w="108" w:type="dxa"/>
            </w:tcMar>
            <w:vAlign w:val="center"/>
          </w:tcPr>
          <w:p w14:paraId="13292FC4">
            <w:pPr>
              <w:pStyle w:val="31"/>
              <w:bidi w:val="0"/>
              <w:rPr>
                <w:rFonts w:hint="default"/>
                <w:color w:val="auto"/>
                <w:lang w:eastAsia="zh-CN"/>
              </w:rPr>
            </w:pPr>
            <w:r>
              <w:rPr>
                <w:color w:val="auto"/>
              </w:rPr>
              <w:drawing>
                <wp:inline distT="0" distB="0" distL="114300" distR="114300">
                  <wp:extent cx="2358390" cy="1823085"/>
                  <wp:effectExtent l="0" t="0" r="3810" b="5715"/>
                  <wp:docPr id="7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2"/>
                          <pic:cNvPicPr>
                            <a:picLocks noChangeAspect="1"/>
                          </pic:cNvPicPr>
                        </pic:nvPicPr>
                        <pic:blipFill>
                          <a:blip r:embed="rId55"/>
                          <a:stretch>
                            <a:fillRect/>
                          </a:stretch>
                        </pic:blipFill>
                        <pic:spPr>
                          <a:xfrm>
                            <a:off x="0" y="0"/>
                            <a:ext cx="2358390" cy="1823085"/>
                          </a:xfrm>
                          <a:prstGeom prst="rect">
                            <a:avLst/>
                          </a:prstGeom>
                          <a:noFill/>
                          <a:ln>
                            <a:noFill/>
                          </a:ln>
                        </pic:spPr>
                      </pic:pic>
                    </a:graphicData>
                  </a:graphic>
                </wp:inline>
              </w:drawing>
            </w:r>
          </w:p>
        </w:tc>
      </w:tr>
      <w:tr w14:paraId="7863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4DAE92AC">
            <w:pPr>
              <w:pStyle w:val="31"/>
              <w:bidi w:val="0"/>
              <w:rPr>
                <w:rFonts w:hint="eastAsia" w:eastAsia="宋体"/>
                <w:color w:val="auto"/>
                <w:lang w:val="en-US" w:eastAsia="zh-CN"/>
              </w:rPr>
            </w:pPr>
            <w:r>
              <w:rPr>
                <w:rFonts w:hint="eastAsia"/>
                <w:color w:val="auto"/>
                <w:lang w:val="en-US" w:eastAsia="zh-CN"/>
              </w:rPr>
              <w:t>4</w:t>
            </w:r>
          </w:p>
        </w:tc>
        <w:tc>
          <w:tcPr>
            <w:tcW w:w="742" w:type="dxa"/>
            <w:tcBorders>
              <w:tl2br w:val="nil"/>
              <w:tr2bl w:val="nil"/>
            </w:tcBorders>
            <w:noWrap w:val="0"/>
            <w:tcMar>
              <w:top w:w="0" w:type="dxa"/>
              <w:left w:w="108" w:type="dxa"/>
              <w:bottom w:w="0" w:type="dxa"/>
              <w:right w:w="108" w:type="dxa"/>
            </w:tcMar>
            <w:vAlign w:val="center"/>
          </w:tcPr>
          <w:p w14:paraId="743AC5B8">
            <w:pPr>
              <w:pStyle w:val="31"/>
              <w:bidi w:val="0"/>
              <w:rPr>
                <w:rFonts w:hint="default"/>
                <w:color w:val="auto"/>
                <w:lang w:val="en-US" w:eastAsia="zh-CN"/>
              </w:rPr>
            </w:pPr>
            <w:r>
              <w:rPr>
                <w:rFonts w:hint="eastAsia"/>
                <w:color w:val="auto"/>
                <w:lang w:val="en-US" w:eastAsia="zh-CN"/>
              </w:rPr>
              <w:t>样方1</w:t>
            </w:r>
          </w:p>
        </w:tc>
        <w:tc>
          <w:tcPr>
            <w:tcW w:w="741" w:type="dxa"/>
            <w:tcBorders>
              <w:tl2br w:val="nil"/>
              <w:tr2bl w:val="nil"/>
            </w:tcBorders>
            <w:noWrap w:val="0"/>
            <w:tcMar>
              <w:top w:w="0" w:type="dxa"/>
              <w:left w:w="108" w:type="dxa"/>
              <w:bottom w:w="0" w:type="dxa"/>
              <w:right w:w="108" w:type="dxa"/>
            </w:tcMar>
            <w:vAlign w:val="center"/>
          </w:tcPr>
          <w:p w14:paraId="0AD505EE">
            <w:pPr>
              <w:pStyle w:val="31"/>
              <w:bidi w:val="0"/>
              <w:rPr>
                <w:rFonts w:hint="default"/>
                <w:color w:val="auto"/>
                <w:lang w:val="en-US" w:eastAsia="zh-CN"/>
              </w:rPr>
            </w:pPr>
            <w:r>
              <w:rPr>
                <w:rFonts w:hint="eastAsia"/>
                <w:color w:val="auto"/>
                <w:lang w:val="en-US" w:eastAsia="zh-CN"/>
              </w:rPr>
              <w:t>5号抛泥区东侧</w:t>
            </w:r>
          </w:p>
        </w:tc>
        <w:tc>
          <w:tcPr>
            <w:tcW w:w="974" w:type="dxa"/>
            <w:tcBorders>
              <w:tl2br w:val="nil"/>
              <w:tr2bl w:val="nil"/>
            </w:tcBorders>
            <w:noWrap w:val="0"/>
            <w:tcMar>
              <w:top w:w="0" w:type="dxa"/>
              <w:left w:w="108" w:type="dxa"/>
              <w:bottom w:w="0" w:type="dxa"/>
              <w:right w:w="108" w:type="dxa"/>
            </w:tcMar>
            <w:vAlign w:val="center"/>
          </w:tcPr>
          <w:p w14:paraId="75DAFA95">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38AA9606">
            <w:pPr>
              <w:pStyle w:val="31"/>
              <w:bidi w:val="0"/>
              <w:rPr>
                <w:rFonts w:hint="default"/>
                <w:color w:val="auto"/>
                <w:lang w:val="en-US"/>
              </w:rPr>
            </w:pPr>
            <w:r>
              <w:rPr>
                <w:rFonts w:hint="eastAsia"/>
                <w:color w:val="auto"/>
                <w:lang w:val="en-US" w:eastAsia="zh-CN"/>
              </w:rPr>
              <w:t>100</w:t>
            </w:r>
          </w:p>
        </w:tc>
        <w:tc>
          <w:tcPr>
            <w:tcW w:w="883" w:type="dxa"/>
            <w:tcBorders>
              <w:tl2br w:val="nil"/>
              <w:tr2bl w:val="nil"/>
            </w:tcBorders>
            <w:noWrap w:val="0"/>
            <w:tcMar>
              <w:top w:w="0" w:type="dxa"/>
              <w:left w:w="108" w:type="dxa"/>
              <w:bottom w:w="0" w:type="dxa"/>
              <w:right w:w="108" w:type="dxa"/>
            </w:tcMar>
            <w:vAlign w:val="center"/>
          </w:tcPr>
          <w:p w14:paraId="4759AF94">
            <w:pPr>
              <w:pStyle w:val="31"/>
              <w:bidi w:val="0"/>
              <w:rPr>
                <w:rFonts w:hint="default"/>
                <w:color w:val="auto"/>
              </w:rPr>
            </w:pPr>
            <w:r>
              <w:rPr>
                <w:rFonts w:hint="default"/>
                <w:color w:val="auto"/>
              </w:rPr>
              <w:t>117.40520239,30.60264263</w:t>
            </w:r>
          </w:p>
        </w:tc>
        <w:tc>
          <w:tcPr>
            <w:tcW w:w="730" w:type="dxa"/>
            <w:tcBorders>
              <w:tl2br w:val="nil"/>
              <w:tr2bl w:val="nil"/>
            </w:tcBorders>
            <w:noWrap w:val="0"/>
            <w:tcMar>
              <w:top w:w="0" w:type="dxa"/>
              <w:left w:w="108" w:type="dxa"/>
              <w:bottom w:w="0" w:type="dxa"/>
              <w:right w:w="108" w:type="dxa"/>
            </w:tcMar>
            <w:vAlign w:val="center"/>
          </w:tcPr>
          <w:p w14:paraId="2517C75B">
            <w:pPr>
              <w:pStyle w:val="31"/>
              <w:bidi w:val="0"/>
              <w:rPr>
                <w:rFonts w:hint="default"/>
                <w:color w:val="auto"/>
                <w:lang w:eastAsia="zh-CN"/>
              </w:rPr>
            </w:pPr>
            <w:r>
              <w:rPr>
                <w:rFonts w:hint="eastAsia"/>
                <w:color w:val="auto"/>
                <w:lang w:val="en-US" w:eastAsia="zh-CN"/>
              </w:rPr>
              <w:t>乔木</w:t>
            </w:r>
          </w:p>
        </w:tc>
        <w:tc>
          <w:tcPr>
            <w:tcW w:w="710" w:type="dxa"/>
            <w:tcBorders>
              <w:tl2br w:val="nil"/>
              <w:tr2bl w:val="nil"/>
            </w:tcBorders>
            <w:noWrap w:val="0"/>
            <w:tcMar>
              <w:top w:w="0" w:type="dxa"/>
              <w:left w:w="108" w:type="dxa"/>
              <w:bottom w:w="0" w:type="dxa"/>
              <w:right w:w="108" w:type="dxa"/>
            </w:tcMar>
            <w:vAlign w:val="center"/>
          </w:tcPr>
          <w:p w14:paraId="28BB902C">
            <w:pPr>
              <w:pStyle w:val="31"/>
              <w:bidi w:val="0"/>
              <w:rPr>
                <w:rFonts w:hint="default"/>
                <w:color w:val="auto"/>
                <w:lang w:val="en-US" w:eastAsia="zh-CN"/>
              </w:rPr>
            </w:pPr>
            <w:r>
              <w:rPr>
                <w:rFonts w:hint="default"/>
                <w:color w:val="auto"/>
                <w:lang w:val="en-US" w:eastAsia="zh-CN"/>
              </w:rPr>
              <w:t>垂柳林</w:t>
            </w:r>
          </w:p>
        </w:tc>
        <w:tc>
          <w:tcPr>
            <w:tcW w:w="1220" w:type="dxa"/>
            <w:tcBorders>
              <w:tl2br w:val="nil"/>
              <w:tr2bl w:val="nil"/>
            </w:tcBorders>
            <w:noWrap w:val="0"/>
            <w:tcMar>
              <w:top w:w="0" w:type="dxa"/>
              <w:left w:w="108" w:type="dxa"/>
              <w:bottom w:w="0" w:type="dxa"/>
              <w:right w:w="108" w:type="dxa"/>
            </w:tcMar>
            <w:vAlign w:val="center"/>
          </w:tcPr>
          <w:p w14:paraId="05E7CCC3">
            <w:pPr>
              <w:pStyle w:val="31"/>
              <w:bidi w:val="0"/>
              <w:rPr>
                <w:rFonts w:hint="default"/>
                <w:color w:val="auto"/>
                <w:lang w:val="en-US" w:eastAsia="zh-CN"/>
              </w:rPr>
            </w:pPr>
            <w:r>
              <w:rPr>
                <w:rFonts w:hint="default"/>
                <w:color w:val="auto"/>
                <w:lang w:val="en-US" w:eastAsia="zh-CN"/>
              </w:rPr>
              <w:t>地形：平原</w:t>
            </w:r>
          </w:p>
          <w:p w14:paraId="0AFC0667">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5D32FC90">
            <w:pPr>
              <w:pStyle w:val="31"/>
              <w:bidi w:val="0"/>
              <w:rPr>
                <w:rFonts w:hint="default"/>
                <w:color w:val="auto"/>
                <w:lang w:val="en-US" w:eastAsia="zh-CN"/>
              </w:rPr>
            </w:pPr>
            <w:r>
              <w:rPr>
                <w:rFonts w:hint="default"/>
                <w:color w:val="auto"/>
                <w:lang w:val="en-US" w:eastAsia="zh-CN"/>
              </w:rPr>
              <w:t>坡向：-</w:t>
            </w:r>
          </w:p>
          <w:p w14:paraId="0687C4F5">
            <w:pPr>
              <w:pStyle w:val="31"/>
              <w:bidi w:val="0"/>
              <w:rPr>
                <w:rFonts w:hint="default"/>
                <w:color w:val="auto"/>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4FB215D9">
            <w:pPr>
              <w:pStyle w:val="31"/>
              <w:bidi w:val="0"/>
              <w:rPr>
                <w:rFonts w:hint="default"/>
                <w:color w:val="auto"/>
                <w:lang w:val="en-US" w:eastAsia="zh-CN"/>
              </w:rPr>
            </w:pPr>
            <w:r>
              <w:rPr>
                <w:rFonts w:hint="default"/>
                <w:color w:val="auto"/>
                <w:lang w:val="en-US" w:eastAsia="zh-CN"/>
              </w:rPr>
              <w:t>株高约9m，胸径3.0cm，郁闭度0.8。林下植物稀少，常见的有野蔷薇。在较为稀疏的垂柳林内，常见芦荻、芦苇和加拿大一枝黄花(Solidagocanadensis)、蓼子草（Persicariacriopolitana）</w:t>
            </w:r>
          </w:p>
        </w:tc>
        <w:tc>
          <w:tcPr>
            <w:tcW w:w="628" w:type="dxa"/>
            <w:tcBorders>
              <w:tl2br w:val="nil"/>
              <w:tr2bl w:val="nil"/>
            </w:tcBorders>
            <w:noWrap w:val="0"/>
            <w:tcMar>
              <w:top w:w="0" w:type="dxa"/>
              <w:left w:w="108" w:type="dxa"/>
              <w:bottom w:w="0" w:type="dxa"/>
              <w:right w:w="108" w:type="dxa"/>
            </w:tcMar>
            <w:vAlign w:val="center"/>
          </w:tcPr>
          <w:p w14:paraId="39B30518">
            <w:pPr>
              <w:pStyle w:val="31"/>
              <w:bidi w:val="0"/>
              <w:rPr>
                <w:rFonts w:hint="default"/>
                <w:color w:val="auto"/>
                <w:lang w:val="en-US" w:eastAsia="zh-CN"/>
              </w:rPr>
            </w:pPr>
            <w:r>
              <w:rPr>
                <w:rFonts w:hint="eastAsia"/>
                <w:color w:val="auto"/>
                <w:lang w:val="en-US" w:eastAsia="zh-CN"/>
              </w:rPr>
              <w:t>40</w:t>
            </w:r>
          </w:p>
        </w:tc>
        <w:tc>
          <w:tcPr>
            <w:tcW w:w="3642" w:type="dxa"/>
            <w:tcBorders>
              <w:tl2br w:val="nil"/>
              <w:tr2bl w:val="nil"/>
            </w:tcBorders>
            <w:noWrap w:val="0"/>
            <w:tcMar>
              <w:top w:w="0" w:type="dxa"/>
              <w:left w:w="108" w:type="dxa"/>
              <w:bottom w:w="0" w:type="dxa"/>
              <w:right w:w="108" w:type="dxa"/>
            </w:tcMar>
            <w:vAlign w:val="center"/>
          </w:tcPr>
          <w:p w14:paraId="430F1CEC">
            <w:pPr>
              <w:pStyle w:val="31"/>
              <w:bidi w:val="0"/>
              <w:rPr>
                <w:rFonts w:hint="default"/>
                <w:color w:val="auto"/>
                <w:lang w:eastAsia="zh-CN"/>
              </w:rPr>
            </w:pPr>
            <w:r>
              <w:rPr>
                <w:color w:val="auto"/>
              </w:rPr>
              <w:drawing>
                <wp:inline distT="0" distB="0" distL="114300" distR="114300">
                  <wp:extent cx="2360930" cy="1755140"/>
                  <wp:effectExtent l="0" t="0" r="1270" b="16510"/>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56"/>
                          <a:stretch>
                            <a:fillRect/>
                          </a:stretch>
                        </pic:blipFill>
                        <pic:spPr>
                          <a:xfrm>
                            <a:off x="0" y="0"/>
                            <a:ext cx="2360930" cy="1755140"/>
                          </a:xfrm>
                          <a:prstGeom prst="rect">
                            <a:avLst/>
                          </a:prstGeom>
                          <a:noFill/>
                          <a:ln>
                            <a:noFill/>
                          </a:ln>
                        </pic:spPr>
                      </pic:pic>
                    </a:graphicData>
                  </a:graphic>
                </wp:inline>
              </w:drawing>
            </w:r>
          </w:p>
        </w:tc>
      </w:tr>
      <w:tr w14:paraId="706C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1160D3B3">
            <w:pPr>
              <w:pStyle w:val="31"/>
              <w:bidi w:val="0"/>
              <w:rPr>
                <w:rFonts w:hint="eastAsia" w:eastAsia="宋体"/>
                <w:color w:val="auto"/>
                <w:lang w:val="en-US" w:eastAsia="zh-CN"/>
              </w:rPr>
            </w:pPr>
            <w:r>
              <w:rPr>
                <w:rFonts w:hint="eastAsia"/>
                <w:color w:val="auto"/>
                <w:lang w:val="en-US" w:eastAsia="zh-CN"/>
              </w:rPr>
              <w:t>5</w:t>
            </w:r>
          </w:p>
        </w:tc>
        <w:tc>
          <w:tcPr>
            <w:tcW w:w="742" w:type="dxa"/>
            <w:tcBorders>
              <w:tl2br w:val="nil"/>
              <w:tr2bl w:val="nil"/>
            </w:tcBorders>
            <w:noWrap w:val="0"/>
            <w:tcMar>
              <w:top w:w="0" w:type="dxa"/>
              <w:left w:w="108" w:type="dxa"/>
              <w:bottom w:w="0" w:type="dxa"/>
              <w:right w:w="108" w:type="dxa"/>
            </w:tcMar>
            <w:vAlign w:val="center"/>
          </w:tcPr>
          <w:p w14:paraId="598F14DE">
            <w:pPr>
              <w:pStyle w:val="31"/>
              <w:bidi w:val="0"/>
              <w:rPr>
                <w:rFonts w:hint="default"/>
                <w:color w:val="auto"/>
                <w:lang w:val="en-US" w:eastAsia="zh-CN"/>
              </w:rPr>
            </w:pPr>
            <w:r>
              <w:rPr>
                <w:rFonts w:hint="eastAsia"/>
                <w:color w:val="auto"/>
                <w:lang w:val="en-US" w:eastAsia="zh-CN"/>
              </w:rPr>
              <w:t>样方14</w:t>
            </w:r>
          </w:p>
        </w:tc>
        <w:tc>
          <w:tcPr>
            <w:tcW w:w="741" w:type="dxa"/>
            <w:tcBorders>
              <w:tl2br w:val="nil"/>
              <w:tr2bl w:val="nil"/>
            </w:tcBorders>
            <w:noWrap w:val="0"/>
            <w:tcMar>
              <w:top w:w="0" w:type="dxa"/>
              <w:left w:w="108" w:type="dxa"/>
              <w:bottom w:w="0" w:type="dxa"/>
              <w:right w:w="108" w:type="dxa"/>
            </w:tcMar>
            <w:vAlign w:val="center"/>
          </w:tcPr>
          <w:p w14:paraId="35295705">
            <w:pPr>
              <w:pStyle w:val="31"/>
              <w:bidi w:val="0"/>
              <w:rPr>
                <w:rFonts w:hint="default"/>
                <w:color w:val="auto"/>
                <w:lang w:val="en-US" w:eastAsia="zh-CN"/>
              </w:rPr>
            </w:pPr>
            <w:r>
              <w:rPr>
                <w:rFonts w:hint="eastAsia"/>
                <w:color w:val="auto"/>
                <w:lang w:val="en-US" w:eastAsia="zh-CN"/>
              </w:rPr>
              <w:t>5号抛泥区北侧</w:t>
            </w:r>
          </w:p>
        </w:tc>
        <w:tc>
          <w:tcPr>
            <w:tcW w:w="974" w:type="dxa"/>
            <w:tcBorders>
              <w:tl2br w:val="nil"/>
              <w:tr2bl w:val="nil"/>
            </w:tcBorders>
            <w:noWrap w:val="0"/>
            <w:tcMar>
              <w:top w:w="0" w:type="dxa"/>
              <w:left w:w="108" w:type="dxa"/>
              <w:bottom w:w="0" w:type="dxa"/>
              <w:right w:w="108" w:type="dxa"/>
            </w:tcMar>
            <w:vAlign w:val="center"/>
          </w:tcPr>
          <w:p w14:paraId="03BEB874">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73C3B8BA">
            <w:pPr>
              <w:pStyle w:val="31"/>
              <w:bidi w:val="0"/>
              <w:rPr>
                <w:rFonts w:hint="default"/>
                <w:color w:val="auto"/>
                <w:lang w:val="en-US" w:eastAsia="zh-CN"/>
              </w:rPr>
            </w:pPr>
            <w:r>
              <w:rPr>
                <w:rFonts w:hint="eastAsia"/>
                <w:color w:val="auto"/>
                <w:lang w:val="en-US" w:eastAsia="zh-CN"/>
              </w:rPr>
              <w:t>25</w:t>
            </w:r>
          </w:p>
        </w:tc>
        <w:tc>
          <w:tcPr>
            <w:tcW w:w="883" w:type="dxa"/>
            <w:tcBorders>
              <w:tl2br w:val="nil"/>
              <w:tr2bl w:val="nil"/>
            </w:tcBorders>
            <w:noWrap w:val="0"/>
            <w:tcMar>
              <w:top w:w="0" w:type="dxa"/>
              <w:left w:w="108" w:type="dxa"/>
              <w:bottom w:w="0" w:type="dxa"/>
              <w:right w:w="108" w:type="dxa"/>
            </w:tcMar>
            <w:vAlign w:val="center"/>
          </w:tcPr>
          <w:p w14:paraId="28CC3281">
            <w:pPr>
              <w:pStyle w:val="31"/>
              <w:bidi w:val="0"/>
              <w:rPr>
                <w:rFonts w:hint="default"/>
                <w:color w:val="auto"/>
              </w:rPr>
            </w:pPr>
            <w:r>
              <w:rPr>
                <w:rFonts w:hint="default"/>
                <w:color w:val="auto"/>
              </w:rPr>
              <w:t>117.39940882,30.60260569</w:t>
            </w:r>
          </w:p>
        </w:tc>
        <w:tc>
          <w:tcPr>
            <w:tcW w:w="730" w:type="dxa"/>
            <w:tcBorders>
              <w:tl2br w:val="nil"/>
              <w:tr2bl w:val="nil"/>
            </w:tcBorders>
            <w:shd w:val="clear" w:color="auto" w:fill="auto"/>
            <w:noWrap w:val="0"/>
            <w:tcMar>
              <w:top w:w="0" w:type="dxa"/>
              <w:left w:w="108" w:type="dxa"/>
              <w:bottom w:w="0" w:type="dxa"/>
              <w:right w:w="108" w:type="dxa"/>
            </w:tcMar>
            <w:vAlign w:val="center"/>
          </w:tcPr>
          <w:p w14:paraId="4D250FB2">
            <w:pPr>
              <w:pStyle w:val="31"/>
              <w:bidi w:val="0"/>
              <w:rPr>
                <w:rFonts w:hint="eastAsia"/>
                <w:color w:val="auto"/>
                <w:lang w:val="en-US" w:eastAsia="zh-CN"/>
              </w:rPr>
            </w:pPr>
            <w:r>
              <w:rPr>
                <w:rFonts w:hint="eastAsia"/>
                <w:color w:val="auto"/>
                <w:lang w:val="en-US" w:eastAsia="zh-CN"/>
              </w:rPr>
              <w:t>灌木</w:t>
            </w:r>
          </w:p>
        </w:tc>
        <w:tc>
          <w:tcPr>
            <w:tcW w:w="710" w:type="dxa"/>
            <w:tcBorders>
              <w:tl2br w:val="nil"/>
              <w:tr2bl w:val="nil"/>
            </w:tcBorders>
            <w:shd w:val="clear" w:color="auto" w:fill="auto"/>
            <w:noWrap w:val="0"/>
            <w:tcMar>
              <w:top w:w="0" w:type="dxa"/>
              <w:left w:w="108" w:type="dxa"/>
              <w:bottom w:w="0" w:type="dxa"/>
              <w:right w:w="108" w:type="dxa"/>
            </w:tcMar>
            <w:vAlign w:val="center"/>
          </w:tcPr>
          <w:p w14:paraId="679A382E">
            <w:pPr>
              <w:pStyle w:val="31"/>
              <w:bidi w:val="0"/>
              <w:rPr>
                <w:rFonts w:hint="default"/>
                <w:color w:val="auto"/>
                <w:lang w:val="en-US" w:eastAsia="zh-CN"/>
              </w:rPr>
            </w:pPr>
            <w:r>
              <w:rPr>
                <w:rFonts w:hint="default"/>
                <w:color w:val="auto"/>
                <w:lang w:val="en-US" w:eastAsia="zh-CN"/>
              </w:rPr>
              <w:t>构树林</w:t>
            </w:r>
          </w:p>
        </w:tc>
        <w:tc>
          <w:tcPr>
            <w:tcW w:w="1220" w:type="dxa"/>
            <w:tcBorders>
              <w:tl2br w:val="nil"/>
              <w:tr2bl w:val="nil"/>
            </w:tcBorders>
            <w:shd w:val="clear" w:color="auto" w:fill="auto"/>
            <w:noWrap w:val="0"/>
            <w:tcMar>
              <w:top w:w="0" w:type="dxa"/>
              <w:left w:w="108" w:type="dxa"/>
              <w:bottom w:w="0" w:type="dxa"/>
              <w:right w:w="108" w:type="dxa"/>
            </w:tcMar>
            <w:vAlign w:val="center"/>
          </w:tcPr>
          <w:p w14:paraId="0F3410B8">
            <w:pPr>
              <w:pStyle w:val="31"/>
              <w:bidi w:val="0"/>
              <w:rPr>
                <w:rFonts w:hint="default"/>
                <w:color w:val="auto"/>
                <w:lang w:val="en-US" w:eastAsia="zh-CN"/>
              </w:rPr>
            </w:pPr>
            <w:r>
              <w:rPr>
                <w:rFonts w:hint="default"/>
                <w:color w:val="auto"/>
                <w:lang w:val="en-US" w:eastAsia="zh-CN"/>
              </w:rPr>
              <w:t>地形：平原</w:t>
            </w:r>
          </w:p>
          <w:p w14:paraId="482445F0">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17</w:t>
            </w:r>
            <w:r>
              <w:rPr>
                <w:rFonts w:hint="default"/>
                <w:color w:val="auto"/>
                <w:lang w:val="en-US" w:eastAsia="zh-CN"/>
              </w:rPr>
              <w:t>m</w:t>
            </w:r>
          </w:p>
          <w:p w14:paraId="7577D2DF">
            <w:pPr>
              <w:pStyle w:val="31"/>
              <w:bidi w:val="0"/>
              <w:rPr>
                <w:rFonts w:hint="default"/>
                <w:color w:val="auto"/>
                <w:lang w:val="en-US" w:eastAsia="zh-CN"/>
              </w:rPr>
            </w:pPr>
            <w:r>
              <w:rPr>
                <w:rFonts w:hint="default"/>
                <w:color w:val="auto"/>
                <w:lang w:val="en-US" w:eastAsia="zh-CN"/>
              </w:rPr>
              <w:t>坡向：-</w:t>
            </w:r>
          </w:p>
          <w:p w14:paraId="625B88F9">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shd w:val="clear" w:color="auto" w:fill="auto"/>
            <w:noWrap w:val="0"/>
            <w:tcMar>
              <w:top w:w="0" w:type="dxa"/>
              <w:left w:w="108" w:type="dxa"/>
              <w:bottom w:w="0" w:type="dxa"/>
              <w:right w:w="108" w:type="dxa"/>
            </w:tcMar>
            <w:vAlign w:val="center"/>
          </w:tcPr>
          <w:p w14:paraId="73E6C8B6">
            <w:pPr>
              <w:pStyle w:val="31"/>
              <w:bidi w:val="0"/>
              <w:rPr>
                <w:rFonts w:hint="default"/>
                <w:color w:val="auto"/>
                <w:lang w:val="en-US" w:eastAsia="zh-CN"/>
              </w:rPr>
            </w:pPr>
            <w:r>
              <w:rPr>
                <w:rFonts w:hint="default"/>
                <w:color w:val="auto"/>
                <w:lang w:eastAsia="zh-CN"/>
              </w:rPr>
              <w:t>构树均高约3.5米，该层郁闭度0.4。常伴生有桑树、枫杨、野蔷薇等。常见优势种有狗尾草（Setariaviridis）、马唐（Digitariasanguinalis）和爵床（Justiciaprocumbens），以及一些季节性杂草</w:t>
            </w:r>
          </w:p>
        </w:tc>
        <w:tc>
          <w:tcPr>
            <w:tcW w:w="628" w:type="dxa"/>
            <w:tcBorders>
              <w:tl2br w:val="nil"/>
              <w:tr2bl w:val="nil"/>
            </w:tcBorders>
            <w:shd w:val="clear" w:color="auto" w:fill="auto"/>
            <w:noWrap w:val="0"/>
            <w:tcMar>
              <w:top w:w="0" w:type="dxa"/>
              <w:left w:w="108" w:type="dxa"/>
              <w:bottom w:w="0" w:type="dxa"/>
              <w:right w:w="108" w:type="dxa"/>
            </w:tcMar>
            <w:vAlign w:val="center"/>
          </w:tcPr>
          <w:p w14:paraId="7747317B">
            <w:pPr>
              <w:pStyle w:val="31"/>
              <w:bidi w:val="0"/>
              <w:rPr>
                <w:rFonts w:hint="eastAsia"/>
                <w:color w:val="auto"/>
                <w:lang w:val="en-US" w:eastAsia="zh-CN"/>
              </w:rPr>
            </w:pPr>
            <w:r>
              <w:rPr>
                <w:rFonts w:hint="eastAsia"/>
                <w:color w:val="auto"/>
                <w:lang w:val="en-US" w:eastAsia="zh-CN"/>
              </w:rPr>
              <w:t>40</w:t>
            </w:r>
          </w:p>
        </w:tc>
        <w:tc>
          <w:tcPr>
            <w:tcW w:w="3642" w:type="dxa"/>
            <w:tcBorders>
              <w:tl2br w:val="nil"/>
              <w:tr2bl w:val="nil"/>
            </w:tcBorders>
            <w:shd w:val="clear" w:color="auto" w:fill="auto"/>
            <w:noWrap w:val="0"/>
            <w:tcMar>
              <w:top w:w="0" w:type="dxa"/>
              <w:left w:w="108" w:type="dxa"/>
              <w:bottom w:w="0" w:type="dxa"/>
              <w:right w:w="108" w:type="dxa"/>
            </w:tcMar>
            <w:vAlign w:val="center"/>
          </w:tcPr>
          <w:p w14:paraId="57977E47">
            <w:pPr>
              <w:pStyle w:val="31"/>
              <w:bidi w:val="0"/>
              <w:rPr>
                <w:rFonts w:hint="default"/>
                <w:color w:val="auto"/>
                <w:lang w:val="en-US" w:eastAsia="zh-CN"/>
              </w:rPr>
            </w:pPr>
            <w:r>
              <w:rPr>
                <w:color w:val="auto"/>
              </w:rPr>
              <w:drawing>
                <wp:inline distT="0" distB="0" distL="114300" distR="114300">
                  <wp:extent cx="2358390" cy="1864995"/>
                  <wp:effectExtent l="0" t="0" r="3810" b="1905"/>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icPr>
                        <pic:blipFill>
                          <a:blip r:embed="rId57"/>
                          <a:stretch>
                            <a:fillRect/>
                          </a:stretch>
                        </pic:blipFill>
                        <pic:spPr>
                          <a:xfrm>
                            <a:off x="0" y="0"/>
                            <a:ext cx="2358390" cy="1864995"/>
                          </a:xfrm>
                          <a:prstGeom prst="rect">
                            <a:avLst/>
                          </a:prstGeom>
                          <a:noFill/>
                          <a:ln>
                            <a:noFill/>
                          </a:ln>
                        </pic:spPr>
                      </pic:pic>
                    </a:graphicData>
                  </a:graphic>
                </wp:inline>
              </w:drawing>
            </w:r>
          </w:p>
        </w:tc>
      </w:tr>
      <w:tr w14:paraId="568C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2565A628">
            <w:pPr>
              <w:pStyle w:val="31"/>
              <w:bidi w:val="0"/>
              <w:rPr>
                <w:rFonts w:hint="eastAsia" w:eastAsia="宋体"/>
                <w:color w:val="auto"/>
                <w:lang w:val="en-US" w:eastAsia="zh-CN"/>
              </w:rPr>
            </w:pPr>
            <w:r>
              <w:rPr>
                <w:rFonts w:hint="eastAsia"/>
                <w:color w:val="auto"/>
                <w:lang w:val="en-US" w:eastAsia="zh-CN"/>
              </w:rPr>
              <w:t>6</w:t>
            </w:r>
          </w:p>
        </w:tc>
        <w:tc>
          <w:tcPr>
            <w:tcW w:w="742" w:type="dxa"/>
            <w:tcBorders>
              <w:tl2br w:val="nil"/>
              <w:tr2bl w:val="nil"/>
            </w:tcBorders>
            <w:noWrap w:val="0"/>
            <w:tcMar>
              <w:top w:w="0" w:type="dxa"/>
              <w:left w:w="108" w:type="dxa"/>
              <w:bottom w:w="0" w:type="dxa"/>
              <w:right w:w="108" w:type="dxa"/>
            </w:tcMar>
            <w:vAlign w:val="center"/>
          </w:tcPr>
          <w:p w14:paraId="5351759A">
            <w:pPr>
              <w:pStyle w:val="31"/>
              <w:bidi w:val="0"/>
              <w:rPr>
                <w:rFonts w:hint="default"/>
                <w:color w:val="auto"/>
                <w:lang w:val="en-US" w:eastAsia="zh-CN"/>
              </w:rPr>
            </w:pPr>
            <w:r>
              <w:rPr>
                <w:rFonts w:hint="eastAsia"/>
                <w:color w:val="auto"/>
                <w:lang w:val="en-US" w:eastAsia="zh-CN"/>
              </w:rPr>
              <w:t>样方15</w:t>
            </w:r>
          </w:p>
        </w:tc>
        <w:tc>
          <w:tcPr>
            <w:tcW w:w="741" w:type="dxa"/>
            <w:tcBorders>
              <w:tl2br w:val="nil"/>
              <w:tr2bl w:val="nil"/>
            </w:tcBorders>
            <w:noWrap w:val="0"/>
            <w:tcMar>
              <w:top w:w="0" w:type="dxa"/>
              <w:left w:w="108" w:type="dxa"/>
              <w:bottom w:w="0" w:type="dxa"/>
              <w:right w:w="108" w:type="dxa"/>
            </w:tcMar>
            <w:vAlign w:val="center"/>
          </w:tcPr>
          <w:p w14:paraId="4E4007BD">
            <w:pPr>
              <w:pStyle w:val="31"/>
              <w:bidi w:val="0"/>
              <w:rPr>
                <w:rFonts w:hint="default"/>
                <w:color w:val="auto"/>
                <w:lang w:val="en-US" w:eastAsia="zh-CN"/>
              </w:rPr>
            </w:pPr>
            <w:r>
              <w:rPr>
                <w:rFonts w:hint="eastAsia"/>
                <w:color w:val="auto"/>
                <w:lang w:val="en-US" w:eastAsia="zh-CN"/>
              </w:rPr>
              <w:t>5号抛泥区东侧</w:t>
            </w:r>
          </w:p>
        </w:tc>
        <w:tc>
          <w:tcPr>
            <w:tcW w:w="974" w:type="dxa"/>
            <w:tcBorders>
              <w:tl2br w:val="nil"/>
              <w:tr2bl w:val="nil"/>
            </w:tcBorders>
            <w:noWrap w:val="0"/>
            <w:tcMar>
              <w:top w:w="0" w:type="dxa"/>
              <w:left w:w="108" w:type="dxa"/>
              <w:bottom w:w="0" w:type="dxa"/>
              <w:right w:w="108" w:type="dxa"/>
            </w:tcMar>
            <w:vAlign w:val="center"/>
          </w:tcPr>
          <w:p w14:paraId="06E4874E">
            <w:pPr>
              <w:pStyle w:val="31"/>
              <w:bidi w:val="0"/>
              <w:rPr>
                <w:rFonts w:hint="default"/>
                <w:color w:val="auto"/>
                <w:lang w:val="en-US" w:eastAsia="zh-CN"/>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508685D7">
            <w:pPr>
              <w:pStyle w:val="31"/>
              <w:bidi w:val="0"/>
              <w:rPr>
                <w:rFonts w:hint="default"/>
                <w:color w:val="auto"/>
                <w:lang w:val="en-US" w:eastAsia="zh-CN"/>
              </w:rPr>
            </w:pPr>
            <w:r>
              <w:rPr>
                <w:rFonts w:hint="eastAsia"/>
                <w:color w:val="auto"/>
                <w:lang w:val="en-US" w:eastAsia="zh-CN"/>
              </w:rPr>
              <w:t>25</w:t>
            </w:r>
          </w:p>
        </w:tc>
        <w:tc>
          <w:tcPr>
            <w:tcW w:w="883" w:type="dxa"/>
            <w:tcBorders>
              <w:tl2br w:val="nil"/>
              <w:tr2bl w:val="nil"/>
            </w:tcBorders>
            <w:noWrap w:val="0"/>
            <w:tcMar>
              <w:top w:w="0" w:type="dxa"/>
              <w:left w:w="108" w:type="dxa"/>
              <w:bottom w:w="0" w:type="dxa"/>
              <w:right w:w="108" w:type="dxa"/>
            </w:tcMar>
            <w:vAlign w:val="center"/>
          </w:tcPr>
          <w:p w14:paraId="6917C054">
            <w:pPr>
              <w:pStyle w:val="31"/>
              <w:bidi w:val="0"/>
              <w:rPr>
                <w:rFonts w:hint="default"/>
                <w:color w:val="auto"/>
                <w:lang w:val="en-US" w:eastAsia="zh-CN"/>
              </w:rPr>
            </w:pPr>
            <w:r>
              <w:rPr>
                <w:rFonts w:hint="default"/>
                <w:color w:val="auto"/>
                <w:lang w:val="en-US" w:eastAsia="zh-CN"/>
              </w:rPr>
              <w:t>117.40474105,30.60314129</w:t>
            </w:r>
          </w:p>
        </w:tc>
        <w:tc>
          <w:tcPr>
            <w:tcW w:w="730" w:type="dxa"/>
            <w:tcBorders>
              <w:tl2br w:val="nil"/>
              <w:tr2bl w:val="nil"/>
            </w:tcBorders>
            <w:noWrap w:val="0"/>
            <w:tcMar>
              <w:top w:w="0" w:type="dxa"/>
              <w:left w:w="108" w:type="dxa"/>
              <w:bottom w:w="0" w:type="dxa"/>
              <w:right w:w="108" w:type="dxa"/>
            </w:tcMar>
            <w:vAlign w:val="center"/>
          </w:tcPr>
          <w:p w14:paraId="497E94AC">
            <w:pPr>
              <w:pStyle w:val="31"/>
              <w:bidi w:val="0"/>
              <w:rPr>
                <w:rFonts w:hint="eastAsia"/>
                <w:color w:val="auto"/>
                <w:lang w:val="en-US" w:eastAsia="zh-CN"/>
              </w:rPr>
            </w:pPr>
            <w:r>
              <w:rPr>
                <w:rFonts w:hint="eastAsia"/>
                <w:color w:val="auto"/>
                <w:lang w:val="en-US" w:eastAsia="zh-CN"/>
              </w:rPr>
              <w:t>灌木</w:t>
            </w:r>
          </w:p>
        </w:tc>
        <w:tc>
          <w:tcPr>
            <w:tcW w:w="710" w:type="dxa"/>
            <w:tcBorders>
              <w:tl2br w:val="nil"/>
              <w:tr2bl w:val="nil"/>
            </w:tcBorders>
            <w:noWrap w:val="0"/>
            <w:tcMar>
              <w:top w:w="0" w:type="dxa"/>
              <w:left w:w="108" w:type="dxa"/>
              <w:bottom w:w="0" w:type="dxa"/>
              <w:right w:w="108" w:type="dxa"/>
            </w:tcMar>
            <w:vAlign w:val="center"/>
          </w:tcPr>
          <w:p w14:paraId="4F2DB325">
            <w:pPr>
              <w:pStyle w:val="31"/>
              <w:bidi w:val="0"/>
              <w:rPr>
                <w:rFonts w:hint="default"/>
                <w:color w:val="auto"/>
                <w:lang w:val="en-US" w:eastAsia="zh-CN"/>
              </w:rPr>
            </w:pPr>
            <w:r>
              <w:rPr>
                <w:rFonts w:hint="default"/>
                <w:color w:val="auto"/>
                <w:lang w:val="en-US" w:eastAsia="zh-CN"/>
              </w:rPr>
              <w:t>乌桕群系</w:t>
            </w:r>
          </w:p>
        </w:tc>
        <w:tc>
          <w:tcPr>
            <w:tcW w:w="1220" w:type="dxa"/>
            <w:tcBorders>
              <w:tl2br w:val="nil"/>
              <w:tr2bl w:val="nil"/>
            </w:tcBorders>
            <w:noWrap w:val="0"/>
            <w:tcMar>
              <w:top w:w="0" w:type="dxa"/>
              <w:left w:w="108" w:type="dxa"/>
              <w:bottom w:w="0" w:type="dxa"/>
              <w:right w:w="108" w:type="dxa"/>
            </w:tcMar>
            <w:vAlign w:val="center"/>
          </w:tcPr>
          <w:p w14:paraId="4EE7318E">
            <w:pPr>
              <w:pStyle w:val="31"/>
              <w:bidi w:val="0"/>
              <w:rPr>
                <w:rFonts w:hint="default"/>
                <w:color w:val="auto"/>
                <w:lang w:val="en-US" w:eastAsia="zh-CN"/>
              </w:rPr>
            </w:pPr>
            <w:r>
              <w:rPr>
                <w:rFonts w:hint="default"/>
                <w:color w:val="auto"/>
                <w:lang w:val="en-US" w:eastAsia="zh-CN"/>
              </w:rPr>
              <w:t>地形：平原</w:t>
            </w:r>
          </w:p>
          <w:p w14:paraId="12A09571">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12366B84">
            <w:pPr>
              <w:pStyle w:val="31"/>
              <w:bidi w:val="0"/>
              <w:rPr>
                <w:rFonts w:hint="default"/>
                <w:color w:val="auto"/>
                <w:lang w:val="en-US" w:eastAsia="zh-CN"/>
              </w:rPr>
            </w:pPr>
            <w:r>
              <w:rPr>
                <w:rFonts w:hint="default"/>
                <w:color w:val="auto"/>
                <w:lang w:val="en-US" w:eastAsia="zh-CN"/>
              </w:rPr>
              <w:t>坡向：-</w:t>
            </w:r>
          </w:p>
          <w:p w14:paraId="464D20C9">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4051BB95">
            <w:pPr>
              <w:pStyle w:val="31"/>
              <w:bidi w:val="0"/>
              <w:rPr>
                <w:rFonts w:hint="default"/>
                <w:color w:val="auto"/>
              </w:rPr>
            </w:pPr>
            <w:r>
              <w:rPr>
                <w:rFonts w:hint="default"/>
                <w:color w:val="auto"/>
              </w:rPr>
              <w:t>株高约2m，呈零散分布，伴生有枫杨（Pterocaryastenoptera）小苗。草本层几乎</w:t>
            </w:r>
          </w:p>
          <w:p w14:paraId="40DA3D3E">
            <w:pPr>
              <w:pStyle w:val="31"/>
              <w:bidi w:val="0"/>
              <w:rPr>
                <w:rFonts w:hint="default"/>
                <w:color w:val="auto"/>
              </w:rPr>
            </w:pPr>
            <w:r>
              <w:rPr>
                <w:rFonts w:hint="default"/>
                <w:color w:val="auto"/>
              </w:rPr>
              <w:t>全为狗牙根，局部有苍耳分布，藤本植物有茜草（Rubiacordifolia）</w:t>
            </w:r>
          </w:p>
        </w:tc>
        <w:tc>
          <w:tcPr>
            <w:tcW w:w="628" w:type="dxa"/>
            <w:tcBorders>
              <w:tl2br w:val="nil"/>
              <w:tr2bl w:val="nil"/>
            </w:tcBorders>
            <w:noWrap w:val="0"/>
            <w:tcMar>
              <w:top w:w="0" w:type="dxa"/>
              <w:left w:w="108" w:type="dxa"/>
              <w:bottom w:w="0" w:type="dxa"/>
              <w:right w:w="108" w:type="dxa"/>
            </w:tcMar>
            <w:vAlign w:val="center"/>
          </w:tcPr>
          <w:p w14:paraId="0EA8CFEE">
            <w:pPr>
              <w:pStyle w:val="31"/>
              <w:bidi w:val="0"/>
              <w:rPr>
                <w:rFonts w:hint="default"/>
                <w:color w:val="auto"/>
                <w:lang w:val="en-US" w:eastAsia="zh-CN"/>
              </w:rPr>
            </w:pPr>
            <w:r>
              <w:rPr>
                <w:rFonts w:hint="eastAsia"/>
                <w:color w:val="auto"/>
                <w:lang w:val="en-US" w:eastAsia="zh-CN"/>
              </w:rPr>
              <w:t>45</w:t>
            </w:r>
          </w:p>
        </w:tc>
        <w:tc>
          <w:tcPr>
            <w:tcW w:w="3642" w:type="dxa"/>
            <w:tcBorders>
              <w:tl2br w:val="nil"/>
              <w:tr2bl w:val="nil"/>
            </w:tcBorders>
            <w:noWrap w:val="0"/>
            <w:tcMar>
              <w:top w:w="0" w:type="dxa"/>
              <w:left w:w="108" w:type="dxa"/>
              <w:bottom w:w="0" w:type="dxa"/>
              <w:right w:w="108" w:type="dxa"/>
            </w:tcMar>
            <w:vAlign w:val="center"/>
          </w:tcPr>
          <w:p w14:paraId="66E99072">
            <w:pPr>
              <w:pStyle w:val="31"/>
              <w:bidi w:val="0"/>
              <w:rPr>
                <w:rFonts w:hint="default"/>
                <w:color w:val="auto"/>
                <w:lang w:eastAsia="zh-CN"/>
              </w:rPr>
            </w:pPr>
            <w:r>
              <w:rPr>
                <w:color w:val="auto"/>
              </w:rPr>
              <w:drawing>
                <wp:inline distT="0" distB="0" distL="114300" distR="114300">
                  <wp:extent cx="2359025" cy="1772285"/>
                  <wp:effectExtent l="0" t="0" r="3175" b="18415"/>
                  <wp:docPr id="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icPr>
                        <pic:blipFill>
                          <a:blip r:embed="rId58"/>
                          <a:stretch>
                            <a:fillRect/>
                          </a:stretch>
                        </pic:blipFill>
                        <pic:spPr>
                          <a:xfrm>
                            <a:off x="0" y="0"/>
                            <a:ext cx="2359025" cy="1772285"/>
                          </a:xfrm>
                          <a:prstGeom prst="rect">
                            <a:avLst/>
                          </a:prstGeom>
                          <a:noFill/>
                          <a:ln>
                            <a:noFill/>
                          </a:ln>
                        </pic:spPr>
                      </pic:pic>
                    </a:graphicData>
                  </a:graphic>
                </wp:inline>
              </w:drawing>
            </w:r>
          </w:p>
        </w:tc>
      </w:tr>
      <w:tr w14:paraId="162A8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0CBEA839">
            <w:pPr>
              <w:pStyle w:val="31"/>
              <w:bidi w:val="0"/>
              <w:rPr>
                <w:rFonts w:hint="eastAsia" w:eastAsia="宋体"/>
                <w:color w:val="auto"/>
                <w:lang w:val="en-US" w:eastAsia="zh-CN"/>
              </w:rPr>
            </w:pPr>
            <w:r>
              <w:rPr>
                <w:rFonts w:hint="eastAsia"/>
                <w:color w:val="auto"/>
                <w:lang w:val="en-US" w:eastAsia="zh-CN"/>
              </w:rPr>
              <w:t>7</w:t>
            </w:r>
          </w:p>
        </w:tc>
        <w:tc>
          <w:tcPr>
            <w:tcW w:w="742" w:type="dxa"/>
            <w:tcBorders>
              <w:tl2br w:val="nil"/>
              <w:tr2bl w:val="nil"/>
            </w:tcBorders>
            <w:noWrap w:val="0"/>
            <w:tcMar>
              <w:top w:w="0" w:type="dxa"/>
              <w:left w:w="108" w:type="dxa"/>
              <w:bottom w:w="0" w:type="dxa"/>
              <w:right w:w="108" w:type="dxa"/>
            </w:tcMar>
            <w:vAlign w:val="center"/>
          </w:tcPr>
          <w:p w14:paraId="1CC6B133">
            <w:pPr>
              <w:pStyle w:val="31"/>
              <w:bidi w:val="0"/>
              <w:rPr>
                <w:rFonts w:hint="default" w:eastAsia="宋体"/>
                <w:color w:val="auto"/>
                <w:lang w:val="en-US" w:eastAsia="zh-CN"/>
              </w:rPr>
            </w:pPr>
            <w:r>
              <w:rPr>
                <w:rFonts w:hint="eastAsia"/>
                <w:color w:val="auto"/>
                <w:lang w:val="en-US" w:eastAsia="zh-CN"/>
              </w:rPr>
              <w:t>样方16</w:t>
            </w:r>
          </w:p>
        </w:tc>
        <w:tc>
          <w:tcPr>
            <w:tcW w:w="741" w:type="dxa"/>
            <w:tcBorders>
              <w:tl2br w:val="nil"/>
              <w:tr2bl w:val="nil"/>
            </w:tcBorders>
            <w:noWrap w:val="0"/>
            <w:tcMar>
              <w:top w:w="0" w:type="dxa"/>
              <w:left w:w="108" w:type="dxa"/>
              <w:bottom w:w="0" w:type="dxa"/>
              <w:right w:w="108" w:type="dxa"/>
            </w:tcMar>
            <w:vAlign w:val="center"/>
          </w:tcPr>
          <w:p w14:paraId="04DFA20A">
            <w:pPr>
              <w:pStyle w:val="31"/>
              <w:bidi w:val="0"/>
              <w:rPr>
                <w:rFonts w:hint="default" w:eastAsia="宋体"/>
                <w:color w:val="auto"/>
                <w:lang w:val="en-US" w:eastAsia="zh-CN"/>
              </w:rPr>
            </w:pPr>
            <w:r>
              <w:rPr>
                <w:rFonts w:hint="eastAsia"/>
                <w:color w:val="auto"/>
                <w:lang w:val="en-US" w:eastAsia="zh-CN"/>
              </w:rPr>
              <w:t>5号抛泥区南侧</w:t>
            </w:r>
          </w:p>
        </w:tc>
        <w:tc>
          <w:tcPr>
            <w:tcW w:w="974" w:type="dxa"/>
            <w:tcBorders>
              <w:tl2br w:val="nil"/>
              <w:tr2bl w:val="nil"/>
            </w:tcBorders>
            <w:noWrap w:val="0"/>
            <w:tcMar>
              <w:top w:w="0" w:type="dxa"/>
              <w:left w:w="108" w:type="dxa"/>
              <w:bottom w:w="0" w:type="dxa"/>
              <w:right w:w="108" w:type="dxa"/>
            </w:tcMar>
            <w:vAlign w:val="center"/>
          </w:tcPr>
          <w:p w14:paraId="30220FEC">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22D4F42D">
            <w:pPr>
              <w:pStyle w:val="31"/>
              <w:bidi w:val="0"/>
              <w:rPr>
                <w:rFonts w:hint="default"/>
                <w:color w:val="auto"/>
                <w:lang w:val="en-US" w:eastAsia="zh-CN"/>
              </w:rPr>
            </w:pPr>
            <w:r>
              <w:rPr>
                <w:rFonts w:hint="eastAsia"/>
                <w:color w:val="auto"/>
                <w:lang w:val="en-US" w:eastAsia="zh-CN"/>
              </w:rPr>
              <w:t>25</w:t>
            </w:r>
          </w:p>
        </w:tc>
        <w:tc>
          <w:tcPr>
            <w:tcW w:w="883" w:type="dxa"/>
            <w:tcBorders>
              <w:tl2br w:val="nil"/>
              <w:tr2bl w:val="nil"/>
            </w:tcBorders>
            <w:noWrap w:val="0"/>
            <w:tcMar>
              <w:top w:w="0" w:type="dxa"/>
              <w:left w:w="108" w:type="dxa"/>
              <w:bottom w:w="0" w:type="dxa"/>
              <w:right w:w="108" w:type="dxa"/>
            </w:tcMar>
            <w:vAlign w:val="center"/>
          </w:tcPr>
          <w:p w14:paraId="4C103054">
            <w:pPr>
              <w:pStyle w:val="31"/>
              <w:bidi w:val="0"/>
              <w:rPr>
                <w:rFonts w:hint="default"/>
                <w:color w:val="auto"/>
              </w:rPr>
            </w:pPr>
            <w:r>
              <w:rPr>
                <w:rFonts w:hint="default"/>
                <w:color w:val="auto"/>
              </w:rPr>
              <w:t>117.40164042,30.59865324</w:t>
            </w:r>
          </w:p>
        </w:tc>
        <w:tc>
          <w:tcPr>
            <w:tcW w:w="730" w:type="dxa"/>
            <w:tcBorders>
              <w:tl2br w:val="nil"/>
              <w:tr2bl w:val="nil"/>
            </w:tcBorders>
            <w:noWrap w:val="0"/>
            <w:tcMar>
              <w:top w:w="0" w:type="dxa"/>
              <w:left w:w="108" w:type="dxa"/>
              <w:bottom w:w="0" w:type="dxa"/>
              <w:right w:w="108" w:type="dxa"/>
            </w:tcMar>
            <w:vAlign w:val="center"/>
          </w:tcPr>
          <w:p w14:paraId="4073A3C9">
            <w:pPr>
              <w:pStyle w:val="31"/>
              <w:bidi w:val="0"/>
              <w:rPr>
                <w:rFonts w:hint="default"/>
                <w:color w:val="auto"/>
              </w:rPr>
            </w:pPr>
            <w:r>
              <w:rPr>
                <w:rFonts w:hint="eastAsia"/>
                <w:color w:val="auto"/>
                <w:lang w:val="en-US" w:eastAsia="zh-CN"/>
              </w:rPr>
              <w:t>灌木</w:t>
            </w:r>
          </w:p>
        </w:tc>
        <w:tc>
          <w:tcPr>
            <w:tcW w:w="710" w:type="dxa"/>
            <w:tcBorders>
              <w:tl2br w:val="nil"/>
              <w:tr2bl w:val="nil"/>
            </w:tcBorders>
            <w:noWrap w:val="0"/>
            <w:tcMar>
              <w:top w:w="0" w:type="dxa"/>
              <w:left w:w="108" w:type="dxa"/>
              <w:bottom w:w="0" w:type="dxa"/>
              <w:right w:w="108" w:type="dxa"/>
            </w:tcMar>
            <w:vAlign w:val="center"/>
          </w:tcPr>
          <w:p w14:paraId="49C4D760">
            <w:pPr>
              <w:pStyle w:val="31"/>
              <w:bidi w:val="0"/>
              <w:rPr>
                <w:rFonts w:hint="default"/>
                <w:color w:val="auto"/>
                <w:lang w:val="en-US" w:eastAsia="zh-CN"/>
              </w:rPr>
            </w:pPr>
            <w:r>
              <w:rPr>
                <w:rFonts w:hint="default"/>
                <w:color w:val="auto"/>
                <w:lang w:val="en-US" w:eastAsia="zh-CN"/>
              </w:rPr>
              <w:t>早园竹群系</w:t>
            </w:r>
          </w:p>
        </w:tc>
        <w:tc>
          <w:tcPr>
            <w:tcW w:w="1220" w:type="dxa"/>
            <w:tcBorders>
              <w:tl2br w:val="nil"/>
              <w:tr2bl w:val="nil"/>
            </w:tcBorders>
            <w:noWrap w:val="0"/>
            <w:tcMar>
              <w:top w:w="0" w:type="dxa"/>
              <w:left w:w="108" w:type="dxa"/>
              <w:bottom w:w="0" w:type="dxa"/>
              <w:right w:w="108" w:type="dxa"/>
            </w:tcMar>
            <w:vAlign w:val="center"/>
          </w:tcPr>
          <w:p w14:paraId="6D48DF34">
            <w:pPr>
              <w:pStyle w:val="31"/>
              <w:bidi w:val="0"/>
              <w:rPr>
                <w:rFonts w:hint="default"/>
                <w:color w:val="auto"/>
                <w:lang w:val="en-US" w:eastAsia="zh-CN"/>
              </w:rPr>
            </w:pPr>
            <w:r>
              <w:rPr>
                <w:rFonts w:hint="default"/>
                <w:color w:val="auto"/>
                <w:lang w:val="en-US" w:eastAsia="zh-CN"/>
              </w:rPr>
              <w:t>地形：平原</w:t>
            </w:r>
          </w:p>
          <w:p w14:paraId="2FCE4A1E">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10</w:t>
            </w:r>
            <w:r>
              <w:rPr>
                <w:rFonts w:hint="default"/>
                <w:color w:val="auto"/>
                <w:lang w:val="en-US" w:eastAsia="zh-CN"/>
              </w:rPr>
              <w:t>m</w:t>
            </w:r>
          </w:p>
          <w:p w14:paraId="75AC41AA">
            <w:pPr>
              <w:pStyle w:val="31"/>
              <w:bidi w:val="0"/>
              <w:rPr>
                <w:rFonts w:hint="default"/>
                <w:color w:val="auto"/>
                <w:lang w:val="en-US" w:eastAsia="zh-CN"/>
              </w:rPr>
            </w:pPr>
            <w:r>
              <w:rPr>
                <w:rFonts w:hint="default"/>
                <w:color w:val="auto"/>
                <w:lang w:val="en-US" w:eastAsia="zh-CN"/>
              </w:rPr>
              <w:t>坡向：-</w:t>
            </w:r>
          </w:p>
          <w:p w14:paraId="363EF186">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52FDA26A">
            <w:pPr>
              <w:pStyle w:val="31"/>
              <w:bidi w:val="0"/>
              <w:rPr>
                <w:rFonts w:hint="default"/>
                <w:color w:val="auto"/>
                <w:lang w:eastAsia="zh-CN"/>
              </w:rPr>
            </w:pPr>
            <w:r>
              <w:rPr>
                <w:rFonts w:hint="default"/>
                <w:color w:val="auto"/>
                <w:lang w:eastAsia="zh-CN"/>
              </w:rPr>
              <w:t>株高1.2m-2.2m，盖度45%。伴生有垂柳苗、芦荻、白茅（Imperatacylindrica）</w:t>
            </w:r>
          </w:p>
          <w:p w14:paraId="1717D146">
            <w:pPr>
              <w:pStyle w:val="31"/>
              <w:bidi w:val="0"/>
              <w:rPr>
                <w:rFonts w:hint="default"/>
                <w:color w:val="auto"/>
                <w:lang w:eastAsia="zh-CN"/>
              </w:rPr>
            </w:pPr>
            <w:r>
              <w:rPr>
                <w:rFonts w:hint="default"/>
                <w:color w:val="auto"/>
                <w:lang w:eastAsia="zh-CN"/>
              </w:rPr>
              <w:t>等</w:t>
            </w:r>
          </w:p>
        </w:tc>
        <w:tc>
          <w:tcPr>
            <w:tcW w:w="628" w:type="dxa"/>
            <w:tcBorders>
              <w:tl2br w:val="nil"/>
              <w:tr2bl w:val="nil"/>
            </w:tcBorders>
            <w:noWrap w:val="0"/>
            <w:tcMar>
              <w:top w:w="0" w:type="dxa"/>
              <w:left w:w="108" w:type="dxa"/>
              <w:bottom w:w="0" w:type="dxa"/>
              <w:right w:w="108" w:type="dxa"/>
            </w:tcMar>
            <w:vAlign w:val="center"/>
          </w:tcPr>
          <w:p w14:paraId="70A49962">
            <w:pPr>
              <w:pStyle w:val="31"/>
              <w:bidi w:val="0"/>
              <w:rPr>
                <w:rFonts w:hint="default"/>
                <w:color w:val="auto"/>
                <w:lang w:val="en-US" w:eastAsia="zh-CN"/>
              </w:rPr>
            </w:pPr>
            <w:r>
              <w:rPr>
                <w:rFonts w:hint="eastAsia"/>
                <w:color w:val="auto"/>
                <w:lang w:val="en-US" w:eastAsia="zh-CN"/>
              </w:rPr>
              <w:t>45</w:t>
            </w:r>
          </w:p>
        </w:tc>
        <w:tc>
          <w:tcPr>
            <w:tcW w:w="3642" w:type="dxa"/>
            <w:tcBorders>
              <w:tl2br w:val="nil"/>
              <w:tr2bl w:val="nil"/>
            </w:tcBorders>
            <w:noWrap w:val="0"/>
            <w:tcMar>
              <w:top w:w="0" w:type="dxa"/>
              <w:left w:w="108" w:type="dxa"/>
              <w:bottom w:w="0" w:type="dxa"/>
              <w:right w:w="108" w:type="dxa"/>
            </w:tcMar>
            <w:vAlign w:val="center"/>
          </w:tcPr>
          <w:p w14:paraId="394AE5BC">
            <w:pPr>
              <w:pStyle w:val="31"/>
              <w:bidi w:val="0"/>
              <w:rPr>
                <w:rFonts w:hint="default"/>
                <w:color w:val="auto"/>
                <w:lang w:eastAsia="zh-CN"/>
              </w:rPr>
            </w:pPr>
            <w:r>
              <w:rPr>
                <w:color w:val="auto"/>
              </w:rPr>
              <w:drawing>
                <wp:inline distT="0" distB="0" distL="114300" distR="114300">
                  <wp:extent cx="2362835" cy="1772920"/>
                  <wp:effectExtent l="0" t="0" r="18415" b="17780"/>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
                          <pic:cNvPicPr>
                            <a:picLocks noChangeAspect="1"/>
                          </pic:cNvPicPr>
                        </pic:nvPicPr>
                        <pic:blipFill>
                          <a:blip r:embed="rId59"/>
                          <a:stretch>
                            <a:fillRect/>
                          </a:stretch>
                        </pic:blipFill>
                        <pic:spPr>
                          <a:xfrm>
                            <a:off x="0" y="0"/>
                            <a:ext cx="2362835" cy="1772920"/>
                          </a:xfrm>
                          <a:prstGeom prst="rect">
                            <a:avLst/>
                          </a:prstGeom>
                          <a:noFill/>
                          <a:ln>
                            <a:noFill/>
                          </a:ln>
                        </pic:spPr>
                      </pic:pic>
                    </a:graphicData>
                  </a:graphic>
                </wp:inline>
              </w:drawing>
            </w:r>
          </w:p>
        </w:tc>
      </w:tr>
      <w:tr w14:paraId="5A21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55496B1B">
            <w:pPr>
              <w:pStyle w:val="31"/>
              <w:bidi w:val="0"/>
              <w:rPr>
                <w:rFonts w:hint="eastAsia" w:eastAsia="宋体"/>
                <w:color w:val="auto"/>
                <w:lang w:val="en-US" w:eastAsia="zh-CN"/>
              </w:rPr>
            </w:pPr>
            <w:r>
              <w:rPr>
                <w:rFonts w:hint="eastAsia"/>
                <w:color w:val="auto"/>
                <w:lang w:val="en-US" w:eastAsia="zh-CN"/>
              </w:rPr>
              <w:t>8</w:t>
            </w:r>
          </w:p>
        </w:tc>
        <w:tc>
          <w:tcPr>
            <w:tcW w:w="742" w:type="dxa"/>
            <w:tcBorders>
              <w:tl2br w:val="nil"/>
              <w:tr2bl w:val="nil"/>
            </w:tcBorders>
            <w:noWrap w:val="0"/>
            <w:tcMar>
              <w:top w:w="0" w:type="dxa"/>
              <w:left w:w="108" w:type="dxa"/>
              <w:bottom w:w="0" w:type="dxa"/>
              <w:right w:w="108" w:type="dxa"/>
            </w:tcMar>
            <w:vAlign w:val="center"/>
          </w:tcPr>
          <w:p w14:paraId="1EC618D1">
            <w:pPr>
              <w:pStyle w:val="31"/>
              <w:bidi w:val="0"/>
              <w:rPr>
                <w:rFonts w:hint="default" w:eastAsia="宋体"/>
                <w:color w:val="auto"/>
                <w:lang w:val="en-US" w:eastAsia="zh-CN"/>
              </w:rPr>
            </w:pPr>
            <w:r>
              <w:rPr>
                <w:rFonts w:hint="eastAsia"/>
                <w:color w:val="auto"/>
                <w:lang w:val="en-US" w:eastAsia="zh-CN"/>
              </w:rPr>
              <w:t>样方17</w:t>
            </w:r>
          </w:p>
        </w:tc>
        <w:tc>
          <w:tcPr>
            <w:tcW w:w="741" w:type="dxa"/>
            <w:tcBorders>
              <w:tl2br w:val="nil"/>
              <w:tr2bl w:val="nil"/>
            </w:tcBorders>
            <w:noWrap w:val="0"/>
            <w:tcMar>
              <w:top w:w="0" w:type="dxa"/>
              <w:left w:w="108" w:type="dxa"/>
              <w:bottom w:w="0" w:type="dxa"/>
              <w:right w:w="108" w:type="dxa"/>
            </w:tcMar>
            <w:vAlign w:val="center"/>
          </w:tcPr>
          <w:p w14:paraId="006DC92D">
            <w:pPr>
              <w:pStyle w:val="31"/>
              <w:bidi w:val="0"/>
              <w:rPr>
                <w:rFonts w:hint="default"/>
                <w:color w:val="auto"/>
              </w:rPr>
            </w:pPr>
            <w:r>
              <w:rPr>
                <w:rFonts w:hint="eastAsia"/>
                <w:color w:val="auto"/>
                <w:lang w:val="en-US" w:eastAsia="zh-CN"/>
              </w:rPr>
              <w:t>5号抛泥区东侧</w:t>
            </w:r>
          </w:p>
        </w:tc>
        <w:tc>
          <w:tcPr>
            <w:tcW w:w="974" w:type="dxa"/>
            <w:tcBorders>
              <w:tl2br w:val="nil"/>
              <w:tr2bl w:val="nil"/>
            </w:tcBorders>
            <w:noWrap w:val="0"/>
            <w:tcMar>
              <w:top w:w="0" w:type="dxa"/>
              <w:left w:w="108" w:type="dxa"/>
              <w:bottom w:w="0" w:type="dxa"/>
              <w:right w:w="108" w:type="dxa"/>
            </w:tcMar>
            <w:vAlign w:val="center"/>
          </w:tcPr>
          <w:p w14:paraId="1C467ADD">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1B895042">
            <w:pPr>
              <w:pStyle w:val="31"/>
              <w:bidi w:val="0"/>
              <w:rPr>
                <w:rFonts w:hint="default"/>
                <w:color w:val="auto"/>
                <w:lang w:val="en-US" w:eastAsia="zh-CN"/>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281617E9">
            <w:pPr>
              <w:pStyle w:val="31"/>
              <w:bidi w:val="0"/>
              <w:rPr>
                <w:rFonts w:hint="default"/>
                <w:color w:val="auto"/>
              </w:rPr>
            </w:pPr>
            <w:r>
              <w:rPr>
                <w:rFonts w:hint="default"/>
                <w:color w:val="auto"/>
              </w:rPr>
              <w:t>117.40306735,30.60450798</w:t>
            </w:r>
          </w:p>
        </w:tc>
        <w:tc>
          <w:tcPr>
            <w:tcW w:w="730" w:type="dxa"/>
            <w:tcBorders>
              <w:tl2br w:val="nil"/>
              <w:tr2bl w:val="nil"/>
            </w:tcBorders>
            <w:shd w:val="clear" w:color="auto" w:fill="auto"/>
            <w:noWrap w:val="0"/>
            <w:tcMar>
              <w:top w:w="0" w:type="dxa"/>
              <w:left w:w="108" w:type="dxa"/>
              <w:bottom w:w="0" w:type="dxa"/>
              <w:right w:w="108" w:type="dxa"/>
            </w:tcMar>
            <w:vAlign w:val="center"/>
          </w:tcPr>
          <w:p w14:paraId="654A81DE">
            <w:pPr>
              <w:pStyle w:val="31"/>
              <w:bidi w:val="0"/>
              <w:rPr>
                <w:rFonts w:hint="default"/>
                <w:color w:val="auto"/>
                <w:lang w:val="en-US" w:eastAsia="zh-CN"/>
              </w:rPr>
            </w:pPr>
            <w:r>
              <w:rPr>
                <w:rFonts w:hint="eastAsia"/>
                <w:color w:val="auto"/>
                <w:lang w:val="en-US" w:eastAsia="zh-CN"/>
              </w:rPr>
              <w:t>陆生草本</w:t>
            </w:r>
          </w:p>
        </w:tc>
        <w:tc>
          <w:tcPr>
            <w:tcW w:w="710" w:type="dxa"/>
            <w:tcBorders>
              <w:tl2br w:val="nil"/>
              <w:tr2bl w:val="nil"/>
            </w:tcBorders>
            <w:shd w:val="clear" w:color="auto" w:fill="auto"/>
            <w:noWrap w:val="0"/>
            <w:tcMar>
              <w:top w:w="0" w:type="dxa"/>
              <w:left w:w="108" w:type="dxa"/>
              <w:bottom w:w="0" w:type="dxa"/>
              <w:right w:w="108" w:type="dxa"/>
            </w:tcMar>
            <w:vAlign w:val="center"/>
          </w:tcPr>
          <w:p w14:paraId="01786D6E">
            <w:pPr>
              <w:pStyle w:val="31"/>
              <w:bidi w:val="0"/>
              <w:rPr>
                <w:rFonts w:hint="default"/>
                <w:color w:val="auto"/>
                <w:lang w:val="en-US" w:eastAsia="zh-CN"/>
              </w:rPr>
            </w:pPr>
            <w:r>
              <w:rPr>
                <w:rFonts w:hint="default"/>
                <w:color w:val="auto"/>
                <w:lang w:val="en-US" w:eastAsia="zh-CN"/>
              </w:rPr>
              <w:t>狗牙根群系</w:t>
            </w:r>
          </w:p>
        </w:tc>
        <w:tc>
          <w:tcPr>
            <w:tcW w:w="1220" w:type="dxa"/>
            <w:tcBorders>
              <w:tl2br w:val="nil"/>
              <w:tr2bl w:val="nil"/>
            </w:tcBorders>
            <w:shd w:val="clear" w:color="auto" w:fill="auto"/>
            <w:noWrap w:val="0"/>
            <w:tcMar>
              <w:top w:w="0" w:type="dxa"/>
              <w:left w:w="108" w:type="dxa"/>
              <w:bottom w:w="0" w:type="dxa"/>
              <w:right w:w="108" w:type="dxa"/>
            </w:tcMar>
            <w:vAlign w:val="center"/>
          </w:tcPr>
          <w:p w14:paraId="320137E5">
            <w:pPr>
              <w:pStyle w:val="31"/>
              <w:bidi w:val="0"/>
              <w:rPr>
                <w:rFonts w:hint="default"/>
                <w:color w:val="auto"/>
                <w:lang w:val="en-US" w:eastAsia="zh-CN"/>
              </w:rPr>
            </w:pPr>
            <w:r>
              <w:rPr>
                <w:rFonts w:hint="default"/>
                <w:color w:val="auto"/>
                <w:lang w:val="en-US" w:eastAsia="zh-CN"/>
              </w:rPr>
              <w:t>地形：平原</w:t>
            </w:r>
          </w:p>
          <w:p w14:paraId="3487659B">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11</w:t>
            </w:r>
            <w:r>
              <w:rPr>
                <w:rFonts w:hint="default"/>
                <w:color w:val="auto"/>
                <w:lang w:val="en-US" w:eastAsia="zh-CN"/>
              </w:rPr>
              <w:t>m</w:t>
            </w:r>
          </w:p>
          <w:p w14:paraId="0210949C">
            <w:pPr>
              <w:pStyle w:val="31"/>
              <w:bidi w:val="0"/>
              <w:rPr>
                <w:rFonts w:hint="default"/>
                <w:color w:val="auto"/>
                <w:lang w:val="en-US" w:eastAsia="zh-CN"/>
              </w:rPr>
            </w:pPr>
            <w:r>
              <w:rPr>
                <w:rFonts w:hint="default"/>
                <w:color w:val="auto"/>
                <w:lang w:val="en-US" w:eastAsia="zh-CN"/>
              </w:rPr>
              <w:t>坡向：-</w:t>
            </w:r>
          </w:p>
          <w:p w14:paraId="79AD2DEF">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shd w:val="clear" w:color="auto" w:fill="auto"/>
            <w:noWrap w:val="0"/>
            <w:tcMar>
              <w:top w:w="0" w:type="dxa"/>
              <w:left w:w="108" w:type="dxa"/>
              <w:bottom w:w="0" w:type="dxa"/>
              <w:right w:w="108" w:type="dxa"/>
            </w:tcMar>
            <w:vAlign w:val="center"/>
          </w:tcPr>
          <w:p w14:paraId="756F1EBB">
            <w:pPr>
              <w:pStyle w:val="31"/>
              <w:bidi w:val="0"/>
              <w:rPr>
                <w:rFonts w:hint="default"/>
                <w:color w:val="auto"/>
                <w:lang w:val="en-US" w:eastAsia="zh-CN"/>
              </w:rPr>
            </w:pPr>
            <w:r>
              <w:rPr>
                <w:rFonts w:hint="default"/>
                <w:color w:val="auto"/>
                <w:lang w:val="en-US" w:eastAsia="zh-CN"/>
              </w:rPr>
              <w:t>层均高0.4m，高0.4m-0.6m，伴生有莎草（Cyperusrotundus）、一年蓬（Erigeronannuus）等草本</w:t>
            </w:r>
          </w:p>
        </w:tc>
        <w:tc>
          <w:tcPr>
            <w:tcW w:w="628" w:type="dxa"/>
            <w:tcBorders>
              <w:tl2br w:val="nil"/>
              <w:tr2bl w:val="nil"/>
            </w:tcBorders>
            <w:shd w:val="clear" w:color="auto" w:fill="auto"/>
            <w:noWrap w:val="0"/>
            <w:tcMar>
              <w:top w:w="0" w:type="dxa"/>
              <w:left w:w="108" w:type="dxa"/>
              <w:bottom w:w="0" w:type="dxa"/>
              <w:right w:w="108" w:type="dxa"/>
            </w:tcMar>
            <w:vAlign w:val="center"/>
          </w:tcPr>
          <w:p w14:paraId="4A34B409">
            <w:pPr>
              <w:pStyle w:val="31"/>
              <w:bidi w:val="0"/>
              <w:rPr>
                <w:rFonts w:hint="default"/>
                <w:color w:val="auto"/>
                <w:lang w:val="en-US" w:eastAsia="zh-CN"/>
              </w:rPr>
            </w:pPr>
            <w:r>
              <w:rPr>
                <w:rFonts w:hint="eastAsia"/>
                <w:color w:val="auto"/>
                <w:lang w:val="en-US" w:eastAsia="zh-CN"/>
              </w:rPr>
              <w:t>95</w:t>
            </w:r>
          </w:p>
        </w:tc>
        <w:tc>
          <w:tcPr>
            <w:tcW w:w="3642" w:type="dxa"/>
            <w:tcBorders>
              <w:tl2br w:val="nil"/>
              <w:tr2bl w:val="nil"/>
            </w:tcBorders>
            <w:shd w:val="clear" w:color="auto" w:fill="auto"/>
            <w:noWrap w:val="0"/>
            <w:tcMar>
              <w:top w:w="0" w:type="dxa"/>
              <w:left w:w="108" w:type="dxa"/>
              <w:bottom w:w="0" w:type="dxa"/>
              <w:right w:w="108" w:type="dxa"/>
            </w:tcMar>
            <w:vAlign w:val="center"/>
          </w:tcPr>
          <w:p w14:paraId="37A3E7D9">
            <w:pPr>
              <w:pStyle w:val="31"/>
              <w:bidi w:val="0"/>
              <w:rPr>
                <w:rFonts w:hint="default"/>
                <w:color w:val="auto"/>
                <w:lang w:val="en-US" w:eastAsia="zh-CN"/>
              </w:rPr>
            </w:pPr>
            <w:r>
              <w:rPr>
                <w:color w:val="auto"/>
              </w:rPr>
              <w:drawing>
                <wp:inline distT="0" distB="0" distL="114300" distR="114300">
                  <wp:extent cx="2362835" cy="1767205"/>
                  <wp:effectExtent l="0" t="0" r="18415" b="4445"/>
                  <wp:docPr id="4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4"/>
                          <pic:cNvPicPr>
                            <a:picLocks noChangeAspect="1"/>
                          </pic:cNvPicPr>
                        </pic:nvPicPr>
                        <pic:blipFill>
                          <a:blip r:embed="rId60"/>
                          <a:stretch>
                            <a:fillRect/>
                          </a:stretch>
                        </pic:blipFill>
                        <pic:spPr>
                          <a:xfrm>
                            <a:off x="0" y="0"/>
                            <a:ext cx="2362835" cy="1767205"/>
                          </a:xfrm>
                          <a:prstGeom prst="rect">
                            <a:avLst/>
                          </a:prstGeom>
                          <a:noFill/>
                          <a:ln>
                            <a:noFill/>
                          </a:ln>
                        </pic:spPr>
                      </pic:pic>
                    </a:graphicData>
                  </a:graphic>
                </wp:inline>
              </w:drawing>
            </w:r>
          </w:p>
        </w:tc>
      </w:tr>
      <w:tr w14:paraId="5ED3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7F9AEA55">
            <w:pPr>
              <w:pStyle w:val="31"/>
              <w:bidi w:val="0"/>
              <w:rPr>
                <w:rFonts w:hint="eastAsia" w:eastAsia="宋体"/>
                <w:color w:val="auto"/>
                <w:lang w:val="en-US" w:eastAsia="zh-CN"/>
              </w:rPr>
            </w:pPr>
            <w:r>
              <w:rPr>
                <w:rFonts w:hint="eastAsia"/>
                <w:color w:val="auto"/>
                <w:lang w:val="en-US" w:eastAsia="zh-CN"/>
              </w:rPr>
              <w:t>9</w:t>
            </w:r>
          </w:p>
        </w:tc>
        <w:tc>
          <w:tcPr>
            <w:tcW w:w="742" w:type="dxa"/>
            <w:tcBorders>
              <w:tl2br w:val="nil"/>
              <w:tr2bl w:val="nil"/>
            </w:tcBorders>
            <w:noWrap w:val="0"/>
            <w:tcMar>
              <w:top w:w="0" w:type="dxa"/>
              <w:left w:w="108" w:type="dxa"/>
              <w:bottom w:w="0" w:type="dxa"/>
              <w:right w:w="108" w:type="dxa"/>
            </w:tcMar>
            <w:vAlign w:val="center"/>
          </w:tcPr>
          <w:p w14:paraId="06A4EBB3">
            <w:pPr>
              <w:pStyle w:val="31"/>
              <w:bidi w:val="0"/>
              <w:rPr>
                <w:rFonts w:hint="default" w:eastAsia="宋体"/>
                <w:color w:val="auto"/>
                <w:lang w:val="en-US" w:eastAsia="zh-CN"/>
              </w:rPr>
            </w:pPr>
            <w:r>
              <w:rPr>
                <w:rFonts w:hint="eastAsia"/>
                <w:color w:val="auto"/>
                <w:lang w:val="en-US" w:eastAsia="zh-CN"/>
              </w:rPr>
              <w:t>样方11</w:t>
            </w:r>
          </w:p>
        </w:tc>
        <w:tc>
          <w:tcPr>
            <w:tcW w:w="741" w:type="dxa"/>
            <w:tcBorders>
              <w:tl2br w:val="nil"/>
              <w:tr2bl w:val="nil"/>
            </w:tcBorders>
            <w:noWrap w:val="0"/>
            <w:tcMar>
              <w:top w:w="0" w:type="dxa"/>
              <w:left w:w="108" w:type="dxa"/>
              <w:bottom w:w="0" w:type="dxa"/>
              <w:right w:w="108" w:type="dxa"/>
            </w:tcMar>
            <w:vAlign w:val="center"/>
          </w:tcPr>
          <w:p w14:paraId="656F5B26">
            <w:pPr>
              <w:pStyle w:val="31"/>
              <w:bidi w:val="0"/>
              <w:rPr>
                <w:rFonts w:hint="default"/>
                <w:color w:val="auto"/>
                <w:lang w:val="en-US"/>
              </w:rPr>
            </w:pPr>
            <w:r>
              <w:rPr>
                <w:rFonts w:hint="eastAsia"/>
                <w:color w:val="auto"/>
                <w:lang w:val="en-US" w:eastAsia="zh-CN"/>
              </w:rPr>
              <w:t>6号抛泥区北侧</w:t>
            </w:r>
          </w:p>
        </w:tc>
        <w:tc>
          <w:tcPr>
            <w:tcW w:w="974" w:type="dxa"/>
            <w:tcBorders>
              <w:tl2br w:val="nil"/>
              <w:tr2bl w:val="nil"/>
            </w:tcBorders>
            <w:noWrap w:val="0"/>
            <w:tcMar>
              <w:top w:w="0" w:type="dxa"/>
              <w:left w:w="108" w:type="dxa"/>
              <w:bottom w:w="0" w:type="dxa"/>
              <w:right w:w="108" w:type="dxa"/>
            </w:tcMar>
            <w:vAlign w:val="center"/>
          </w:tcPr>
          <w:p w14:paraId="3F3F492A">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2274FD00">
            <w:pPr>
              <w:pStyle w:val="31"/>
              <w:bidi w:val="0"/>
              <w:rPr>
                <w:rFonts w:hint="default"/>
                <w:color w:val="auto"/>
                <w:lang w:val="en-US" w:eastAsia="zh-CN"/>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7A2E55B5">
            <w:pPr>
              <w:pStyle w:val="31"/>
              <w:bidi w:val="0"/>
              <w:rPr>
                <w:rFonts w:hint="default"/>
                <w:color w:val="auto"/>
              </w:rPr>
            </w:pPr>
            <w:r>
              <w:rPr>
                <w:rFonts w:hint="default"/>
                <w:color w:val="auto"/>
              </w:rPr>
              <w:t>117.38773584,30.59010136</w:t>
            </w:r>
          </w:p>
        </w:tc>
        <w:tc>
          <w:tcPr>
            <w:tcW w:w="730" w:type="dxa"/>
            <w:tcBorders>
              <w:tl2br w:val="nil"/>
              <w:tr2bl w:val="nil"/>
            </w:tcBorders>
            <w:noWrap w:val="0"/>
            <w:tcMar>
              <w:top w:w="0" w:type="dxa"/>
              <w:left w:w="108" w:type="dxa"/>
              <w:bottom w:w="0" w:type="dxa"/>
              <w:right w:w="108" w:type="dxa"/>
            </w:tcMar>
            <w:vAlign w:val="center"/>
          </w:tcPr>
          <w:p w14:paraId="52E7B92C">
            <w:pPr>
              <w:pStyle w:val="31"/>
              <w:bidi w:val="0"/>
              <w:rPr>
                <w:rFonts w:hint="default"/>
                <w:color w:val="auto"/>
              </w:rPr>
            </w:pPr>
            <w:r>
              <w:rPr>
                <w:rFonts w:hint="eastAsia"/>
                <w:color w:val="auto"/>
                <w:lang w:val="en-US" w:eastAsia="zh-CN"/>
              </w:rPr>
              <w:t>陆生草本</w:t>
            </w:r>
          </w:p>
        </w:tc>
        <w:tc>
          <w:tcPr>
            <w:tcW w:w="710" w:type="dxa"/>
            <w:tcBorders>
              <w:tl2br w:val="nil"/>
              <w:tr2bl w:val="nil"/>
            </w:tcBorders>
            <w:noWrap w:val="0"/>
            <w:tcMar>
              <w:top w:w="0" w:type="dxa"/>
              <w:left w:w="108" w:type="dxa"/>
              <w:bottom w:w="0" w:type="dxa"/>
              <w:right w:w="108" w:type="dxa"/>
            </w:tcMar>
            <w:vAlign w:val="center"/>
          </w:tcPr>
          <w:p w14:paraId="664A9CC1">
            <w:pPr>
              <w:pStyle w:val="31"/>
              <w:bidi w:val="0"/>
              <w:rPr>
                <w:rFonts w:hint="default"/>
                <w:color w:val="auto"/>
                <w:lang w:val="en-US" w:eastAsia="zh-CN"/>
              </w:rPr>
            </w:pPr>
            <w:r>
              <w:rPr>
                <w:rFonts w:hint="default"/>
                <w:color w:val="auto"/>
                <w:lang w:val="en-US" w:eastAsia="zh-CN"/>
              </w:rPr>
              <w:t>夏至草群系</w:t>
            </w:r>
          </w:p>
        </w:tc>
        <w:tc>
          <w:tcPr>
            <w:tcW w:w="1220" w:type="dxa"/>
            <w:tcBorders>
              <w:tl2br w:val="nil"/>
              <w:tr2bl w:val="nil"/>
            </w:tcBorders>
            <w:noWrap w:val="0"/>
            <w:tcMar>
              <w:top w:w="0" w:type="dxa"/>
              <w:left w:w="108" w:type="dxa"/>
              <w:bottom w:w="0" w:type="dxa"/>
              <w:right w:w="108" w:type="dxa"/>
            </w:tcMar>
            <w:vAlign w:val="center"/>
          </w:tcPr>
          <w:p w14:paraId="2DB483E6">
            <w:pPr>
              <w:pStyle w:val="31"/>
              <w:bidi w:val="0"/>
              <w:rPr>
                <w:rFonts w:hint="default"/>
                <w:color w:val="auto"/>
                <w:lang w:val="en-US" w:eastAsia="zh-CN"/>
              </w:rPr>
            </w:pPr>
            <w:r>
              <w:rPr>
                <w:rFonts w:hint="default"/>
                <w:color w:val="auto"/>
                <w:lang w:val="en-US" w:eastAsia="zh-CN"/>
              </w:rPr>
              <w:t>地形：平原</w:t>
            </w:r>
          </w:p>
          <w:p w14:paraId="0E402B83">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71FFAA99">
            <w:pPr>
              <w:pStyle w:val="31"/>
              <w:bidi w:val="0"/>
              <w:rPr>
                <w:rFonts w:hint="default"/>
                <w:color w:val="auto"/>
                <w:lang w:val="en-US" w:eastAsia="zh-CN"/>
              </w:rPr>
            </w:pPr>
            <w:r>
              <w:rPr>
                <w:rFonts w:hint="default"/>
                <w:color w:val="auto"/>
                <w:lang w:val="en-US" w:eastAsia="zh-CN"/>
              </w:rPr>
              <w:t>坡向：-</w:t>
            </w:r>
          </w:p>
          <w:p w14:paraId="162E71D6">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704212C9">
            <w:pPr>
              <w:pStyle w:val="31"/>
              <w:bidi w:val="0"/>
              <w:rPr>
                <w:rFonts w:hint="default"/>
                <w:color w:val="auto"/>
              </w:rPr>
            </w:pPr>
            <w:r>
              <w:rPr>
                <w:rFonts w:hint="default"/>
                <w:color w:val="auto"/>
              </w:rPr>
              <w:t>伴生植物有稗草（Echinochloacrus-galli）、峨参（Anthriscussylvestris）、</w:t>
            </w:r>
          </w:p>
          <w:p w14:paraId="4403A066">
            <w:pPr>
              <w:pStyle w:val="31"/>
              <w:bidi w:val="0"/>
              <w:rPr>
                <w:rFonts w:hint="default"/>
                <w:color w:val="auto"/>
              </w:rPr>
            </w:pPr>
            <w:r>
              <w:rPr>
                <w:rFonts w:hint="default"/>
                <w:color w:val="auto"/>
              </w:rPr>
              <w:t>两栖蔊菜（Rorippaamphibia）、酸模叶蓼（Persicarialapathifolia）。群系周围</w:t>
            </w:r>
          </w:p>
          <w:p w14:paraId="7BC17FF8">
            <w:pPr>
              <w:pStyle w:val="31"/>
              <w:bidi w:val="0"/>
              <w:rPr>
                <w:rFonts w:hint="default"/>
                <w:color w:val="auto"/>
              </w:rPr>
            </w:pPr>
            <w:r>
              <w:rPr>
                <w:rFonts w:hint="default"/>
                <w:color w:val="auto"/>
              </w:rPr>
              <w:t>主要以芦苇、芦荻为主</w:t>
            </w:r>
          </w:p>
        </w:tc>
        <w:tc>
          <w:tcPr>
            <w:tcW w:w="628" w:type="dxa"/>
            <w:tcBorders>
              <w:tl2br w:val="nil"/>
              <w:tr2bl w:val="nil"/>
            </w:tcBorders>
            <w:noWrap w:val="0"/>
            <w:tcMar>
              <w:top w:w="0" w:type="dxa"/>
              <w:left w:w="108" w:type="dxa"/>
              <w:bottom w:w="0" w:type="dxa"/>
              <w:right w:w="108" w:type="dxa"/>
            </w:tcMar>
            <w:vAlign w:val="center"/>
          </w:tcPr>
          <w:p w14:paraId="53EB0CE5">
            <w:pPr>
              <w:pStyle w:val="31"/>
              <w:bidi w:val="0"/>
              <w:rPr>
                <w:rFonts w:hint="default"/>
                <w:color w:val="auto"/>
                <w:lang w:val="en-US" w:eastAsia="zh-CN"/>
              </w:rPr>
            </w:pPr>
            <w:r>
              <w:rPr>
                <w:rFonts w:hint="eastAsia"/>
                <w:color w:val="auto"/>
                <w:lang w:val="en-US" w:eastAsia="zh-CN"/>
              </w:rPr>
              <w:t>95</w:t>
            </w:r>
          </w:p>
        </w:tc>
        <w:tc>
          <w:tcPr>
            <w:tcW w:w="3642" w:type="dxa"/>
            <w:tcBorders>
              <w:tl2br w:val="nil"/>
              <w:tr2bl w:val="nil"/>
            </w:tcBorders>
            <w:noWrap w:val="0"/>
            <w:tcMar>
              <w:top w:w="0" w:type="dxa"/>
              <w:left w:w="108" w:type="dxa"/>
              <w:bottom w:w="0" w:type="dxa"/>
              <w:right w:w="108" w:type="dxa"/>
            </w:tcMar>
            <w:vAlign w:val="center"/>
          </w:tcPr>
          <w:p w14:paraId="2E50A29C">
            <w:pPr>
              <w:pStyle w:val="31"/>
              <w:bidi w:val="0"/>
              <w:rPr>
                <w:rFonts w:hint="default"/>
                <w:color w:val="auto"/>
                <w:lang w:eastAsia="zh-CN"/>
              </w:rPr>
            </w:pPr>
            <w:r>
              <w:rPr>
                <w:color w:val="auto"/>
              </w:rPr>
              <w:drawing>
                <wp:inline distT="0" distB="0" distL="114300" distR="114300">
                  <wp:extent cx="2360295" cy="1749425"/>
                  <wp:effectExtent l="0" t="0" r="1905" b="3175"/>
                  <wp:docPr id="4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5"/>
                          <pic:cNvPicPr>
                            <a:picLocks noChangeAspect="1"/>
                          </pic:cNvPicPr>
                        </pic:nvPicPr>
                        <pic:blipFill>
                          <a:blip r:embed="rId61"/>
                          <a:stretch>
                            <a:fillRect/>
                          </a:stretch>
                        </pic:blipFill>
                        <pic:spPr>
                          <a:xfrm>
                            <a:off x="0" y="0"/>
                            <a:ext cx="2360295" cy="1749425"/>
                          </a:xfrm>
                          <a:prstGeom prst="rect">
                            <a:avLst/>
                          </a:prstGeom>
                          <a:noFill/>
                          <a:ln>
                            <a:noFill/>
                          </a:ln>
                        </pic:spPr>
                      </pic:pic>
                    </a:graphicData>
                  </a:graphic>
                </wp:inline>
              </w:drawing>
            </w:r>
          </w:p>
        </w:tc>
      </w:tr>
      <w:tr w14:paraId="6273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6A397A4E">
            <w:pPr>
              <w:pStyle w:val="31"/>
              <w:bidi w:val="0"/>
              <w:rPr>
                <w:rFonts w:hint="default" w:eastAsia="宋体"/>
                <w:color w:val="auto"/>
                <w:lang w:val="en-US" w:eastAsia="zh-CN"/>
              </w:rPr>
            </w:pPr>
            <w:r>
              <w:rPr>
                <w:rFonts w:hint="eastAsia"/>
                <w:color w:val="auto"/>
                <w:lang w:val="en-US" w:eastAsia="zh-CN"/>
              </w:rPr>
              <w:t>10</w:t>
            </w:r>
          </w:p>
        </w:tc>
        <w:tc>
          <w:tcPr>
            <w:tcW w:w="742" w:type="dxa"/>
            <w:tcBorders>
              <w:tl2br w:val="nil"/>
              <w:tr2bl w:val="nil"/>
            </w:tcBorders>
            <w:noWrap w:val="0"/>
            <w:tcMar>
              <w:top w:w="0" w:type="dxa"/>
              <w:left w:w="108" w:type="dxa"/>
              <w:bottom w:w="0" w:type="dxa"/>
              <w:right w:w="108" w:type="dxa"/>
            </w:tcMar>
            <w:vAlign w:val="center"/>
          </w:tcPr>
          <w:p w14:paraId="77EF7810">
            <w:pPr>
              <w:pStyle w:val="31"/>
              <w:bidi w:val="0"/>
              <w:rPr>
                <w:rFonts w:hint="default"/>
                <w:color w:val="auto"/>
                <w:lang w:val="en-US" w:eastAsia="zh-CN"/>
              </w:rPr>
            </w:pPr>
            <w:r>
              <w:rPr>
                <w:rFonts w:hint="eastAsia"/>
                <w:color w:val="auto"/>
                <w:lang w:val="en-US" w:eastAsia="zh-CN"/>
              </w:rPr>
              <w:t>样方7</w:t>
            </w:r>
          </w:p>
        </w:tc>
        <w:tc>
          <w:tcPr>
            <w:tcW w:w="741" w:type="dxa"/>
            <w:tcBorders>
              <w:tl2br w:val="nil"/>
              <w:tr2bl w:val="nil"/>
            </w:tcBorders>
            <w:noWrap w:val="0"/>
            <w:tcMar>
              <w:top w:w="0" w:type="dxa"/>
              <w:left w:w="108" w:type="dxa"/>
              <w:bottom w:w="0" w:type="dxa"/>
              <w:right w:w="108" w:type="dxa"/>
            </w:tcMar>
            <w:vAlign w:val="center"/>
          </w:tcPr>
          <w:p w14:paraId="3EF58048">
            <w:pPr>
              <w:pStyle w:val="31"/>
              <w:bidi w:val="0"/>
              <w:rPr>
                <w:rFonts w:hint="default"/>
                <w:color w:val="auto"/>
                <w:lang w:val="en-US" w:eastAsia="zh-CN"/>
              </w:rPr>
            </w:pPr>
            <w:r>
              <w:rPr>
                <w:rFonts w:hint="eastAsia"/>
                <w:color w:val="auto"/>
                <w:lang w:val="en-US" w:eastAsia="zh-CN"/>
              </w:rPr>
              <w:t>5号抛泥区北侧</w:t>
            </w:r>
          </w:p>
        </w:tc>
        <w:tc>
          <w:tcPr>
            <w:tcW w:w="974" w:type="dxa"/>
            <w:tcBorders>
              <w:tl2br w:val="nil"/>
              <w:tr2bl w:val="nil"/>
            </w:tcBorders>
            <w:noWrap w:val="0"/>
            <w:tcMar>
              <w:top w:w="0" w:type="dxa"/>
              <w:left w:w="108" w:type="dxa"/>
              <w:bottom w:w="0" w:type="dxa"/>
              <w:right w:w="108" w:type="dxa"/>
            </w:tcMar>
            <w:vAlign w:val="center"/>
          </w:tcPr>
          <w:p w14:paraId="3023025F">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31EE6B05">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344CCDAC">
            <w:pPr>
              <w:pStyle w:val="31"/>
              <w:bidi w:val="0"/>
              <w:rPr>
                <w:rFonts w:hint="default"/>
                <w:color w:val="auto"/>
              </w:rPr>
            </w:pPr>
            <w:r>
              <w:rPr>
                <w:rFonts w:hint="default"/>
                <w:color w:val="auto"/>
              </w:rPr>
              <w:t>117.38773584,30.59010136</w:t>
            </w:r>
          </w:p>
        </w:tc>
        <w:tc>
          <w:tcPr>
            <w:tcW w:w="730" w:type="dxa"/>
            <w:tcBorders>
              <w:tl2br w:val="nil"/>
              <w:tr2bl w:val="nil"/>
            </w:tcBorders>
            <w:noWrap w:val="0"/>
            <w:tcMar>
              <w:top w:w="0" w:type="dxa"/>
              <w:left w:w="108" w:type="dxa"/>
              <w:bottom w:w="0" w:type="dxa"/>
              <w:right w:w="108" w:type="dxa"/>
            </w:tcMar>
            <w:vAlign w:val="center"/>
          </w:tcPr>
          <w:p w14:paraId="29E6C176">
            <w:pPr>
              <w:pStyle w:val="31"/>
              <w:bidi w:val="0"/>
              <w:rPr>
                <w:rFonts w:hint="default"/>
                <w:color w:val="auto"/>
                <w:lang w:val="en-US" w:eastAsia="zh-CN"/>
              </w:rPr>
            </w:pPr>
            <w:r>
              <w:rPr>
                <w:rFonts w:hint="eastAsia"/>
                <w:color w:val="auto"/>
                <w:lang w:val="en-US" w:eastAsia="zh-CN"/>
              </w:rPr>
              <w:t>陆生草本</w:t>
            </w:r>
          </w:p>
        </w:tc>
        <w:tc>
          <w:tcPr>
            <w:tcW w:w="710" w:type="dxa"/>
            <w:tcBorders>
              <w:tl2br w:val="nil"/>
              <w:tr2bl w:val="nil"/>
            </w:tcBorders>
            <w:noWrap w:val="0"/>
            <w:tcMar>
              <w:top w:w="0" w:type="dxa"/>
              <w:left w:w="108" w:type="dxa"/>
              <w:bottom w:w="0" w:type="dxa"/>
              <w:right w:w="108" w:type="dxa"/>
            </w:tcMar>
            <w:vAlign w:val="center"/>
          </w:tcPr>
          <w:p w14:paraId="4B8128B1">
            <w:pPr>
              <w:pStyle w:val="31"/>
              <w:bidi w:val="0"/>
              <w:rPr>
                <w:rFonts w:hint="default"/>
                <w:color w:val="auto"/>
                <w:lang w:val="en-US" w:eastAsia="zh-CN"/>
              </w:rPr>
            </w:pPr>
            <w:r>
              <w:rPr>
                <w:rFonts w:hint="default"/>
                <w:color w:val="auto"/>
                <w:lang w:val="en-US" w:eastAsia="zh-CN"/>
              </w:rPr>
              <w:t>加拿大一枝黄花</w:t>
            </w:r>
            <w:r>
              <w:rPr>
                <w:rFonts w:hint="eastAsia"/>
                <w:color w:val="auto"/>
                <w:lang w:val="en-US" w:eastAsia="zh-CN"/>
              </w:rPr>
              <w:t>群系</w:t>
            </w:r>
          </w:p>
        </w:tc>
        <w:tc>
          <w:tcPr>
            <w:tcW w:w="1220" w:type="dxa"/>
            <w:tcBorders>
              <w:tl2br w:val="nil"/>
              <w:tr2bl w:val="nil"/>
            </w:tcBorders>
            <w:noWrap w:val="0"/>
            <w:tcMar>
              <w:top w:w="0" w:type="dxa"/>
              <w:left w:w="108" w:type="dxa"/>
              <w:bottom w:w="0" w:type="dxa"/>
              <w:right w:w="108" w:type="dxa"/>
            </w:tcMar>
            <w:vAlign w:val="center"/>
          </w:tcPr>
          <w:p w14:paraId="6DB4B703">
            <w:pPr>
              <w:pStyle w:val="31"/>
              <w:bidi w:val="0"/>
              <w:rPr>
                <w:rFonts w:hint="default"/>
                <w:color w:val="auto"/>
                <w:lang w:val="en-US" w:eastAsia="zh-CN"/>
              </w:rPr>
            </w:pPr>
            <w:r>
              <w:rPr>
                <w:rFonts w:hint="default"/>
                <w:color w:val="auto"/>
                <w:lang w:val="en-US" w:eastAsia="zh-CN"/>
              </w:rPr>
              <w:t>地形：平原</w:t>
            </w:r>
          </w:p>
          <w:p w14:paraId="5B3AB247">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18492BC8">
            <w:pPr>
              <w:pStyle w:val="31"/>
              <w:bidi w:val="0"/>
              <w:rPr>
                <w:rFonts w:hint="default"/>
                <w:color w:val="auto"/>
                <w:lang w:val="en-US" w:eastAsia="zh-CN"/>
              </w:rPr>
            </w:pPr>
            <w:r>
              <w:rPr>
                <w:rFonts w:hint="default"/>
                <w:color w:val="auto"/>
                <w:lang w:val="en-US" w:eastAsia="zh-CN"/>
              </w:rPr>
              <w:t>坡向：-</w:t>
            </w:r>
          </w:p>
          <w:p w14:paraId="5912311B">
            <w:pPr>
              <w:pStyle w:val="31"/>
              <w:bidi w:val="0"/>
              <w:rPr>
                <w:rFonts w:hint="default"/>
                <w:color w:val="auto"/>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4709B970">
            <w:pPr>
              <w:pStyle w:val="31"/>
              <w:bidi w:val="0"/>
              <w:rPr>
                <w:rFonts w:hint="default"/>
                <w:color w:val="auto"/>
                <w:lang w:eastAsia="zh-CN"/>
              </w:rPr>
            </w:pPr>
            <w:r>
              <w:rPr>
                <w:rFonts w:hint="default"/>
                <w:color w:val="auto"/>
                <w:lang w:eastAsia="zh-CN"/>
              </w:rPr>
              <w:t>平均株高1.3m，伴生有野艾蒿、夏至草。群落周围主要有芦荻、芦苇、五节芒等高大草本</w:t>
            </w:r>
          </w:p>
          <w:p w14:paraId="54610CE1">
            <w:pPr>
              <w:pStyle w:val="31"/>
              <w:bidi w:val="0"/>
              <w:rPr>
                <w:rFonts w:hint="default"/>
                <w:color w:val="auto"/>
                <w:lang w:eastAsia="zh-CN"/>
              </w:rPr>
            </w:pPr>
            <w:r>
              <w:rPr>
                <w:rFonts w:hint="default"/>
                <w:color w:val="auto"/>
                <w:lang w:eastAsia="zh-CN"/>
              </w:rPr>
              <w:t>植物</w:t>
            </w:r>
          </w:p>
        </w:tc>
        <w:tc>
          <w:tcPr>
            <w:tcW w:w="628" w:type="dxa"/>
            <w:tcBorders>
              <w:tl2br w:val="nil"/>
              <w:tr2bl w:val="nil"/>
            </w:tcBorders>
            <w:noWrap w:val="0"/>
            <w:tcMar>
              <w:top w:w="0" w:type="dxa"/>
              <w:left w:w="108" w:type="dxa"/>
              <w:bottom w:w="0" w:type="dxa"/>
              <w:right w:w="108" w:type="dxa"/>
            </w:tcMar>
            <w:vAlign w:val="center"/>
          </w:tcPr>
          <w:p w14:paraId="08C20F92">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16AD9C9E">
            <w:pPr>
              <w:pStyle w:val="31"/>
              <w:bidi w:val="0"/>
              <w:rPr>
                <w:rFonts w:hint="default"/>
                <w:color w:val="auto"/>
                <w:lang w:eastAsia="zh-CN"/>
              </w:rPr>
            </w:pPr>
            <w:r>
              <w:rPr>
                <w:color w:val="auto"/>
              </w:rPr>
              <w:drawing>
                <wp:inline distT="0" distB="0" distL="114300" distR="114300">
                  <wp:extent cx="2362200" cy="1753870"/>
                  <wp:effectExtent l="0" t="0" r="0" b="17780"/>
                  <wp:docPr id="5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6"/>
                          <pic:cNvPicPr>
                            <a:picLocks noChangeAspect="1"/>
                          </pic:cNvPicPr>
                        </pic:nvPicPr>
                        <pic:blipFill>
                          <a:blip r:embed="rId62"/>
                          <a:stretch>
                            <a:fillRect/>
                          </a:stretch>
                        </pic:blipFill>
                        <pic:spPr>
                          <a:xfrm>
                            <a:off x="0" y="0"/>
                            <a:ext cx="2362200" cy="1753870"/>
                          </a:xfrm>
                          <a:prstGeom prst="rect">
                            <a:avLst/>
                          </a:prstGeom>
                          <a:noFill/>
                          <a:ln>
                            <a:noFill/>
                          </a:ln>
                        </pic:spPr>
                      </pic:pic>
                    </a:graphicData>
                  </a:graphic>
                </wp:inline>
              </w:drawing>
            </w:r>
          </w:p>
        </w:tc>
      </w:tr>
      <w:tr w14:paraId="50547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43C37A8B">
            <w:pPr>
              <w:pStyle w:val="31"/>
              <w:bidi w:val="0"/>
              <w:rPr>
                <w:rFonts w:hint="default" w:eastAsia="宋体"/>
                <w:color w:val="auto"/>
                <w:lang w:val="en-US" w:eastAsia="zh-CN"/>
              </w:rPr>
            </w:pPr>
            <w:r>
              <w:rPr>
                <w:rFonts w:hint="eastAsia"/>
                <w:color w:val="auto"/>
                <w:lang w:val="en-US" w:eastAsia="zh-CN"/>
              </w:rPr>
              <w:t>11</w:t>
            </w:r>
          </w:p>
        </w:tc>
        <w:tc>
          <w:tcPr>
            <w:tcW w:w="742" w:type="dxa"/>
            <w:tcBorders>
              <w:tl2br w:val="nil"/>
              <w:tr2bl w:val="nil"/>
            </w:tcBorders>
            <w:noWrap w:val="0"/>
            <w:tcMar>
              <w:top w:w="0" w:type="dxa"/>
              <w:left w:w="108" w:type="dxa"/>
              <w:bottom w:w="0" w:type="dxa"/>
              <w:right w:w="108" w:type="dxa"/>
            </w:tcMar>
            <w:vAlign w:val="center"/>
          </w:tcPr>
          <w:p w14:paraId="2BF61C51">
            <w:pPr>
              <w:pStyle w:val="31"/>
              <w:bidi w:val="0"/>
              <w:rPr>
                <w:rFonts w:hint="default" w:eastAsia="宋体"/>
                <w:color w:val="auto"/>
                <w:lang w:val="en-US" w:eastAsia="zh-CN"/>
              </w:rPr>
            </w:pPr>
            <w:r>
              <w:rPr>
                <w:rFonts w:hint="eastAsia"/>
                <w:color w:val="auto"/>
                <w:lang w:val="en-US" w:eastAsia="zh-CN"/>
              </w:rPr>
              <w:t>样方2</w:t>
            </w:r>
          </w:p>
        </w:tc>
        <w:tc>
          <w:tcPr>
            <w:tcW w:w="741" w:type="dxa"/>
            <w:tcBorders>
              <w:tl2br w:val="nil"/>
              <w:tr2bl w:val="nil"/>
            </w:tcBorders>
            <w:noWrap w:val="0"/>
            <w:tcMar>
              <w:top w:w="0" w:type="dxa"/>
              <w:left w:w="108" w:type="dxa"/>
              <w:bottom w:w="0" w:type="dxa"/>
              <w:right w:w="108" w:type="dxa"/>
            </w:tcMar>
            <w:vAlign w:val="center"/>
          </w:tcPr>
          <w:p w14:paraId="72D691C6">
            <w:pPr>
              <w:pStyle w:val="31"/>
              <w:bidi w:val="0"/>
              <w:rPr>
                <w:rFonts w:hint="default"/>
                <w:color w:val="auto"/>
              </w:rPr>
            </w:pPr>
            <w:r>
              <w:rPr>
                <w:rFonts w:hint="eastAsia"/>
                <w:color w:val="auto"/>
                <w:lang w:val="en-US" w:eastAsia="zh-CN"/>
              </w:rPr>
              <w:t>5号抛泥区北侧</w:t>
            </w:r>
          </w:p>
        </w:tc>
        <w:tc>
          <w:tcPr>
            <w:tcW w:w="974" w:type="dxa"/>
            <w:tcBorders>
              <w:tl2br w:val="nil"/>
              <w:tr2bl w:val="nil"/>
            </w:tcBorders>
            <w:noWrap w:val="0"/>
            <w:tcMar>
              <w:top w:w="0" w:type="dxa"/>
              <w:left w:w="108" w:type="dxa"/>
              <w:bottom w:w="0" w:type="dxa"/>
              <w:right w:w="108" w:type="dxa"/>
            </w:tcMar>
            <w:vAlign w:val="center"/>
          </w:tcPr>
          <w:p w14:paraId="3C3BA254">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14A0F393">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1C044CC6">
            <w:pPr>
              <w:pStyle w:val="31"/>
              <w:bidi w:val="0"/>
              <w:rPr>
                <w:rFonts w:hint="default"/>
                <w:color w:val="auto"/>
              </w:rPr>
            </w:pPr>
            <w:r>
              <w:rPr>
                <w:rFonts w:hint="default"/>
                <w:color w:val="auto"/>
              </w:rPr>
              <w:t>117.40270257,30.60409244</w:t>
            </w:r>
          </w:p>
        </w:tc>
        <w:tc>
          <w:tcPr>
            <w:tcW w:w="730" w:type="dxa"/>
            <w:tcBorders>
              <w:tl2br w:val="nil"/>
              <w:tr2bl w:val="nil"/>
            </w:tcBorders>
            <w:noWrap w:val="0"/>
            <w:tcMar>
              <w:top w:w="0" w:type="dxa"/>
              <w:left w:w="108" w:type="dxa"/>
              <w:bottom w:w="0" w:type="dxa"/>
              <w:right w:w="108" w:type="dxa"/>
            </w:tcMar>
            <w:vAlign w:val="center"/>
          </w:tcPr>
          <w:p w14:paraId="4EAFB4A3">
            <w:pPr>
              <w:pStyle w:val="31"/>
              <w:bidi w:val="0"/>
              <w:rPr>
                <w:rFonts w:hint="default"/>
                <w:color w:val="auto"/>
              </w:rPr>
            </w:pPr>
            <w:r>
              <w:rPr>
                <w:rFonts w:hint="eastAsia"/>
                <w:color w:val="auto"/>
                <w:lang w:val="en-US" w:eastAsia="zh-CN"/>
              </w:rPr>
              <w:t>陆生草本</w:t>
            </w:r>
          </w:p>
        </w:tc>
        <w:tc>
          <w:tcPr>
            <w:tcW w:w="710" w:type="dxa"/>
            <w:tcBorders>
              <w:tl2br w:val="nil"/>
              <w:tr2bl w:val="nil"/>
            </w:tcBorders>
            <w:noWrap w:val="0"/>
            <w:tcMar>
              <w:top w:w="0" w:type="dxa"/>
              <w:left w:w="108" w:type="dxa"/>
              <w:bottom w:w="0" w:type="dxa"/>
              <w:right w:w="108" w:type="dxa"/>
            </w:tcMar>
            <w:vAlign w:val="center"/>
          </w:tcPr>
          <w:p w14:paraId="5418C34F">
            <w:pPr>
              <w:pStyle w:val="31"/>
              <w:bidi w:val="0"/>
              <w:rPr>
                <w:rFonts w:hint="default"/>
                <w:color w:val="auto"/>
                <w:lang w:val="en-US" w:eastAsia="zh-CN"/>
              </w:rPr>
            </w:pPr>
            <w:r>
              <w:rPr>
                <w:rFonts w:hint="default"/>
                <w:color w:val="auto"/>
                <w:lang w:val="en-US" w:eastAsia="zh-CN"/>
              </w:rPr>
              <w:t>画眉草群系</w:t>
            </w:r>
          </w:p>
        </w:tc>
        <w:tc>
          <w:tcPr>
            <w:tcW w:w="1220" w:type="dxa"/>
            <w:tcBorders>
              <w:tl2br w:val="nil"/>
              <w:tr2bl w:val="nil"/>
            </w:tcBorders>
            <w:noWrap w:val="0"/>
            <w:tcMar>
              <w:top w:w="0" w:type="dxa"/>
              <w:left w:w="108" w:type="dxa"/>
              <w:bottom w:w="0" w:type="dxa"/>
              <w:right w:w="108" w:type="dxa"/>
            </w:tcMar>
            <w:vAlign w:val="center"/>
          </w:tcPr>
          <w:p w14:paraId="1DE8A901">
            <w:pPr>
              <w:pStyle w:val="31"/>
              <w:bidi w:val="0"/>
              <w:rPr>
                <w:rFonts w:hint="default"/>
                <w:color w:val="auto"/>
                <w:lang w:val="en-US" w:eastAsia="zh-CN"/>
              </w:rPr>
            </w:pPr>
            <w:r>
              <w:rPr>
                <w:rFonts w:hint="default"/>
                <w:color w:val="auto"/>
                <w:lang w:val="en-US" w:eastAsia="zh-CN"/>
              </w:rPr>
              <w:t>地形：平原</w:t>
            </w:r>
          </w:p>
          <w:p w14:paraId="693A2B3C">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11</w:t>
            </w:r>
            <w:r>
              <w:rPr>
                <w:rFonts w:hint="default"/>
                <w:color w:val="auto"/>
                <w:lang w:val="en-US" w:eastAsia="zh-CN"/>
              </w:rPr>
              <w:t>m</w:t>
            </w:r>
          </w:p>
          <w:p w14:paraId="26B3FD55">
            <w:pPr>
              <w:pStyle w:val="31"/>
              <w:bidi w:val="0"/>
              <w:rPr>
                <w:rFonts w:hint="default"/>
                <w:color w:val="auto"/>
                <w:lang w:val="en-US" w:eastAsia="zh-CN"/>
              </w:rPr>
            </w:pPr>
            <w:r>
              <w:rPr>
                <w:rFonts w:hint="default"/>
                <w:color w:val="auto"/>
                <w:lang w:val="en-US" w:eastAsia="zh-CN"/>
              </w:rPr>
              <w:t>坡向：-</w:t>
            </w:r>
          </w:p>
          <w:p w14:paraId="65A2A97A">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518CD37F">
            <w:pPr>
              <w:pStyle w:val="31"/>
              <w:bidi w:val="0"/>
              <w:rPr>
                <w:rFonts w:hint="default"/>
                <w:color w:val="auto"/>
                <w:lang w:eastAsia="zh-CN"/>
              </w:rPr>
            </w:pPr>
            <w:r>
              <w:rPr>
                <w:rFonts w:hint="default"/>
                <w:color w:val="auto"/>
                <w:lang w:eastAsia="zh-CN"/>
              </w:rPr>
              <w:t>高度50cm。往往呈单优势种成片分布，或伴生有芦荻、青蒿（Artemisiacaruifolia）、附地菜（Trigonotispeduncularis）等</w:t>
            </w:r>
          </w:p>
        </w:tc>
        <w:tc>
          <w:tcPr>
            <w:tcW w:w="628" w:type="dxa"/>
            <w:tcBorders>
              <w:tl2br w:val="nil"/>
              <w:tr2bl w:val="nil"/>
            </w:tcBorders>
            <w:noWrap w:val="0"/>
            <w:tcMar>
              <w:top w:w="0" w:type="dxa"/>
              <w:left w:w="108" w:type="dxa"/>
              <w:bottom w:w="0" w:type="dxa"/>
              <w:right w:w="108" w:type="dxa"/>
            </w:tcMar>
            <w:vAlign w:val="center"/>
          </w:tcPr>
          <w:p w14:paraId="390DFDDF">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78D0FAE3">
            <w:pPr>
              <w:pStyle w:val="31"/>
              <w:bidi w:val="0"/>
              <w:rPr>
                <w:rFonts w:hint="default"/>
                <w:color w:val="auto"/>
                <w:lang w:eastAsia="zh-CN"/>
              </w:rPr>
            </w:pPr>
            <w:r>
              <w:rPr>
                <w:color w:val="auto"/>
              </w:rPr>
              <w:drawing>
                <wp:inline distT="0" distB="0" distL="114300" distR="114300">
                  <wp:extent cx="2358390" cy="1762760"/>
                  <wp:effectExtent l="0" t="0" r="3810" b="8890"/>
                  <wp:docPr id="5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7"/>
                          <pic:cNvPicPr>
                            <a:picLocks noChangeAspect="1"/>
                          </pic:cNvPicPr>
                        </pic:nvPicPr>
                        <pic:blipFill>
                          <a:blip r:embed="rId63"/>
                          <a:stretch>
                            <a:fillRect/>
                          </a:stretch>
                        </pic:blipFill>
                        <pic:spPr>
                          <a:xfrm>
                            <a:off x="0" y="0"/>
                            <a:ext cx="2358390" cy="1762760"/>
                          </a:xfrm>
                          <a:prstGeom prst="rect">
                            <a:avLst/>
                          </a:prstGeom>
                          <a:noFill/>
                          <a:ln>
                            <a:noFill/>
                          </a:ln>
                        </pic:spPr>
                      </pic:pic>
                    </a:graphicData>
                  </a:graphic>
                </wp:inline>
              </w:drawing>
            </w:r>
          </w:p>
        </w:tc>
      </w:tr>
      <w:tr w14:paraId="57D7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153A1EBB">
            <w:pPr>
              <w:pStyle w:val="31"/>
              <w:bidi w:val="0"/>
              <w:rPr>
                <w:rFonts w:hint="default" w:eastAsia="宋体"/>
                <w:color w:val="auto"/>
                <w:lang w:val="en-US" w:eastAsia="zh-CN"/>
              </w:rPr>
            </w:pPr>
            <w:r>
              <w:rPr>
                <w:rFonts w:hint="eastAsia"/>
                <w:color w:val="auto"/>
                <w:lang w:val="en-US" w:eastAsia="zh-CN"/>
              </w:rPr>
              <w:t>12</w:t>
            </w:r>
          </w:p>
        </w:tc>
        <w:tc>
          <w:tcPr>
            <w:tcW w:w="742" w:type="dxa"/>
            <w:tcBorders>
              <w:tl2br w:val="nil"/>
              <w:tr2bl w:val="nil"/>
            </w:tcBorders>
            <w:noWrap w:val="0"/>
            <w:tcMar>
              <w:top w:w="0" w:type="dxa"/>
              <w:left w:w="108" w:type="dxa"/>
              <w:bottom w:w="0" w:type="dxa"/>
              <w:right w:w="108" w:type="dxa"/>
            </w:tcMar>
            <w:vAlign w:val="center"/>
          </w:tcPr>
          <w:p w14:paraId="278FE1F4">
            <w:pPr>
              <w:pStyle w:val="31"/>
              <w:bidi w:val="0"/>
              <w:rPr>
                <w:rFonts w:hint="default"/>
                <w:color w:val="auto"/>
                <w:lang w:val="en-US" w:eastAsia="zh-CN"/>
              </w:rPr>
            </w:pPr>
            <w:r>
              <w:rPr>
                <w:rFonts w:hint="eastAsia"/>
                <w:color w:val="auto"/>
                <w:lang w:val="en-US" w:eastAsia="zh-CN"/>
              </w:rPr>
              <w:t>样方18</w:t>
            </w:r>
          </w:p>
        </w:tc>
        <w:tc>
          <w:tcPr>
            <w:tcW w:w="741" w:type="dxa"/>
            <w:tcBorders>
              <w:tl2br w:val="nil"/>
              <w:tr2bl w:val="nil"/>
            </w:tcBorders>
            <w:noWrap w:val="0"/>
            <w:tcMar>
              <w:top w:w="0" w:type="dxa"/>
              <w:left w:w="108" w:type="dxa"/>
              <w:bottom w:w="0" w:type="dxa"/>
              <w:right w:w="108" w:type="dxa"/>
            </w:tcMar>
            <w:vAlign w:val="center"/>
          </w:tcPr>
          <w:p w14:paraId="66832DFE">
            <w:pPr>
              <w:pStyle w:val="31"/>
              <w:bidi w:val="0"/>
              <w:rPr>
                <w:rFonts w:hint="default"/>
                <w:color w:val="auto"/>
                <w:lang w:val="en-US" w:eastAsia="zh-CN"/>
              </w:rPr>
            </w:pPr>
            <w:r>
              <w:rPr>
                <w:rFonts w:hint="eastAsia"/>
                <w:color w:val="auto"/>
                <w:lang w:val="en-US" w:eastAsia="zh-CN"/>
              </w:rPr>
              <w:t>5号抛泥区北侧</w:t>
            </w:r>
          </w:p>
        </w:tc>
        <w:tc>
          <w:tcPr>
            <w:tcW w:w="974" w:type="dxa"/>
            <w:tcBorders>
              <w:tl2br w:val="nil"/>
              <w:tr2bl w:val="nil"/>
            </w:tcBorders>
            <w:noWrap w:val="0"/>
            <w:tcMar>
              <w:top w:w="0" w:type="dxa"/>
              <w:left w:w="108" w:type="dxa"/>
              <w:bottom w:w="0" w:type="dxa"/>
              <w:right w:w="108" w:type="dxa"/>
            </w:tcMar>
            <w:vAlign w:val="center"/>
          </w:tcPr>
          <w:p w14:paraId="134D4948">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3F08A66A">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628E1AE3">
            <w:pPr>
              <w:pStyle w:val="31"/>
              <w:bidi w:val="0"/>
              <w:rPr>
                <w:rFonts w:hint="default"/>
                <w:color w:val="auto"/>
              </w:rPr>
            </w:pPr>
            <w:r>
              <w:rPr>
                <w:rFonts w:hint="default"/>
                <w:color w:val="auto"/>
              </w:rPr>
              <w:t>117.40031004,30.60338139</w:t>
            </w:r>
          </w:p>
        </w:tc>
        <w:tc>
          <w:tcPr>
            <w:tcW w:w="730" w:type="dxa"/>
            <w:tcBorders>
              <w:tl2br w:val="nil"/>
              <w:tr2bl w:val="nil"/>
            </w:tcBorders>
            <w:noWrap w:val="0"/>
            <w:tcMar>
              <w:top w:w="0" w:type="dxa"/>
              <w:left w:w="108" w:type="dxa"/>
              <w:bottom w:w="0" w:type="dxa"/>
              <w:right w:w="108" w:type="dxa"/>
            </w:tcMar>
            <w:vAlign w:val="center"/>
          </w:tcPr>
          <w:p w14:paraId="7D1E0B83">
            <w:pPr>
              <w:pStyle w:val="31"/>
              <w:bidi w:val="0"/>
              <w:rPr>
                <w:rFonts w:hint="default"/>
                <w:color w:val="auto"/>
              </w:rPr>
            </w:pPr>
            <w:r>
              <w:rPr>
                <w:rFonts w:hint="eastAsia"/>
                <w:color w:val="auto"/>
                <w:lang w:val="en-US" w:eastAsia="zh-CN"/>
              </w:rPr>
              <w:t>陆生草本</w:t>
            </w:r>
          </w:p>
        </w:tc>
        <w:tc>
          <w:tcPr>
            <w:tcW w:w="710" w:type="dxa"/>
            <w:tcBorders>
              <w:tl2br w:val="nil"/>
              <w:tr2bl w:val="nil"/>
            </w:tcBorders>
            <w:noWrap w:val="0"/>
            <w:tcMar>
              <w:top w:w="0" w:type="dxa"/>
              <w:left w:w="108" w:type="dxa"/>
              <w:bottom w:w="0" w:type="dxa"/>
              <w:right w:w="108" w:type="dxa"/>
            </w:tcMar>
            <w:vAlign w:val="center"/>
          </w:tcPr>
          <w:p w14:paraId="06B63AF4">
            <w:pPr>
              <w:pStyle w:val="31"/>
              <w:bidi w:val="0"/>
              <w:rPr>
                <w:rFonts w:hint="default"/>
                <w:color w:val="auto"/>
                <w:lang w:val="en-US" w:eastAsia="zh-CN"/>
              </w:rPr>
            </w:pPr>
            <w:r>
              <w:rPr>
                <w:rFonts w:hint="default"/>
                <w:color w:val="auto"/>
                <w:lang w:val="en-US" w:eastAsia="zh-CN"/>
              </w:rPr>
              <w:t>青绿薹草群系</w:t>
            </w:r>
          </w:p>
        </w:tc>
        <w:tc>
          <w:tcPr>
            <w:tcW w:w="1220" w:type="dxa"/>
            <w:tcBorders>
              <w:tl2br w:val="nil"/>
              <w:tr2bl w:val="nil"/>
            </w:tcBorders>
            <w:noWrap w:val="0"/>
            <w:tcMar>
              <w:top w:w="0" w:type="dxa"/>
              <w:left w:w="108" w:type="dxa"/>
              <w:bottom w:w="0" w:type="dxa"/>
              <w:right w:w="108" w:type="dxa"/>
            </w:tcMar>
            <w:vAlign w:val="center"/>
          </w:tcPr>
          <w:p w14:paraId="17D44CC1">
            <w:pPr>
              <w:pStyle w:val="31"/>
              <w:bidi w:val="0"/>
              <w:rPr>
                <w:rFonts w:hint="default"/>
                <w:color w:val="auto"/>
                <w:lang w:val="en-US" w:eastAsia="zh-CN"/>
              </w:rPr>
            </w:pPr>
            <w:r>
              <w:rPr>
                <w:rFonts w:hint="default"/>
                <w:color w:val="auto"/>
                <w:lang w:val="en-US" w:eastAsia="zh-CN"/>
              </w:rPr>
              <w:t>地形：平原</w:t>
            </w:r>
          </w:p>
          <w:p w14:paraId="75F0297F">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15974BDC">
            <w:pPr>
              <w:pStyle w:val="31"/>
              <w:bidi w:val="0"/>
              <w:rPr>
                <w:rFonts w:hint="default"/>
                <w:color w:val="auto"/>
                <w:lang w:val="en-US" w:eastAsia="zh-CN"/>
              </w:rPr>
            </w:pPr>
            <w:r>
              <w:rPr>
                <w:rFonts w:hint="default"/>
                <w:color w:val="auto"/>
                <w:lang w:val="en-US" w:eastAsia="zh-CN"/>
              </w:rPr>
              <w:t>坡向：-</w:t>
            </w:r>
          </w:p>
          <w:p w14:paraId="16158B7F">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732F75B0">
            <w:pPr>
              <w:pStyle w:val="31"/>
              <w:bidi w:val="0"/>
              <w:rPr>
                <w:rFonts w:hint="default"/>
                <w:color w:val="auto"/>
                <w:lang w:eastAsia="zh-CN"/>
              </w:rPr>
            </w:pPr>
            <w:r>
              <w:rPr>
                <w:rFonts w:hint="default"/>
                <w:color w:val="auto"/>
                <w:lang w:eastAsia="zh-CN"/>
              </w:rPr>
              <w:t>植株高度30cm，呈单一优势物种，长势旺盛，占地面积大，地被效果好</w:t>
            </w:r>
          </w:p>
        </w:tc>
        <w:tc>
          <w:tcPr>
            <w:tcW w:w="628" w:type="dxa"/>
            <w:tcBorders>
              <w:tl2br w:val="nil"/>
              <w:tr2bl w:val="nil"/>
            </w:tcBorders>
            <w:noWrap w:val="0"/>
            <w:tcMar>
              <w:top w:w="0" w:type="dxa"/>
              <w:left w:w="108" w:type="dxa"/>
              <w:bottom w:w="0" w:type="dxa"/>
              <w:right w:w="108" w:type="dxa"/>
            </w:tcMar>
            <w:vAlign w:val="center"/>
          </w:tcPr>
          <w:p w14:paraId="4AC213B9">
            <w:pPr>
              <w:pStyle w:val="31"/>
              <w:bidi w:val="0"/>
              <w:rPr>
                <w:rFonts w:hint="default"/>
                <w:color w:val="auto"/>
                <w:lang w:val="en-US" w:eastAsia="zh-CN"/>
              </w:rPr>
            </w:pPr>
            <w:r>
              <w:rPr>
                <w:rFonts w:hint="eastAsia"/>
                <w:color w:val="auto"/>
                <w:lang w:val="en-US" w:eastAsia="zh-CN"/>
              </w:rPr>
              <w:t>100</w:t>
            </w:r>
          </w:p>
        </w:tc>
        <w:tc>
          <w:tcPr>
            <w:tcW w:w="3642" w:type="dxa"/>
            <w:tcBorders>
              <w:tl2br w:val="nil"/>
              <w:tr2bl w:val="nil"/>
            </w:tcBorders>
            <w:noWrap w:val="0"/>
            <w:tcMar>
              <w:top w:w="0" w:type="dxa"/>
              <w:left w:w="108" w:type="dxa"/>
              <w:bottom w:w="0" w:type="dxa"/>
              <w:right w:w="108" w:type="dxa"/>
            </w:tcMar>
            <w:vAlign w:val="center"/>
          </w:tcPr>
          <w:p w14:paraId="79D0A34E">
            <w:pPr>
              <w:pStyle w:val="31"/>
              <w:bidi w:val="0"/>
              <w:rPr>
                <w:rFonts w:hint="default"/>
                <w:color w:val="auto"/>
                <w:lang w:eastAsia="zh-CN"/>
              </w:rPr>
            </w:pPr>
            <w:r>
              <w:rPr>
                <w:color w:val="auto"/>
              </w:rPr>
              <w:drawing>
                <wp:inline distT="0" distB="0" distL="114300" distR="114300">
                  <wp:extent cx="2359025" cy="1766570"/>
                  <wp:effectExtent l="0" t="0" r="3175" b="5080"/>
                  <wp:docPr id="5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8"/>
                          <pic:cNvPicPr>
                            <a:picLocks noChangeAspect="1"/>
                          </pic:cNvPicPr>
                        </pic:nvPicPr>
                        <pic:blipFill>
                          <a:blip r:embed="rId64"/>
                          <a:stretch>
                            <a:fillRect/>
                          </a:stretch>
                        </pic:blipFill>
                        <pic:spPr>
                          <a:xfrm>
                            <a:off x="0" y="0"/>
                            <a:ext cx="2359025" cy="1766570"/>
                          </a:xfrm>
                          <a:prstGeom prst="rect">
                            <a:avLst/>
                          </a:prstGeom>
                          <a:noFill/>
                          <a:ln>
                            <a:noFill/>
                          </a:ln>
                        </pic:spPr>
                      </pic:pic>
                    </a:graphicData>
                  </a:graphic>
                </wp:inline>
              </w:drawing>
            </w:r>
          </w:p>
        </w:tc>
      </w:tr>
      <w:tr w14:paraId="2A931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70760551">
            <w:pPr>
              <w:pStyle w:val="31"/>
              <w:bidi w:val="0"/>
              <w:rPr>
                <w:rFonts w:hint="default" w:eastAsia="宋体"/>
                <w:color w:val="auto"/>
                <w:lang w:val="en-US" w:eastAsia="zh-CN"/>
              </w:rPr>
            </w:pPr>
            <w:r>
              <w:rPr>
                <w:rFonts w:hint="eastAsia"/>
                <w:color w:val="auto"/>
                <w:lang w:val="en-US" w:eastAsia="zh-CN"/>
              </w:rPr>
              <w:t>13</w:t>
            </w:r>
          </w:p>
        </w:tc>
        <w:tc>
          <w:tcPr>
            <w:tcW w:w="742" w:type="dxa"/>
            <w:tcBorders>
              <w:tl2br w:val="nil"/>
              <w:tr2bl w:val="nil"/>
            </w:tcBorders>
            <w:noWrap w:val="0"/>
            <w:tcMar>
              <w:top w:w="0" w:type="dxa"/>
              <w:left w:w="108" w:type="dxa"/>
              <w:bottom w:w="0" w:type="dxa"/>
              <w:right w:w="108" w:type="dxa"/>
            </w:tcMar>
            <w:vAlign w:val="center"/>
          </w:tcPr>
          <w:p w14:paraId="4063351A">
            <w:pPr>
              <w:pStyle w:val="31"/>
              <w:bidi w:val="0"/>
              <w:rPr>
                <w:rFonts w:hint="default"/>
                <w:color w:val="auto"/>
                <w:lang w:val="en-US" w:eastAsia="zh-CN"/>
              </w:rPr>
            </w:pPr>
            <w:r>
              <w:rPr>
                <w:rFonts w:hint="eastAsia"/>
                <w:color w:val="auto"/>
                <w:lang w:val="en-US" w:eastAsia="zh-CN"/>
              </w:rPr>
              <w:t>样方9</w:t>
            </w:r>
          </w:p>
        </w:tc>
        <w:tc>
          <w:tcPr>
            <w:tcW w:w="741" w:type="dxa"/>
            <w:tcBorders>
              <w:tl2br w:val="nil"/>
              <w:tr2bl w:val="nil"/>
            </w:tcBorders>
            <w:noWrap w:val="0"/>
            <w:tcMar>
              <w:top w:w="0" w:type="dxa"/>
              <w:left w:w="108" w:type="dxa"/>
              <w:bottom w:w="0" w:type="dxa"/>
              <w:right w:w="108" w:type="dxa"/>
            </w:tcMar>
            <w:vAlign w:val="center"/>
          </w:tcPr>
          <w:p w14:paraId="65A72D5B">
            <w:pPr>
              <w:pStyle w:val="31"/>
              <w:bidi w:val="0"/>
              <w:rPr>
                <w:rFonts w:hint="default"/>
                <w:color w:val="auto"/>
                <w:lang w:val="en-US" w:eastAsia="zh-CN"/>
              </w:rPr>
            </w:pPr>
            <w:r>
              <w:rPr>
                <w:rFonts w:hint="eastAsia"/>
                <w:color w:val="auto"/>
                <w:lang w:val="en-US" w:eastAsia="zh-CN"/>
              </w:rPr>
              <w:t>6号抛泥区西侧</w:t>
            </w:r>
          </w:p>
        </w:tc>
        <w:tc>
          <w:tcPr>
            <w:tcW w:w="974" w:type="dxa"/>
            <w:tcBorders>
              <w:tl2br w:val="nil"/>
              <w:tr2bl w:val="nil"/>
            </w:tcBorders>
            <w:noWrap w:val="0"/>
            <w:tcMar>
              <w:top w:w="0" w:type="dxa"/>
              <w:left w:w="108" w:type="dxa"/>
              <w:bottom w:w="0" w:type="dxa"/>
              <w:right w:w="108" w:type="dxa"/>
            </w:tcMar>
            <w:vAlign w:val="center"/>
          </w:tcPr>
          <w:p w14:paraId="02F561F3">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2C372FED">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28AF7794">
            <w:pPr>
              <w:pStyle w:val="31"/>
              <w:bidi w:val="0"/>
              <w:rPr>
                <w:rFonts w:hint="default"/>
                <w:color w:val="auto"/>
              </w:rPr>
            </w:pPr>
            <w:r>
              <w:rPr>
                <w:rFonts w:hint="default"/>
                <w:color w:val="auto"/>
              </w:rPr>
              <w:t>117.38496780,30.58819878</w:t>
            </w:r>
          </w:p>
        </w:tc>
        <w:tc>
          <w:tcPr>
            <w:tcW w:w="730" w:type="dxa"/>
            <w:tcBorders>
              <w:tl2br w:val="nil"/>
              <w:tr2bl w:val="nil"/>
            </w:tcBorders>
            <w:noWrap w:val="0"/>
            <w:tcMar>
              <w:top w:w="0" w:type="dxa"/>
              <w:left w:w="108" w:type="dxa"/>
              <w:bottom w:w="0" w:type="dxa"/>
              <w:right w:w="108" w:type="dxa"/>
            </w:tcMar>
            <w:vAlign w:val="center"/>
          </w:tcPr>
          <w:p w14:paraId="09099759">
            <w:pPr>
              <w:pStyle w:val="31"/>
              <w:bidi w:val="0"/>
              <w:rPr>
                <w:rFonts w:hint="default"/>
                <w:color w:val="auto"/>
              </w:rPr>
            </w:pPr>
            <w:r>
              <w:rPr>
                <w:rFonts w:hint="eastAsia"/>
                <w:color w:val="auto"/>
                <w:lang w:val="en-US" w:eastAsia="zh-CN"/>
              </w:rPr>
              <w:t>陆生草本</w:t>
            </w:r>
          </w:p>
        </w:tc>
        <w:tc>
          <w:tcPr>
            <w:tcW w:w="710" w:type="dxa"/>
            <w:tcBorders>
              <w:tl2br w:val="nil"/>
              <w:tr2bl w:val="nil"/>
            </w:tcBorders>
            <w:noWrap w:val="0"/>
            <w:tcMar>
              <w:top w:w="0" w:type="dxa"/>
              <w:left w:w="108" w:type="dxa"/>
              <w:bottom w:w="0" w:type="dxa"/>
              <w:right w:w="108" w:type="dxa"/>
            </w:tcMar>
            <w:vAlign w:val="center"/>
          </w:tcPr>
          <w:p w14:paraId="07164463">
            <w:pPr>
              <w:pStyle w:val="31"/>
              <w:bidi w:val="0"/>
              <w:rPr>
                <w:rFonts w:hint="default"/>
                <w:color w:val="auto"/>
                <w:lang w:val="en-US" w:eastAsia="zh-CN"/>
              </w:rPr>
            </w:pPr>
            <w:r>
              <w:rPr>
                <w:rFonts w:hint="default"/>
                <w:color w:val="auto"/>
                <w:lang w:val="en-US" w:eastAsia="zh-CN"/>
              </w:rPr>
              <w:t>野艾蒿群系</w:t>
            </w:r>
          </w:p>
        </w:tc>
        <w:tc>
          <w:tcPr>
            <w:tcW w:w="1220" w:type="dxa"/>
            <w:tcBorders>
              <w:tl2br w:val="nil"/>
              <w:tr2bl w:val="nil"/>
            </w:tcBorders>
            <w:noWrap w:val="0"/>
            <w:tcMar>
              <w:top w:w="0" w:type="dxa"/>
              <w:left w:w="108" w:type="dxa"/>
              <w:bottom w:w="0" w:type="dxa"/>
              <w:right w:w="108" w:type="dxa"/>
            </w:tcMar>
            <w:vAlign w:val="center"/>
          </w:tcPr>
          <w:p w14:paraId="6153519C">
            <w:pPr>
              <w:pStyle w:val="31"/>
              <w:bidi w:val="0"/>
              <w:rPr>
                <w:rFonts w:hint="default"/>
                <w:color w:val="auto"/>
                <w:lang w:val="en-US" w:eastAsia="zh-CN"/>
              </w:rPr>
            </w:pPr>
            <w:r>
              <w:rPr>
                <w:rFonts w:hint="default"/>
                <w:color w:val="auto"/>
                <w:lang w:val="en-US" w:eastAsia="zh-CN"/>
              </w:rPr>
              <w:t>地形：平原</w:t>
            </w:r>
          </w:p>
          <w:p w14:paraId="7A1B38AE">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12</w:t>
            </w:r>
            <w:r>
              <w:rPr>
                <w:rFonts w:hint="default"/>
                <w:color w:val="auto"/>
                <w:lang w:val="en-US" w:eastAsia="zh-CN"/>
              </w:rPr>
              <w:t>m</w:t>
            </w:r>
          </w:p>
          <w:p w14:paraId="35B6D3A3">
            <w:pPr>
              <w:pStyle w:val="31"/>
              <w:bidi w:val="0"/>
              <w:rPr>
                <w:rFonts w:hint="default"/>
                <w:color w:val="auto"/>
                <w:lang w:val="en-US" w:eastAsia="zh-CN"/>
              </w:rPr>
            </w:pPr>
            <w:r>
              <w:rPr>
                <w:rFonts w:hint="default"/>
                <w:color w:val="auto"/>
                <w:lang w:val="en-US" w:eastAsia="zh-CN"/>
              </w:rPr>
              <w:t>坡向：-</w:t>
            </w:r>
          </w:p>
          <w:p w14:paraId="02D901DD">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30FECACE">
            <w:pPr>
              <w:pStyle w:val="31"/>
              <w:bidi w:val="0"/>
              <w:rPr>
                <w:rFonts w:hint="default"/>
                <w:color w:val="auto"/>
                <w:lang w:eastAsia="zh-CN"/>
              </w:rPr>
            </w:pPr>
            <w:r>
              <w:rPr>
                <w:rFonts w:hint="default"/>
                <w:color w:val="auto"/>
                <w:lang w:eastAsia="zh-CN"/>
              </w:rPr>
              <w:t>平均株高40cm，伴生有狗牙根、苍耳等</w:t>
            </w:r>
          </w:p>
        </w:tc>
        <w:tc>
          <w:tcPr>
            <w:tcW w:w="628" w:type="dxa"/>
            <w:tcBorders>
              <w:tl2br w:val="nil"/>
              <w:tr2bl w:val="nil"/>
            </w:tcBorders>
            <w:noWrap w:val="0"/>
            <w:tcMar>
              <w:top w:w="0" w:type="dxa"/>
              <w:left w:w="108" w:type="dxa"/>
              <w:bottom w:w="0" w:type="dxa"/>
              <w:right w:w="108" w:type="dxa"/>
            </w:tcMar>
            <w:vAlign w:val="center"/>
          </w:tcPr>
          <w:p w14:paraId="2C7E47E5">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7A6B17F9">
            <w:pPr>
              <w:pStyle w:val="31"/>
              <w:bidi w:val="0"/>
              <w:rPr>
                <w:rFonts w:hint="default"/>
                <w:color w:val="auto"/>
                <w:lang w:eastAsia="zh-CN"/>
              </w:rPr>
            </w:pPr>
            <w:r>
              <w:rPr>
                <w:color w:val="auto"/>
              </w:rPr>
              <w:drawing>
                <wp:inline distT="0" distB="0" distL="114300" distR="114300">
                  <wp:extent cx="2359025" cy="1753235"/>
                  <wp:effectExtent l="0" t="0" r="3175" b="18415"/>
                  <wp:docPr id="6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9"/>
                          <pic:cNvPicPr>
                            <a:picLocks noChangeAspect="1"/>
                          </pic:cNvPicPr>
                        </pic:nvPicPr>
                        <pic:blipFill>
                          <a:blip r:embed="rId65"/>
                          <a:stretch>
                            <a:fillRect/>
                          </a:stretch>
                        </pic:blipFill>
                        <pic:spPr>
                          <a:xfrm>
                            <a:off x="0" y="0"/>
                            <a:ext cx="2359025" cy="1753235"/>
                          </a:xfrm>
                          <a:prstGeom prst="rect">
                            <a:avLst/>
                          </a:prstGeom>
                          <a:noFill/>
                          <a:ln>
                            <a:noFill/>
                          </a:ln>
                        </pic:spPr>
                      </pic:pic>
                    </a:graphicData>
                  </a:graphic>
                </wp:inline>
              </w:drawing>
            </w:r>
          </w:p>
        </w:tc>
      </w:tr>
      <w:tr w14:paraId="162B2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00479D72">
            <w:pPr>
              <w:pStyle w:val="31"/>
              <w:bidi w:val="0"/>
              <w:rPr>
                <w:rFonts w:hint="default" w:eastAsia="宋体"/>
                <w:color w:val="auto"/>
                <w:lang w:val="en-US" w:eastAsia="zh-CN"/>
              </w:rPr>
            </w:pPr>
            <w:r>
              <w:rPr>
                <w:rFonts w:hint="eastAsia"/>
                <w:color w:val="auto"/>
                <w:lang w:val="en-US" w:eastAsia="zh-CN"/>
              </w:rPr>
              <w:t>14</w:t>
            </w:r>
          </w:p>
        </w:tc>
        <w:tc>
          <w:tcPr>
            <w:tcW w:w="742" w:type="dxa"/>
            <w:tcBorders>
              <w:tl2br w:val="nil"/>
              <w:tr2bl w:val="nil"/>
            </w:tcBorders>
            <w:noWrap w:val="0"/>
            <w:tcMar>
              <w:top w:w="0" w:type="dxa"/>
              <w:left w:w="108" w:type="dxa"/>
              <w:bottom w:w="0" w:type="dxa"/>
              <w:right w:w="108" w:type="dxa"/>
            </w:tcMar>
            <w:vAlign w:val="center"/>
          </w:tcPr>
          <w:p w14:paraId="3E48CCF8">
            <w:pPr>
              <w:pStyle w:val="31"/>
              <w:bidi w:val="0"/>
              <w:rPr>
                <w:rFonts w:hint="default"/>
                <w:color w:val="auto"/>
                <w:lang w:val="en-US" w:eastAsia="zh-CN"/>
              </w:rPr>
            </w:pPr>
            <w:r>
              <w:rPr>
                <w:rFonts w:hint="eastAsia"/>
                <w:color w:val="auto"/>
                <w:lang w:val="en-US" w:eastAsia="zh-CN"/>
              </w:rPr>
              <w:t>样方12</w:t>
            </w:r>
          </w:p>
        </w:tc>
        <w:tc>
          <w:tcPr>
            <w:tcW w:w="741" w:type="dxa"/>
            <w:tcBorders>
              <w:tl2br w:val="nil"/>
              <w:tr2bl w:val="nil"/>
            </w:tcBorders>
            <w:noWrap w:val="0"/>
            <w:tcMar>
              <w:top w:w="0" w:type="dxa"/>
              <w:left w:w="108" w:type="dxa"/>
              <w:bottom w:w="0" w:type="dxa"/>
              <w:right w:w="108" w:type="dxa"/>
            </w:tcMar>
            <w:vAlign w:val="center"/>
          </w:tcPr>
          <w:p w14:paraId="1AED5699">
            <w:pPr>
              <w:pStyle w:val="31"/>
              <w:bidi w:val="0"/>
              <w:rPr>
                <w:rFonts w:hint="default"/>
                <w:color w:val="auto"/>
                <w:lang w:val="en-US" w:eastAsia="zh-CN"/>
              </w:rPr>
            </w:pPr>
            <w:r>
              <w:rPr>
                <w:rFonts w:hint="eastAsia"/>
                <w:color w:val="auto"/>
                <w:lang w:val="en-US" w:eastAsia="zh-CN"/>
              </w:rPr>
              <w:t>6号抛泥区东侧</w:t>
            </w:r>
          </w:p>
        </w:tc>
        <w:tc>
          <w:tcPr>
            <w:tcW w:w="974" w:type="dxa"/>
            <w:tcBorders>
              <w:tl2br w:val="nil"/>
              <w:tr2bl w:val="nil"/>
            </w:tcBorders>
            <w:noWrap w:val="0"/>
            <w:tcMar>
              <w:top w:w="0" w:type="dxa"/>
              <w:left w:w="108" w:type="dxa"/>
              <w:bottom w:w="0" w:type="dxa"/>
              <w:right w:w="108" w:type="dxa"/>
            </w:tcMar>
            <w:vAlign w:val="center"/>
          </w:tcPr>
          <w:p w14:paraId="6EF3876F">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407FFF98">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35D31795">
            <w:pPr>
              <w:pStyle w:val="31"/>
              <w:bidi w:val="0"/>
              <w:rPr>
                <w:rFonts w:hint="default"/>
                <w:color w:val="auto"/>
              </w:rPr>
            </w:pPr>
            <w:r>
              <w:rPr>
                <w:rFonts w:hint="default"/>
                <w:color w:val="auto"/>
              </w:rPr>
              <w:t>117.39093304,30.59106187</w:t>
            </w:r>
          </w:p>
        </w:tc>
        <w:tc>
          <w:tcPr>
            <w:tcW w:w="730" w:type="dxa"/>
            <w:tcBorders>
              <w:tl2br w:val="nil"/>
              <w:tr2bl w:val="nil"/>
            </w:tcBorders>
            <w:noWrap w:val="0"/>
            <w:tcMar>
              <w:top w:w="0" w:type="dxa"/>
              <w:left w:w="108" w:type="dxa"/>
              <w:bottom w:w="0" w:type="dxa"/>
              <w:right w:w="108" w:type="dxa"/>
            </w:tcMar>
            <w:vAlign w:val="center"/>
          </w:tcPr>
          <w:p w14:paraId="4DF41846">
            <w:pPr>
              <w:pStyle w:val="31"/>
              <w:bidi w:val="0"/>
              <w:rPr>
                <w:rFonts w:hint="default"/>
                <w:color w:val="auto"/>
              </w:rPr>
            </w:pPr>
            <w:r>
              <w:rPr>
                <w:rFonts w:hint="eastAsia"/>
                <w:color w:val="auto"/>
                <w:lang w:val="en-US" w:eastAsia="zh-CN"/>
              </w:rPr>
              <w:t>陆生草本</w:t>
            </w:r>
          </w:p>
        </w:tc>
        <w:tc>
          <w:tcPr>
            <w:tcW w:w="710" w:type="dxa"/>
            <w:tcBorders>
              <w:tl2br w:val="nil"/>
              <w:tr2bl w:val="nil"/>
            </w:tcBorders>
            <w:noWrap w:val="0"/>
            <w:tcMar>
              <w:top w:w="0" w:type="dxa"/>
              <w:left w:w="108" w:type="dxa"/>
              <w:bottom w:w="0" w:type="dxa"/>
              <w:right w:w="108" w:type="dxa"/>
            </w:tcMar>
            <w:vAlign w:val="center"/>
          </w:tcPr>
          <w:p w14:paraId="091FD942">
            <w:pPr>
              <w:pStyle w:val="31"/>
              <w:bidi w:val="0"/>
              <w:rPr>
                <w:rFonts w:hint="default"/>
                <w:color w:val="auto"/>
                <w:lang w:val="en-US" w:eastAsia="zh-CN"/>
              </w:rPr>
            </w:pPr>
            <w:r>
              <w:rPr>
                <w:rFonts w:hint="default"/>
                <w:color w:val="auto"/>
                <w:lang w:val="en-US" w:eastAsia="zh-CN"/>
              </w:rPr>
              <w:t>五节芒群系</w:t>
            </w:r>
          </w:p>
        </w:tc>
        <w:tc>
          <w:tcPr>
            <w:tcW w:w="1220" w:type="dxa"/>
            <w:tcBorders>
              <w:tl2br w:val="nil"/>
              <w:tr2bl w:val="nil"/>
            </w:tcBorders>
            <w:noWrap w:val="0"/>
            <w:tcMar>
              <w:top w:w="0" w:type="dxa"/>
              <w:left w:w="108" w:type="dxa"/>
              <w:bottom w:w="0" w:type="dxa"/>
              <w:right w:w="108" w:type="dxa"/>
            </w:tcMar>
            <w:vAlign w:val="center"/>
          </w:tcPr>
          <w:p w14:paraId="639843B1">
            <w:pPr>
              <w:pStyle w:val="31"/>
              <w:bidi w:val="0"/>
              <w:rPr>
                <w:rFonts w:hint="default"/>
                <w:color w:val="auto"/>
                <w:lang w:val="en-US" w:eastAsia="zh-CN"/>
              </w:rPr>
            </w:pPr>
            <w:r>
              <w:rPr>
                <w:rFonts w:hint="default"/>
                <w:color w:val="auto"/>
                <w:lang w:val="en-US" w:eastAsia="zh-CN"/>
              </w:rPr>
              <w:t>地形：平原</w:t>
            </w:r>
          </w:p>
          <w:p w14:paraId="37CEBAB6">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12</w:t>
            </w:r>
            <w:r>
              <w:rPr>
                <w:rFonts w:hint="default"/>
                <w:color w:val="auto"/>
                <w:lang w:val="en-US" w:eastAsia="zh-CN"/>
              </w:rPr>
              <w:t>m</w:t>
            </w:r>
          </w:p>
          <w:p w14:paraId="158E1F00">
            <w:pPr>
              <w:pStyle w:val="31"/>
              <w:bidi w:val="0"/>
              <w:rPr>
                <w:rFonts w:hint="default"/>
                <w:color w:val="auto"/>
                <w:lang w:val="en-US" w:eastAsia="zh-CN"/>
              </w:rPr>
            </w:pPr>
            <w:r>
              <w:rPr>
                <w:rFonts w:hint="default"/>
                <w:color w:val="auto"/>
                <w:lang w:val="en-US" w:eastAsia="zh-CN"/>
              </w:rPr>
              <w:t>坡向：-</w:t>
            </w:r>
          </w:p>
          <w:p w14:paraId="6AD95000">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0C3C9E88">
            <w:pPr>
              <w:pStyle w:val="31"/>
              <w:bidi w:val="0"/>
              <w:rPr>
                <w:rFonts w:hint="default"/>
                <w:color w:val="auto"/>
                <w:lang w:eastAsia="zh-CN"/>
              </w:rPr>
            </w:pPr>
            <w:r>
              <w:rPr>
                <w:rFonts w:hint="default"/>
                <w:color w:val="auto"/>
                <w:lang w:eastAsia="zh-CN"/>
              </w:rPr>
              <w:t>株高2.5m。伴生低矮植物常有狗牙根、野艾蒿、小蓬草（Erigeroncanadensis）等，偶见加拿大一枝黄花（图4-19）。</w:t>
            </w:r>
          </w:p>
        </w:tc>
        <w:tc>
          <w:tcPr>
            <w:tcW w:w="628" w:type="dxa"/>
            <w:tcBorders>
              <w:tl2br w:val="nil"/>
              <w:tr2bl w:val="nil"/>
            </w:tcBorders>
            <w:noWrap w:val="0"/>
            <w:tcMar>
              <w:top w:w="0" w:type="dxa"/>
              <w:left w:w="108" w:type="dxa"/>
              <w:bottom w:w="0" w:type="dxa"/>
              <w:right w:w="108" w:type="dxa"/>
            </w:tcMar>
            <w:vAlign w:val="center"/>
          </w:tcPr>
          <w:p w14:paraId="593F9756">
            <w:pPr>
              <w:pStyle w:val="31"/>
              <w:bidi w:val="0"/>
              <w:rPr>
                <w:rFonts w:hint="default"/>
                <w:color w:val="auto"/>
                <w:lang w:val="en-US" w:eastAsia="zh-CN"/>
              </w:rPr>
            </w:pPr>
            <w:r>
              <w:rPr>
                <w:rFonts w:hint="eastAsia"/>
                <w:color w:val="auto"/>
                <w:lang w:val="en-US" w:eastAsia="zh-CN"/>
              </w:rPr>
              <w:t>85</w:t>
            </w:r>
          </w:p>
        </w:tc>
        <w:tc>
          <w:tcPr>
            <w:tcW w:w="3642" w:type="dxa"/>
            <w:tcBorders>
              <w:tl2br w:val="nil"/>
              <w:tr2bl w:val="nil"/>
            </w:tcBorders>
            <w:noWrap w:val="0"/>
            <w:tcMar>
              <w:top w:w="0" w:type="dxa"/>
              <w:left w:w="108" w:type="dxa"/>
              <w:bottom w:w="0" w:type="dxa"/>
              <w:right w:w="108" w:type="dxa"/>
            </w:tcMar>
            <w:vAlign w:val="center"/>
          </w:tcPr>
          <w:p w14:paraId="000CDCCF">
            <w:pPr>
              <w:pStyle w:val="31"/>
              <w:bidi w:val="0"/>
              <w:rPr>
                <w:rFonts w:hint="default"/>
                <w:color w:val="auto"/>
                <w:lang w:eastAsia="zh-CN"/>
              </w:rPr>
            </w:pPr>
            <w:r>
              <w:rPr>
                <w:color w:val="auto"/>
              </w:rPr>
              <w:drawing>
                <wp:inline distT="0" distB="0" distL="114300" distR="114300">
                  <wp:extent cx="2362200" cy="1762125"/>
                  <wp:effectExtent l="0" t="0" r="0" b="9525"/>
                  <wp:docPr id="6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0"/>
                          <pic:cNvPicPr>
                            <a:picLocks noChangeAspect="1"/>
                          </pic:cNvPicPr>
                        </pic:nvPicPr>
                        <pic:blipFill>
                          <a:blip r:embed="rId66"/>
                          <a:stretch>
                            <a:fillRect/>
                          </a:stretch>
                        </pic:blipFill>
                        <pic:spPr>
                          <a:xfrm>
                            <a:off x="0" y="0"/>
                            <a:ext cx="2362200" cy="1762125"/>
                          </a:xfrm>
                          <a:prstGeom prst="rect">
                            <a:avLst/>
                          </a:prstGeom>
                          <a:noFill/>
                          <a:ln>
                            <a:noFill/>
                          </a:ln>
                        </pic:spPr>
                      </pic:pic>
                    </a:graphicData>
                  </a:graphic>
                </wp:inline>
              </w:drawing>
            </w:r>
          </w:p>
        </w:tc>
      </w:tr>
      <w:tr w14:paraId="5BA7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436909BC">
            <w:pPr>
              <w:pStyle w:val="31"/>
              <w:bidi w:val="0"/>
              <w:rPr>
                <w:rFonts w:hint="default" w:eastAsia="宋体"/>
                <w:color w:val="auto"/>
                <w:lang w:val="en-US" w:eastAsia="zh-CN"/>
              </w:rPr>
            </w:pPr>
            <w:r>
              <w:rPr>
                <w:rFonts w:hint="eastAsia"/>
                <w:color w:val="auto"/>
                <w:lang w:val="en-US" w:eastAsia="zh-CN"/>
              </w:rPr>
              <w:t>15</w:t>
            </w:r>
          </w:p>
        </w:tc>
        <w:tc>
          <w:tcPr>
            <w:tcW w:w="742" w:type="dxa"/>
            <w:tcBorders>
              <w:tl2br w:val="nil"/>
              <w:tr2bl w:val="nil"/>
            </w:tcBorders>
            <w:noWrap w:val="0"/>
            <w:tcMar>
              <w:top w:w="0" w:type="dxa"/>
              <w:left w:w="108" w:type="dxa"/>
              <w:bottom w:w="0" w:type="dxa"/>
              <w:right w:w="108" w:type="dxa"/>
            </w:tcMar>
            <w:vAlign w:val="center"/>
          </w:tcPr>
          <w:p w14:paraId="48E8446B">
            <w:pPr>
              <w:pStyle w:val="31"/>
              <w:bidi w:val="0"/>
              <w:rPr>
                <w:rFonts w:hint="default"/>
                <w:color w:val="auto"/>
                <w:lang w:val="en-US" w:eastAsia="zh-CN"/>
              </w:rPr>
            </w:pPr>
            <w:r>
              <w:rPr>
                <w:rFonts w:hint="eastAsia"/>
                <w:color w:val="auto"/>
                <w:lang w:val="en-US" w:eastAsia="zh-CN"/>
              </w:rPr>
              <w:t>样方5</w:t>
            </w:r>
          </w:p>
        </w:tc>
        <w:tc>
          <w:tcPr>
            <w:tcW w:w="741" w:type="dxa"/>
            <w:tcBorders>
              <w:tl2br w:val="nil"/>
              <w:tr2bl w:val="nil"/>
            </w:tcBorders>
            <w:noWrap w:val="0"/>
            <w:tcMar>
              <w:top w:w="0" w:type="dxa"/>
              <w:left w:w="108" w:type="dxa"/>
              <w:bottom w:w="0" w:type="dxa"/>
              <w:right w:w="108" w:type="dxa"/>
            </w:tcMar>
            <w:vAlign w:val="center"/>
          </w:tcPr>
          <w:p w14:paraId="1D813618">
            <w:pPr>
              <w:pStyle w:val="31"/>
              <w:bidi w:val="0"/>
              <w:rPr>
                <w:rFonts w:hint="default"/>
                <w:color w:val="auto"/>
                <w:lang w:val="en-US" w:eastAsia="zh-CN"/>
              </w:rPr>
            </w:pPr>
            <w:r>
              <w:rPr>
                <w:rFonts w:hint="eastAsia"/>
                <w:color w:val="auto"/>
                <w:lang w:val="en-US" w:eastAsia="zh-CN"/>
              </w:rPr>
              <w:t>5号抛泥区西侧</w:t>
            </w:r>
          </w:p>
        </w:tc>
        <w:tc>
          <w:tcPr>
            <w:tcW w:w="974" w:type="dxa"/>
            <w:tcBorders>
              <w:tl2br w:val="nil"/>
              <w:tr2bl w:val="nil"/>
            </w:tcBorders>
            <w:noWrap w:val="0"/>
            <w:tcMar>
              <w:top w:w="0" w:type="dxa"/>
              <w:left w:w="108" w:type="dxa"/>
              <w:bottom w:w="0" w:type="dxa"/>
              <w:right w:w="108" w:type="dxa"/>
            </w:tcMar>
            <w:vAlign w:val="center"/>
          </w:tcPr>
          <w:p w14:paraId="0E604A65">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6F3E2EB2">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73D50EA0">
            <w:pPr>
              <w:pStyle w:val="31"/>
              <w:bidi w:val="0"/>
              <w:rPr>
                <w:rFonts w:hint="default"/>
                <w:color w:val="auto"/>
              </w:rPr>
            </w:pPr>
            <w:r>
              <w:rPr>
                <w:rFonts w:hint="default"/>
                <w:color w:val="auto"/>
              </w:rPr>
              <w:t>117.39511728,30.59753581</w:t>
            </w:r>
          </w:p>
        </w:tc>
        <w:tc>
          <w:tcPr>
            <w:tcW w:w="730" w:type="dxa"/>
            <w:tcBorders>
              <w:tl2br w:val="nil"/>
              <w:tr2bl w:val="nil"/>
            </w:tcBorders>
            <w:noWrap w:val="0"/>
            <w:tcMar>
              <w:top w:w="0" w:type="dxa"/>
              <w:left w:w="108" w:type="dxa"/>
              <w:bottom w:w="0" w:type="dxa"/>
              <w:right w:w="108" w:type="dxa"/>
            </w:tcMar>
            <w:vAlign w:val="center"/>
          </w:tcPr>
          <w:p w14:paraId="258970AE">
            <w:pPr>
              <w:pStyle w:val="31"/>
              <w:bidi w:val="0"/>
              <w:rPr>
                <w:rFonts w:hint="default"/>
                <w:color w:val="auto"/>
              </w:rPr>
            </w:pPr>
            <w:r>
              <w:rPr>
                <w:rFonts w:hint="eastAsia"/>
                <w:color w:val="auto"/>
                <w:lang w:val="en-US" w:eastAsia="zh-CN"/>
              </w:rPr>
              <w:t>水生草本</w:t>
            </w:r>
          </w:p>
        </w:tc>
        <w:tc>
          <w:tcPr>
            <w:tcW w:w="710" w:type="dxa"/>
            <w:tcBorders>
              <w:tl2br w:val="nil"/>
              <w:tr2bl w:val="nil"/>
            </w:tcBorders>
            <w:noWrap w:val="0"/>
            <w:tcMar>
              <w:top w:w="0" w:type="dxa"/>
              <w:left w:w="108" w:type="dxa"/>
              <w:bottom w:w="0" w:type="dxa"/>
              <w:right w:w="108" w:type="dxa"/>
            </w:tcMar>
            <w:vAlign w:val="center"/>
          </w:tcPr>
          <w:p w14:paraId="4529EFC4">
            <w:pPr>
              <w:pStyle w:val="31"/>
              <w:bidi w:val="0"/>
              <w:rPr>
                <w:rFonts w:hint="default"/>
                <w:color w:val="auto"/>
                <w:lang w:val="en-US" w:eastAsia="zh-CN"/>
              </w:rPr>
            </w:pPr>
            <w:r>
              <w:rPr>
                <w:rFonts w:hint="default"/>
                <w:color w:val="auto"/>
                <w:lang w:val="en-US" w:eastAsia="zh-CN"/>
              </w:rPr>
              <w:t>水蓼群系</w:t>
            </w:r>
          </w:p>
        </w:tc>
        <w:tc>
          <w:tcPr>
            <w:tcW w:w="1220" w:type="dxa"/>
            <w:tcBorders>
              <w:tl2br w:val="nil"/>
              <w:tr2bl w:val="nil"/>
            </w:tcBorders>
            <w:noWrap w:val="0"/>
            <w:tcMar>
              <w:top w:w="0" w:type="dxa"/>
              <w:left w:w="108" w:type="dxa"/>
              <w:bottom w:w="0" w:type="dxa"/>
              <w:right w:w="108" w:type="dxa"/>
            </w:tcMar>
            <w:vAlign w:val="center"/>
          </w:tcPr>
          <w:p w14:paraId="6B79FA8D">
            <w:pPr>
              <w:pStyle w:val="31"/>
              <w:bidi w:val="0"/>
              <w:rPr>
                <w:rFonts w:hint="default"/>
                <w:color w:val="auto"/>
                <w:lang w:val="en-US" w:eastAsia="zh-CN"/>
              </w:rPr>
            </w:pPr>
            <w:r>
              <w:rPr>
                <w:rFonts w:hint="default"/>
                <w:color w:val="auto"/>
                <w:lang w:val="en-US" w:eastAsia="zh-CN"/>
              </w:rPr>
              <w:t>地形：平原</w:t>
            </w:r>
          </w:p>
          <w:p w14:paraId="25DDD157">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372EDC7D">
            <w:pPr>
              <w:pStyle w:val="31"/>
              <w:bidi w:val="0"/>
              <w:rPr>
                <w:rFonts w:hint="default"/>
                <w:color w:val="auto"/>
                <w:lang w:val="en-US" w:eastAsia="zh-CN"/>
              </w:rPr>
            </w:pPr>
            <w:r>
              <w:rPr>
                <w:rFonts w:hint="default"/>
                <w:color w:val="auto"/>
                <w:lang w:val="en-US" w:eastAsia="zh-CN"/>
              </w:rPr>
              <w:t>坡向：-</w:t>
            </w:r>
          </w:p>
          <w:p w14:paraId="07FDA9CE">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6EAECDE4">
            <w:pPr>
              <w:pStyle w:val="31"/>
              <w:bidi w:val="0"/>
              <w:rPr>
                <w:rFonts w:hint="default"/>
                <w:color w:val="auto"/>
                <w:lang w:eastAsia="zh-CN"/>
              </w:rPr>
            </w:pPr>
            <w:r>
              <w:rPr>
                <w:rFonts w:hint="default"/>
                <w:color w:val="auto"/>
                <w:lang w:eastAsia="zh-CN"/>
              </w:rPr>
              <w:t>株高30cm，伴生植物有青绿薹草、夏至草等</w:t>
            </w:r>
          </w:p>
        </w:tc>
        <w:tc>
          <w:tcPr>
            <w:tcW w:w="628" w:type="dxa"/>
            <w:tcBorders>
              <w:tl2br w:val="nil"/>
              <w:tr2bl w:val="nil"/>
            </w:tcBorders>
            <w:noWrap w:val="0"/>
            <w:tcMar>
              <w:top w:w="0" w:type="dxa"/>
              <w:left w:w="108" w:type="dxa"/>
              <w:bottom w:w="0" w:type="dxa"/>
              <w:right w:w="108" w:type="dxa"/>
            </w:tcMar>
            <w:vAlign w:val="center"/>
          </w:tcPr>
          <w:p w14:paraId="55EE3B0A">
            <w:pPr>
              <w:pStyle w:val="31"/>
              <w:bidi w:val="0"/>
              <w:rPr>
                <w:rFonts w:hint="default"/>
                <w:color w:val="auto"/>
                <w:lang w:val="en-US" w:eastAsia="zh-CN"/>
              </w:rPr>
            </w:pPr>
            <w:r>
              <w:rPr>
                <w:rFonts w:hint="eastAsia"/>
                <w:color w:val="auto"/>
                <w:lang w:val="en-US" w:eastAsia="zh-CN"/>
              </w:rPr>
              <w:t>75</w:t>
            </w:r>
          </w:p>
        </w:tc>
        <w:tc>
          <w:tcPr>
            <w:tcW w:w="3642" w:type="dxa"/>
            <w:tcBorders>
              <w:tl2br w:val="nil"/>
              <w:tr2bl w:val="nil"/>
            </w:tcBorders>
            <w:noWrap w:val="0"/>
            <w:tcMar>
              <w:top w:w="0" w:type="dxa"/>
              <w:left w:w="108" w:type="dxa"/>
              <w:bottom w:w="0" w:type="dxa"/>
              <w:right w:w="108" w:type="dxa"/>
            </w:tcMar>
            <w:vAlign w:val="center"/>
          </w:tcPr>
          <w:p w14:paraId="08506943">
            <w:pPr>
              <w:pStyle w:val="31"/>
              <w:bidi w:val="0"/>
              <w:rPr>
                <w:rFonts w:hint="default"/>
                <w:color w:val="auto"/>
                <w:lang w:eastAsia="zh-CN"/>
              </w:rPr>
            </w:pPr>
            <w:r>
              <w:rPr>
                <w:color w:val="auto"/>
              </w:rPr>
              <w:drawing>
                <wp:inline distT="0" distB="0" distL="114300" distR="114300">
                  <wp:extent cx="2361565" cy="1779270"/>
                  <wp:effectExtent l="0" t="0" r="635" b="11430"/>
                  <wp:docPr id="6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1"/>
                          <pic:cNvPicPr>
                            <a:picLocks noChangeAspect="1"/>
                          </pic:cNvPicPr>
                        </pic:nvPicPr>
                        <pic:blipFill>
                          <a:blip r:embed="rId67"/>
                          <a:stretch>
                            <a:fillRect/>
                          </a:stretch>
                        </pic:blipFill>
                        <pic:spPr>
                          <a:xfrm>
                            <a:off x="0" y="0"/>
                            <a:ext cx="2361565" cy="1779270"/>
                          </a:xfrm>
                          <a:prstGeom prst="rect">
                            <a:avLst/>
                          </a:prstGeom>
                          <a:noFill/>
                          <a:ln>
                            <a:noFill/>
                          </a:ln>
                        </pic:spPr>
                      </pic:pic>
                    </a:graphicData>
                  </a:graphic>
                </wp:inline>
              </w:drawing>
            </w:r>
          </w:p>
        </w:tc>
      </w:tr>
      <w:tr w14:paraId="0FAA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7E410926">
            <w:pPr>
              <w:pStyle w:val="31"/>
              <w:bidi w:val="0"/>
              <w:rPr>
                <w:rFonts w:hint="default" w:eastAsia="宋体"/>
                <w:color w:val="auto"/>
                <w:lang w:val="en-US" w:eastAsia="zh-CN"/>
              </w:rPr>
            </w:pPr>
            <w:r>
              <w:rPr>
                <w:rFonts w:hint="eastAsia"/>
                <w:color w:val="auto"/>
                <w:lang w:val="en-US" w:eastAsia="zh-CN"/>
              </w:rPr>
              <w:t>16</w:t>
            </w:r>
          </w:p>
        </w:tc>
        <w:tc>
          <w:tcPr>
            <w:tcW w:w="742" w:type="dxa"/>
            <w:tcBorders>
              <w:tl2br w:val="nil"/>
              <w:tr2bl w:val="nil"/>
            </w:tcBorders>
            <w:noWrap w:val="0"/>
            <w:tcMar>
              <w:top w:w="0" w:type="dxa"/>
              <w:left w:w="108" w:type="dxa"/>
              <w:bottom w:w="0" w:type="dxa"/>
              <w:right w:w="108" w:type="dxa"/>
            </w:tcMar>
            <w:vAlign w:val="center"/>
          </w:tcPr>
          <w:p w14:paraId="4BCAF0C9">
            <w:pPr>
              <w:pStyle w:val="31"/>
              <w:bidi w:val="0"/>
              <w:rPr>
                <w:rFonts w:hint="default"/>
                <w:color w:val="auto"/>
                <w:lang w:val="en-US" w:eastAsia="zh-CN"/>
              </w:rPr>
            </w:pPr>
            <w:r>
              <w:rPr>
                <w:rFonts w:hint="eastAsia"/>
                <w:color w:val="auto"/>
                <w:lang w:val="en-US" w:eastAsia="zh-CN"/>
              </w:rPr>
              <w:t>样方6</w:t>
            </w:r>
          </w:p>
        </w:tc>
        <w:tc>
          <w:tcPr>
            <w:tcW w:w="741" w:type="dxa"/>
            <w:tcBorders>
              <w:tl2br w:val="nil"/>
              <w:tr2bl w:val="nil"/>
            </w:tcBorders>
            <w:noWrap w:val="0"/>
            <w:tcMar>
              <w:top w:w="0" w:type="dxa"/>
              <w:left w:w="108" w:type="dxa"/>
              <w:bottom w:w="0" w:type="dxa"/>
              <w:right w:w="108" w:type="dxa"/>
            </w:tcMar>
            <w:vAlign w:val="center"/>
          </w:tcPr>
          <w:p w14:paraId="05F7D740">
            <w:pPr>
              <w:pStyle w:val="31"/>
              <w:bidi w:val="0"/>
              <w:rPr>
                <w:rFonts w:hint="default"/>
                <w:color w:val="auto"/>
                <w:lang w:val="en-US" w:eastAsia="zh-CN"/>
              </w:rPr>
            </w:pPr>
            <w:r>
              <w:rPr>
                <w:rFonts w:hint="eastAsia"/>
                <w:color w:val="auto"/>
                <w:lang w:val="en-US" w:eastAsia="zh-CN"/>
              </w:rPr>
              <w:t>5号抛泥区西侧</w:t>
            </w:r>
          </w:p>
        </w:tc>
        <w:tc>
          <w:tcPr>
            <w:tcW w:w="974" w:type="dxa"/>
            <w:tcBorders>
              <w:tl2br w:val="nil"/>
              <w:tr2bl w:val="nil"/>
            </w:tcBorders>
            <w:noWrap w:val="0"/>
            <w:tcMar>
              <w:top w:w="0" w:type="dxa"/>
              <w:left w:w="108" w:type="dxa"/>
              <w:bottom w:w="0" w:type="dxa"/>
              <w:right w:w="108" w:type="dxa"/>
            </w:tcMar>
            <w:vAlign w:val="center"/>
          </w:tcPr>
          <w:p w14:paraId="65FA5CDA">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3C696A3A">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5C8106C4">
            <w:pPr>
              <w:pStyle w:val="31"/>
              <w:bidi w:val="0"/>
              <w:rPr>
                <w:rFonts w:hint="default"/>
                <w:color w:val="auto"/>
              </w:rPr>
            </w:pPr>
            <w:r>
              <w:rPr>
                <w:rFonts w:hint="default"/>
                <w:color w:val="auto"/>
              </w:rPr>
              <w:t>117.39704847,30.59799756</w:t>
            </w:r>
          </w:p>
        </w:tc>
        <w:tc>
          <w:tcPr>
            <w:tcW w:w="730" w:type="dxa"/>
            <w:tcBorders>
              <w:tl2br w:val="nil"/>
              <w:tr2bl w:val="nil"/>
            </w:tcBorders>
            <w:noWrap w:val="0"/>
            <w:tcMar>
              <w:top w:w="0" w:type="dxa"/>
              <w:left w:w="108" w:type="dxa"/>
              <w:bottom w:w="0" w:type="dxa"/>
              <w:right w:w="108" w:type="dxa"/>
            </w:tcMar>
            <w:vAlign w:val="center"/>
          </w:tcPr>
          <w:p w14:paraId="510F613D">
            <w:pPr>
              <w:pStyle w:val="31"/>
              <w:bidi w:val="0"/>
              <w:rPr>
                <w:rFonts w:hint="default"/>
                <w:color w:val="auto"/>
              </w:rPr>
            </w:pPr>
            <w:r>
              <w:rPr>
                <w:rFonts w:hint="eastAsia"/>
                <w:color w:val="auto"/>
                <w:lang w:val="en-US" w:eastAsia="zh-CN"/>
              </w:rPr>
              <w:t>水生草本</w:t>
            </w:r>
          </w:p>
        </w:tc>
        <w:tc>
          <w:tcPr>
            <w:tcW w:w="710" w:type="dxa"/>
            <w:tcBorders>
              <w:tl2br w:val="nil"/>
              <w:tr2bl w:val="nil"/>
            </w:tcBorders>
            <w:noWrap w:val="0"/>
            <w:tcMar>
              <w:top w:w="0" w:type="dxa"/>
              <w:left w:w="108" w:type="dxa"/>
              <w:bottom w:w="0" w:type="dxa"/>
              <w:right w:w="108" w:type="dxa"/>
            </w:tcMar>
            <w:vAlign w:val="center"/>
          </w:tcPr>
          <w:p w14:paraId="68BBC7FC">
            <w:pPr>
              <w:pStyle w:val="31"/>
              <w:bidi w:val="0"/>
              <w:rPr>
                <w:rFonts w:hint="default"/>
                <w:color w:val="auto"/>
                <w:lang w:val="en-US" w:eastAsia="zh-CN"/>
              </w:rPr>
            </w:pPr>
            <w:r>
              <w:rPr>
                <w:rFonts w:hint="default"/>
                <w:color w:val="auto"/>
                <w:lang w:val="en-US" w:eastAsia="zh-CN"/>
              </w:rPr>
              <w:t>酸模叶蓼群系</w:t>
            </w:r>
          </w:p>
        </w:tc>
        <w:tc>
          <w:tcPr>
            <w:tcW w:w="1220" w:type="dxa"/>
            <w:tcBorders>
              <w:tl2br w:val="nil"/>
              <w:tr2bl w:val="nil"/>
            </w:tcBorders>
            <w:noWrap w:val="0"/>
            <w:tcMar>
              <w:top w:w="0" w:type="dxa"/>
              <w:left w:w="108" w:type="dxa"/>
              <w:bottom w:w="0" w:type="dxa"/>
              <w:right w:w="108" w:type="dxa"/>
            </w:tcMar>
            <w:vAlign w:val="center"/>
          </w:tcPr>
          <w:p w14:paraId="23C8D931">
            <w:pPr>
              <w:pStyle w:val="31"/>
              <w:bidi w:val="0"/>
              <w:rPr>
                <w:rFonts w:hint="default"/>
                <w:color w:val="auto"/>
                <w:lang w:val="en-US" w:eastAsia="zh-CN"/>
              </w:rPr>
            </w:pPr>
            <w:r>
              <w:rPr>
                <w:rFonts w:hint="default"/>
                <w:color w:val="auto"/>
                <w:lang w:val="en-US" w:eastAsia="zh-CN"/>
              </w:rPr>
              <w:t>地形：平原</w:t>
            </w:r>
          </w:p>
          <w:p w14:paraId="2B945AD4">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3B0C502E">
            <w:pPr>
              <w:pStyle w:val="31"/>
              <w:bidi w:val="0"/>
              <w:rPr>
                <w:rFonts w:hint="default"/>
                <w:color w:val="auto"/>
                <w:lang w:val="en-US" w:eastAsia="zh-CN"/>
              </w:rPr>
            </w:pPr>
            <w:r>
              <w:rPr>
                <w:rFonts w:hint="default"/>
                <w:color w:val="auto"/>
                <w:lang w:val="en-US" w:eastAsia="zh-CN"/>
              </w:rPr>
              <w:t>坡向：-</w:t>
            </w:r>
          </w:p>
          <w:p w14:paraId="4893C417">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1E1DBD60">
            <w:pPr>
              <w:pStyle w:val="31"/>
              <w:bidi w:val="0"/>
              <w:rPr>
                <w:rFonts w:hint="default"/>
                <w:color w:val="auto"/>
                <w:lang w:eastAsia="zh-CN"/>
              </w:rPr>
            </w:pPr>
            <w:r>
              <w:rPr>
                <w:rFonts w:hint="default"/>
                <w:color w:val="auto"/>
                <w:lang w:eastAsia="zh-CN"/>
              </w:rPr>
              <w:t>生长健壮，冬季株高9cm。伴生植物有蓼子草、峨参、夏至草等</w:t>
            </w:r>
          </w:p>
        </w:tc>
        <w:tc>
          <w:tcPr>
            <w:tcW w:w="628" w:type="dxa"/>
            <w:tcBorders>
              <w:tl2br w:val="nil"/>
              <w:tr2bl w:val="nil"/>
            </w:tcBorders>
            <w:noWrap w:val="0"/>
            <w:tcMar>
              <w:top w:w="0" w:type="dxa"/>
              <w:left w:w="108" w:type="dxa"/>
              <w:bottom w:w="0" w:type="dxa"/>
              <w:right w:w="108" w:type="dxa"/>
            </w:tcMar>
            <w:vAlign w:val="center"/>
          </w:tcPr>
          <w:p w14:paraId="244AEF26">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4964E238">
            <w:pPr>
              <w:pStyle w:val="31"/>
              <w:bidi w:val="0"/>
              <w:rPr>
                <w:rFonts w:hint="default"/>
                <w:color w:val="auto"/>
                <w:lang w:eastAsia="zh-CN"/>
              </w:rPr>
            </w:pPr>
            <w:r>
              <w:rPr>
                <w:color w:val="auto"/>
              </w:rPr>
              <w:drawing>
                <wp:inline distT="0" distB="0" distL="114300" distR="114300">
                  <wp:extent cx="2359025" cy="1781810"/>
                  <wp:effectExtent l="0" t="0" r="3175" b="8890"/>
                  <wp:docPr id="6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2"/>
                          <pic:cNvPicPr>
                            <a:picLocks noChangeAspect="1"/>
                          </pic:cNvPicPr>
                        </pic:nvPicPr>
                        <pic:blipFill>
                          <a:blip r:embed="rId68"/>
                          <a:stretch>
                            <a:fillRect/>
                          </a:stretch>
                        </pic:blipFill>
                        <pic:spPr>
                          <a:xfrm>
                            <a:off x="0" y="0"/>
                            <a:ext cx="2359025" cy="1781810"/>
                          </a:xfrm>
                          <a:prstGeom prst="rect">
                            <a:avLst/>
                          </a:prstGeom>
                          <a:noFill/>
                          <a:ln>
                            <a:noFill/>
                          </a:ln>
                        </pic:spPr>
                      </pic:pic>
                    </a:graphicData>
                  </a:graphic>
                </wp:inline>
              </w:drawing>
            </w:r>
          </w:p>
        </w:tc>
      </w:tr>
      <w:tr w14:paraId="42B4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3E80673C">
            <w:pPr>
              <w:pStyle w:val="31"/>
              <w:bidi w:val="0"/>
              <w:rPr>
                <w:rFonts w:hint="default" w:eastAsia="宋体"/>
                <w:color w:val="auto"/>
                <w:lang w:val="en-US" w:eastAsia="zh-CN"/>
              </w:rPr>
            </w:pPr>
            <w:r>
              <w:rPr>
                <w:rFonts w:hint="eastAsia"/>
                <w:color w:val="auto"/>
                <w:lang w:val="en-US" w:eastAsia="zh-CN"/>
              </w:rPr>
              <w:t>17</w:t>
            </w:r>
          </w:p>
        </w:tc>
        <w:tc>
          <w:tcPr>
            <w:tcW w:w="742" w:type="dxa"/>
            <w:tcBorders>
              <w:tl2br w:val="nil"/>
              <w:tr2bl w:val="nil"/>
            </w:tcBorders>
            <w:noWrap w:val="0"/>
            <w:tcMar>
              <w:top w:w="0" w:type="dxa"/>
              <w:left w:w="108" w:type="dxa"/>
              <w:bottom w:w="0" w:type="dxa"/>
              <w:right w:w="108" w:type="dxa"/>
            </w:tcMar>
            <w:vAlign w:val="center"/>
          </w:tcPr>
          <w:p w14:paraId="26E17618">
            <w:pPr>
              <w:pStyle w:val="31"/>
              <w:bidi w:val="0"/>
              <w:rPr>
                <w:rFonts w:hint="default"/>
                <w:color w:val="auto"/>
                <w:lang w:val="en-US" w:eastAsia="zh-CN"/>
              </w:rPr>
            </w:pPr>
            <w:r>
              <w:rPr>
                <w:rFonts w:hint="eastAsia"/>
                <w:color w:val="auto"/>
                <w:lang w:val="en-US" w:eastAsia="zh-CN"/>
              </w:rPr>
              <w:t>样方20</w:t>
            </w:r>
          </w:p>
        </w:tc>
        <w:tc>
          <w:tcPr>
            <w:tcW w:w="741" w:type="dxa"/>
            <w:tcBorders>
              <w:tl2br w:val="nil"/>
              <w:tr2bl w:val="nil"/>
            </w:tcBorders>
            <w:noWrap w:val="0"/>
            <w:tcMar>
              <w:top w:w="0" w:type="dxa"/>
              <w:left w:w="108" w:type="dxa"/>
              <w:bottom w:w="0" w:type="dxa"/>
              <w:right w:w="108" w:type="dxa"/>
            </w:tcMar>
            <w:vAlign w:val="center"/>
          </w:tcPr>
          <w:p w14:paraId="6218D63B">
            <w:pPr>
              <w:pStyle w:val="31"/>
              <w:bidi w:val="0"/>
              <w:rPr>
                <w:rFonts w:hint="default"/>
                <w:color w:val="auto"/>
                <w:lang w:val="en-US" w:eastAsia="zh-CN"/>
              </w:rPr>
            </w:pPr>
            <w:r>
              <w:rPr>
                <w:rFonts w:hint="eastAsia"/>
                <w:color w:val="auto"/>
                <w:lang w:val="en-US" w:eastAsia="zh-CN"/>
              </w:rPr>
              <w:t>5号抛泥区西侧</w:t>
            </w:r>
          </w:p>
        </w:tc>
        <w:tc>
          <w:tcPr>
            <w:tcW w:w="974" w:type="dxa"/>
            <w:tcBorders>
              <w:tl2br w:val="nil"/>
              <w:tr2bl w:val="nil"/>
            </w:tcBorders>
            <w:noWrap w:val="0"/>
            <w:tcMar>
              <w:top w:w="0" w:type="dxa"/>
              <w:left w:w="108" w:type="dxa"/>
              <w:bottom w:w="0" w:type="dxa"/>
              <w:right w:w="108" w:type="dxa"/>
            </w:tcMar>
            <w:vAlign w:val="center"/>
          </w:tcPr>
          <w:p w14:paraId="0CF88C28">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535DB972">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77919CC5">
            <w:pPr>
              <w:pStyle w:val="31"/>
              <w:bidi w:val="0"/>
              <w:rPr>
                <w:rFonts w:hint="default"/>
                <w:color w:val="auto"/>
              </w:rPr>
            </w:pPr>
            <w:r>
              <w:rPr>
                <w:rFonts w:hint="default"/>
                <w:color w:val="auto"/>
              </w:rPr>
              <w:t>117.39615798,30.59760969</w:t>
            </w:r>
          </w:p>
        </w:tc>
        <w:tc>
          <w:tcPr>
            <w:tcW w:w="730" w:type="dxa"/>
            <w:tcBorders>
              <w:tl2br w:val="nil"/>
              <w:tr2bl w:val="nil"/>
            </w:tcBorders>
            <w:noWrap w:val="0"/>
            <w:tcMar>
              <w:top w:w="0" w:type="dxa"/>
              <w:left w:w="108" w:type="dxa"/>
              <w:bottom w:w="0" w:type="dxa"/>
              <w:right w:w="108" w:type="dxa"/>
            </w:tcMar>
            <w:vAlign w:val="center"/>
          </w:tcPr>
          <w:p w14:paraId="0E1ECA85">
            <w:pPr>
              <w:pStyle w:val="31"/>
              <w:bidi w:val="0"/>
              <w:rPr>
                <w:rFonts w:hint="default"/>
                <w:color w:val="auto"/>
              </w:rPr>
            </w:pPr>
            <w:r>
              <w:rPr>
                <w:rFonts w:hint="eastAsia"/>
                <w:color w:val="auto"/>
                <w:lang w:val="en-US" w:eastAsia="zh-CN"/>
              </w:rPr>
              <w:t>水生草本</w:t>
            </w:r>
          </w:p>
        </w:tc>
        <w:tc>
          <w:tcPr>
            <w:tcW w:w="710" w:type="dxa"/>
            <w:tcBorders>
              <w:tl2br w:val="nil"/>
              <w:tr2bl w:val="nil"/>
            </w:tcBorders>
            <w:noWrap w:val="0"/>
            <w:tcMar>
              <w:top w:w="0" w:type="dxa"/>
              <w:left w:w="108" w:type="dxa"/>
              <w:bottom w:w="0" w:type="dxa"/>
              <w:right w:w="108" w:type="dxa"/>
            </w:tcMar>
            <w:vAlign w:val="center"/>
          </w:tcPr>
          <w:p w14:paraId="23F12521">
            <w:pPr>
              <w:pStyle w:val="31"/>
              <w:bidi w:val="0"/>
              <w:rPr>
                <w:rFonts w:hint="default"/>
                <w:color w:val="auto"/>
                <w:lang w:val="en-US" w:eastAsia="zh-CN"/>
              </w:rPr>
            </w:pPr>
            <w:r>
              <w:rPr>
                <w:rFonts w:hint="default"/>
                <w:color w:val="auto"/>
                <w:lang w:val="en-US" w:eastAsia="zh-CN"/>
              </w:rPr>
              <w:t>芦苇群系</w:t>
            </w:r>
          </w:p>
        </w:tc>
        <w:tc>
          <w:tcPr>
            <w:tcW w:w="1220" w:type="dxa"/>
            <w:tcBorders>
              <w:tl2br w:val="nil"/>
              <w:tr2bl w:val="nil"/>
            </w:tcBorders>
            <w:noWrap w:val="0"/>
            <w:tcMar>
              <w:top w:w="0" w:type="dxa"/>
              <w:left w:w="108" w:type="dxa"/>
              <w:bottom w:w="0" w:type="dxa"/>
              <w:right w:w="108" w:type="dxa"/>
            </w:tcMar>
            <w:vAlign w:val="center"/>
          </w:tcPr>
          <w:p w14:paraId="6BE64218">
            <w:pPr>
              <w:pStyle w:val="31"/>
              <w:bidi w:val="0"/>
              <w:rPr>
                <w:rFonts w:hint="default"/>
                <w:color w:val="auto"/>
                <w:lang w:val="en-US" w:eastAsia="zh-CN"/>
              </w:rPr>
            </w:pPr>
            <w:r>
              <w:rPr>
                <w:rFonts w:hint="default"/>
                <w:color w:val="auto"/>
                <w:lang w:val="en-US" w:eastAsia="zh-CN"/>
              </w:rPr>
              <w:t>地形：平原</w:t>
            </w:r>
          </w:p>
          <w:p w14:paraId="5B146620">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51AEC829">
            <w:pPr>
              <w:pStyle w:val="31"/>
              <w:bidi w:val="0"/>
              <w:rPr>
                <w:rFonts w:hint="default"/>
                <w:color w:val="auto"/>
                <w:lang w:val="en-US" w:eastAsia="zh-CN"/>
              </w:rPr>
            </w:pPr>
            <w:r>
              <w:rPr>
                <w:rFonts w:hint="default"/>
                <w:color w:val="auto"/>
                <w:lang w:val="en-US" w:eastAsia="zh-CN"/>
              </w:rPr>
              <w:t>坡向：-</w:t>
            </w:r>
          </w:p>
          <w:p w14:paraId="55F9656D">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74C21C9D">
            <w:pPr>
              <w:pStyle w:val="31"/>
              <w:bidi w:val="0"/>
              <w:rPr>
                <w:rFonts w:hint="default"/>
                <w:color w:val="auto"/>
                <w:lang w:eastAsia="zh-CN"/>
              </w:rPr>
            </w:pPr>
            <w:r>
              <w:rPr>
                <w:rFonts w:hint="default"/>
                <w:color w:val="auto"/>
                <w:lang w:eastAsia="zh-CN"/>
              </w:rPr>
              <w:t>平均株高2.3m，常与芦荻混生，伴生有夏至草、空心莲子草（Alternantheraphiloxeroides）等</w:t>
            </w:r>
          </w:p>
        </w:tc>
        <w:tc>
          <w:tcPr>
            <w:tcW w:w="628" w:type="dxa"/>
            <w:tcBorders>
              <w:tl2br w:val="nil"/>
              <w:tr2bl w:val="nil"/>
            </w:tcBorders>
            <w:noWrap w:val="0"/>
            <w:tcMar>
              <w:top w:w="0" w:type="dxa"/>
              <w:left w:w="108" w:type="dxa"/>
              <w:bottom w:w="0" w:type="dxa"/>
              <w:right w:w="108" w:type="dxa"/>
            </w:tcMar>
            <w:vAlign w:val="center"/>
          </w:tcPr>
          <w:p w14:paraId="0D3C93AA">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1397184B">
            <w:pPr>
              <w:pStyle w:val="31"/>
              <w:bidi w:val="0"/>
              <w:rPr>
                <w:rFonts w:hint="default"/>
                <w:color w:val="auto"/>
                <w:lang w:eastAsia="zh-CN"/>
              </w:rPr>
            </w:pPr>
            <w:r>
              <w:rPr>
                <w:color w:val="auto"/>
              </w:rPr>
              <w:drawing>
                <wp:inline distT="0" distB="0" distL="114300" distR="114300">
                  <wp:extent cx="2358390" cy="1760220"/>
                  <wp:effectExtent l="0" t="0" r="3810" b="11430"/>
                  <wp:docPr id="6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3"/>
                          <pic:cNvPicPr>
                            <a:picLocks noChangeAspect="1"/>
                          </pic:cNvPicPr>
                        </pic:nvPicPr>
                        <pic:blipFill>
                          <a:blip r:embed="rId69"/>
                          <a:stretch>
                            <a:fillRect/>
                          </a:stretch>
                        </pic:blipFill>
                        <pic:spPr>
                          <a:xfrm>
                            <a:off x="0" y="0"/>
                            <a:ext cx="2358390" cy="1760220"/>
                          </a:xfrm>
                          <a:prstGeom prst="rect">
                            <a:avLst/>
                          </a:prstGeom>
                          <a:noFill/>
                          <a:ln>
                            <a:noFill/>
                          </a:ln>
                        </pic:spPr>
                      </pic:pic>
                    </a:graphicData>
                  </a:graphic>
                </wp:inline>
              </w:drawing>
            </w:r>
          </w:p>
        </w:tc>
      </w:tr>
      <w:tr w14:paraId="20AB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043D4748">
            <w:pPr>
              <w:pStyle w:val="31"/>
              <w:bidi w:val="0"/>
              <w:rPr>
                <w:rFonts w:hint="default" w:eastAsia="宋体"/>
                <w:color w:val="auto"/>
                <w:lang w:val="en-US" w:eastAsia="zh-CN"/>
              </w:rPr>
            </w:pPr>
            <w:r>
              <w:rPr>
                <w:rFonts w:hint="eastAsia"/>
                <w:color w:val="auto"/>
                <w:lang w:val="en-US" w:eastAsia="zh-CN"/>
              </w:rPr>
              <w:t>18</w:t>
            </w:r>
          </w:p>
        </w:tc>
        <w:tc>
          <w:tcPr>
            <w:tcW w:w="742" w:type="dxa"/>
            <w:tcBorders>
              <w:tl2br w:val="nil"/>
              <w:tr2bl w:val="nil"/>
            </w:tcBorders>
            <w:noWrap w:val="0"/>
            <w:tcMar>
              <w:top w:w="0" w:type="dxa"/>
              <w:left w:w="108" w:type="dxa"/>
              <w:bottom w:w="0" w:type="dxa"/>
              <w:right w:w="108" w:type="dxa"/>
            </w:tcMar>
            <w:vAlign w:val="center"/>
          </w:tcPr>
          <w:p w14:paraId="0D4207DB">
            <w:pPr>
              <w:pStyle w:val="31"/>
              <w:bidi w:val="0"/>
              <w:rPr>
                <w:rFonts w:hint="default"/>
                <w:color w:val="auto"/>
                <w:lang w:val="en-US" w:eastAsia="zh-CN"/>
              </w:rPr>
            </w:pPr>
            <w:r>
              <w:rPr>
                <w:rFonts w:hint="eastAsia"/>
                <w:color w:val="auto"/>
                <w:lang w:val="en-US" w:eastAsia="zh-CN"/>
              </w:rPr>
              <w:t>样方8</w:t>
            </w:r>
          </w:p>
        </w:tc>
        <w:tc>
          <w:tcPr>
            <w:tcW w:w="741" w:type="dxa"/>
            <w:tcBorders>
              <w:tl2br w:val="nil"/>
              <w:tr2bl w:val="nil"/>
            </w:tcBorders>
            <w:noWrap w:val="0"/>
            <w:tcMar>
              <w:top w:w="0" w:type="dxa"/>
              <w:left w:w="108" w:type="dxa"/>
              <w:bottom w:w="0" w:type="dxa"/>
              <w:right w:w="108" w:type="dxa"/>
            </w:tcMar>
            <w:vAlign w:val="center"/>
          </w:tcPr>
          <w:p w14:paraId="2D49B4FC">
            <w:pPr>
              <w:pStyle w:val="31"/>
              <w:bidi w:val="0"/>
              <w:rPr>
                <w:rFonts w:hint="default"/>
                <w:color w:val="auto"/>
                <w:lang w:val="en-US" w:eastAsia="zh-CN"/>
              </w:rPr>
            </w:pPr>
            <w:r>
              <w:rPr>
                <w:rFonts w:hint="eastAsia"/>
                <w:color w:val="auto"/>
                <w:lang w:val="en-US" w:eastAsia="zh-CN"/>
              </w:rPr>
              <w:t>5号抛泥区南侧</w:t>
            </w:r>
          </w:p>
        </w:tc>
        <w:tc>
          <w:tcPr>
            <w:tcW w:w="974" w:type="dxa"/>
            <w:tcBorders>
              <w:tl2br w:val="nil"/>
              <w:tr2bl w:val="nil"/>
            </w:tcBorders>
            <w:noWrap w:val="0"/>
            <w:tcMar>
              <w:top w:w="0" w:type="dxa"/>
              <w:left w:w="108" w:type="dxa"/>
              <w:bottom w:w="0" w:type="dxa"/>
              <w:right w:w="108" w:type="dxa"/>
            </w:tcMar>
            <w:vAlign w:val="center"/>
          </w:tcPr>
          <w:p w14:paraId="73FFCA7E">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33C5A299">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5016154A">
            <w:pPr>
              <w:pStyle w:val="31"/>
              <w:bidi w:val="0"/>
              <w:rPr>
                <w:rFonts w:hint="default"/>
                <w:color w:val="auto"/>
              </w:rPr>
            </w:pPr>
            <w:r>
              <w:rPr>
                <w:rFonts w:hint="default"/>
                <w:color w:val="auto"/>
              </w:rPr>
              <w:t>117.40250945,30.59924427</w:t>
            </w:r>
          </w:p>
        </w:tc>
        <w:tc>
          <w:tcPr>
            <w:tcW w:w="730" w:type="dxa"/>
            <w:tcBorders>
              <w:tl2br w:val="nil"/>
              <w:tr2bl w:val="nil"/>
            </w:tcBorders>
            <w:noWrap w:val="0"/>
            <w:tcMar>
              <w:top w:w="0" w:type="dxa"/>
              <w:left w:w="108" w:type="dxa"/>
              <w:bottom w:w="0" w:type="dxa"/>
              <w:right w:w="108" w:type="dxa"/>
            </w:tcMar>
            <w:vAlign w:val="center"/>
          </w:tcPr>
          <w:p w14:paraId="5B5D1A7F">
            <w:pPr>
              <w:pStyle w:val="31"/>
              <w:bidi w:val="0"/>
              <w:rPr>
                <w:rFonts w:hint="default"/>
                <w:color w:val="auto"/>
              </w:rPr>
            </w:pPr>
            <w:r>
              <w:rPr>
                <w:rFonts w:hint="eastAsia"/>
                <w:color w:val="auto"/>
                <w:lang w:val="en-US" w:eastAsia="zh-CN"/>
              </w:rPr>
              <w:t>水生草本</w:t>
            </w:r>
          </w:p>
        </w:tc>
        <w:tc>
          <w:tcPr>
            <w:tcW w:w="710" w:type="dxa"/>
            <w:tcBorders>
              <w:tl2br w:val="nil"/>
              <w:tr2bl w:val="nil"/>
            </w:tcBorders>
            <w:noWrap w:val="0"/>
            <w:tcMar>
              <w:top w:w="0" w:type="dxa"/>
              <w:left w:w="108" w:type="dxa"/>
              <w:bottom w:w="0" w:type="dxa"/>
              <w:right w:w="108" w:type="dxa"/>
            </w:tcMar>
            <w:vAlign w:val="center"/>
          </w:tcPr>
          <w:p w14:paraId="50F8635C">
            <w:pPr>
              <w:pStyle w:val="31"/>
              <w:bidi w:val="0"/>
              <w:rPr>
                <w:rFonts w:hint="default"/>
                <w:color w:val="auto"/>
                <w:lang w:val="en-US" w:eastAsia="zh-CN"/>
              </w:rPr>
            </w:pPr>
            <w:r>
              <w:rPr>
                <w:rFonts w:hint="default"/>
                <w:color w:val="auto"/>
                <w:lang w:val="en-US" w:eastAsia="zh-CN"/>
              </w:rPr>
              <w:t>芦荻群系</w:t>
            </w:r>
          </w:p>
        </w:tc>
        <w:tc>
          <w:tcPr>
            <w:tcW w:w="1220" w:type="dxa"/>
            <w:tcBorders>
              <w:tl2br w:val="nil"/>
              <w:tr2bl w:val="nil"/>
            </w:tcBorders>
            <w:noWrap w:val="0"/>
            <w:tcMar>
              <w:top w:w="0" w:type="dxa"/>
              <w:left w:w="108" w:type="dxa"/>
              <w:bottom w:w="0" w:type="dxa"/>
              <w:right w:w="108" w:type="dxa"/>
            </w:tcMar>
            <w:vAlign w:val="center"/>
          </w:tcPr>
          <w:p w14:paraId="43F8F8C6">
            <w:pPr>
              <w:pStyle w:val="31"/>
              <w:bidi w:val="0"/>
              <w:rPr>
                <w:rFonts w:hint="default"/>
                <w:color w:val="auto"/>
                <w:lang w:val="en-US" w:eastAsia="zh-CN"/>
              </w:rPr>
            </w:pPr>
            <w:r>
              <w:rPr>
                <w:rFonts w:hint="default"/>
                <w:color w:val="auto"/>
                <w:lang w:val="en-US" w:eastAsia="zh-CN"/>
              </w:rPr>
              <w:t>地形：平原</w:t>
            </w:r>
          </w:p>
          <w:p w14:paraId="1B7CA25D">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9</w:t>
            </w:r>
            <w:r>
              <w:rPr>
                <w:rFonts w:hint="default"/>
                <w:color w:val="auto"/>
                <w:lang w:val="en-US" w:eastAsia="zh-CN"/>
              </w:rPr>
              <w:t>m</w:t>
            </w:r>
          </w:p>
          <w:p w14:paraId="646B1803">
            <w:pPr>
              <w:pStyle w:val="31"/>
              <w:bidi w:val="0"/>
              <w:rPr>
                <w:rFonts w:hint="default"/>
                <w:color w:val="auto"/>
                <w:lang w:val="en-US" w:eastAsia="zh-CN"/>
              </w:rPr>
            </w:pPr>
            <w:r>
              <w:rPr>
                <w:rFonts w:hint="default"/>
                <w:color w:val="auto"/>
                <w:lang w:val="en-US" w:eastAsia="zh-CN"/>
              </w:rPr>
              <w:t>坡向：-</w:t>
            </w:r>
          </w:p>
          <w:p w14:paraId="34BA2801">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4E0E67AE">
            <w:pPr>
              <w:pStyle w:val="31"/>
              <w:bidi w:val="0"/>
              <w:rPr>
                <w:rFonts w:hint="default"/>
                <w:color w:val="auto"/>
                <w:lang w:eastAsia="zh-CN"/>
              </w:rPr>
            </w:pPr>
            <w:r>
              <w:rPr>
                <w:rFonts w:hint="default"/>
                <w:color w:val="auto"/>
                <w:lang w:eastAsia="zh-CN"/>
              </w:rPr>
              <w:t>平均株高1.8m，伴生有芦苇、水蓼、空心莲子草等</w:t>
            </w:r>
          </w:p>
        </w:tc>
        <w:tc>
          <w:tcPr>
            <w:tcW w:w="628" w:type="dxa"/>
            <w:tcBorders>
              <w:tl2br w:val="nil"/>
              <w:tr2bl w:val="nil"/>
            </w:tcBorders>
            <w:noWrap w:val="0"/>
            <w:tcMar>
              <w:top w:w="0" w:type="dxa"/>
              <w:left w:w="108" w:type="dxa"/>
              <w:bottom w:w="0" w:type="dxa"/>
              <w:right w:w="108" w:type="dxa"/>
            </w:tcMar>
            <w:vAlign w:val="center"/>
          </w:tcPr>
          <w:p w14:paraId="5795864E">
            <w:pPr>
              <w:pStyle w:val="31"/>
              <w:bidi w:val="0"/>
              <w:rPr>
                <w:rFonts w:hint="default"/>
                <w:color w:val="auto"/>
                <w:lang w:val="en-US" w:eastAsia="zh-CN"/>
              </w:rPr>
            </w:pPr>
            <w:r>
              <w:rPr>
                <w:rFonts w:hint="eastAsia"/>
                <w:color w:val="auto"/>
                <w:lang w:val="en-US" w:eastAsia="zh-CN"/>
              </w:rPr>
              <w:t>80</w:t>
            </w:r>
          </w:p>
        </w:tc>
        <w:tc>
          <w:tcPr>
            <w:tcW w:w="3642" w:type="dxa"/>
            <w:tcBorders>
              <w:tl2br w:val="nil"/>
              <w:tr2bl w:val="nil"/>
            </w:tcBorders>
            <w:noWrap w:val="0"/>
            <w:tcMar>
              <w:top w:w="0" w:type="dxa"/>
              <w:left w:w="108" w:type="dxa"/>
              <w:bottom w:w="0" w:type="dxa"/>
              <w:right w:w="108" w:type="dxa"/>
            </w:tcMar>
            <w:vAlign w:val="center"/>
          </w:tcPr>
          <w:p w14:paraId="63634AD8">
            <w:pPr>
              <w:pStyle w:val="31"/>
              <w:bidi w:val="0"/>
              <w:rPr>
                <w:rFonts w:hint="default"/>
                <w:color w:val="auto"/>
                <w:lang w:eastAsia="zh-CN"/>
              </w:rPr>
            </w:pPr>
            <w:r>
              <w:rPr>
                <w:color w:val="auto"/>
              </w:rPr>
              <w:drawing>
                <wp:inline distT="0" distB="0" distL="114300" distR="114300">
                  <wp:extent cx="2362835" cy="1804035"/>
                  <wp:effectExtent l="0" t="0" r="18415" b="5715"/>
                  <wp:docPr id="6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4"/>
                          <pic:cNvPicPr>
                            <a:picLocks noChangeAspect="1"/>
                          </pic:cNvPicPr>
                        </pic:nvPicPr>
                        <pic:blipFill>
                          <a:blip r:embed="rId70"/>
                          <a:stretch>
                            <a:fillRect/>
                          </a:stretch>
                        </pic:blipFill>
                        <pic:spPr>
                          <a:xfrm>
                            <a:off x="0" y="0"/>
                            <a:ext cx="2362835" cy="1804035"/>
                          </a:xfrm>
                          <a:prstGeom prst="rect">
                            <a:avLst/>
                          </a:prstGeom>
                          <a:noFill/>
                          <a:ln>
                            <a:noFill/>
                          </a:ln>
                        </pic:spPr>
                      </pic:pic>
                    </a:graphicData>
                  </a:graphic>
                </wp:inline>
              </w:drawing>
            </w:r>
          </w:p>
        </w:tc>
      </w:tr>
      <w:tr w14:paraId="74CC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3C26EEE5">
            <w:pPr>
              <w:pStyle w:val="31"/>
              <w:bidi w:val="0"/>
              <w:rPr>
                <w:rFonts w:hint="default" w:eastAsia="宋体"/>
                <w:color w:val="auto"/>
                <w:lang w:val="en-US" w:eastAsia="zh-CN"/>
              </w:rPr>
            </w:pPr>
            <w:r>
              <w:rPr>
                <w:rFonts w:hint="eastAsia"/>
                <w:color w:val="auto"/>
                <w:lang w:val="en-US" w:eastAsia="zh-CN"/>
              </w:rPr>
              <w:t>19</w:t>
            </w:r>
          </w:p>
        </w:tc>
        <w:tc>
          <w:tcPr>
            <w:tcW w:w="742" w:type="dxa"/>
            <w:tcBorders>
              <w:tl2br w:val="nil"/>
              <w:tr2bl w:val="nil"/>
            </w:tcBorders>
            <w:noWrap w:val="0"/>
            <w:tcMar>
              <w:top w:w="0" w:type="dxa"/>
              <w:left w:w="108" w:type="dxa"/>
              <w:bottom w:w="0" w:type="dxa"/>
              <w:right w:w="108" w:type="dxa"/>
            </w:tcMar>
            <w:vAlign w:val="center"/>
          </w:tcPr>
          <w:p w14:paraId="3CDAF79C">
            <w:pPr>
              <w:pStyle w:val="31"/>
              <w:bidi w:val="0"/>
              <w:rPr>
                <w:rFonts w:hint="default"/>
                <w:color w:val="auto"/>
                <w:lang w:val="en-US" w:eastAsia="zh-CN"/>
              </w:rPr>
            </w:pPr>
            <w:r>
              <w:rPr>
                <w:rFonts w:hint="eastAsia"/>
                <w:color w:val="auto"/>
                <w:lang w:val="en-US" w:eastAsia="zh-CN"/>
              </w:rPr>
              <w:t>样方19</w:t>
            </w:r>
          </w:p>
        </w:tc>
        <w:tc>
          <w:tcPr>
            <w:tcW w:w="741" w:type="dxa"/>
            <w:tcBorders>
              <w:tl2br w:val="nil"/>
              <w:tr2bl w:val="nil"/>
            </w:tcBorders>
            <w:noWrap w:val="0"/>
            <w:tcMar>
              <w:top w:w="0" w:type="dxa"/>
              <w:left w:w="108" w:type="dxa"/>
              <w:bottom w:w="0" w:type="dxa"/>
              <w:right w:w="108" w:type="dxa"/>
            </w:tcMar>
            <w:vAlign w:val="center"/>
          </w:tcPr>
          <w:p w14:paraId="61911BFE">
            <w:pPr>
              <w:pStyle w:val="31"/>
              <w:bidi w:val="0"/>
              <w:rPr>
                <w:rFonts w:hint="default"/>
                <w:color w:val="auto"/>
                <w:lang w:val="en-US" w:eastAsia="zh-CN"/>
              </w:rPr>
            </w:pPr>
            <w:r>
              <w:rPr>
                <w:rFonts w:hint="eastAsia"/>
                <w:color w:val="auto"/>
                <w:lang w:val="en-US" w:eastAsia="zh-CN"/>
              </w:rPr>
              <w:t>5号抛泥区东侧</w:t>
            </w:r>
          </w:p>
        </w:tc>
        <w:tc>
          <w:tcPr>
            <w:tcW w:w="974" w:type="dxa"/>
            <w:tcBorders>
              <w:tl2br w:val="nil"/>
              <w:tr2bl w:val="nil"/>
            </w:tcBorders>
            <w:noWrap w:val="0"/>
            <w:tcMar>
              <w:top w:w="0" w:type="dxa"/>
              <w:left w:w="108" w:type="dxa"/>
              <w:bottom w:w="0" w:type="dxa"/>
              <w:right w:w="108" w:type="dxa"/>
            </w:tcMar>
            <w:vAlign w:val="center"/>
          </w:tcPr>
          <w:p w14:paraId="3313BA26">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42361C81">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51F78D1D">
            <w:pPr>
              <w:pStyle w:val="31"/>
              <w:bidi w:val="0"/>
              <w:rPr>
                <w:rFonts w:hint="default"/>
                <w:color w:val="auto"/>
              </w:rPr>
            </w:pPr>
            <w:r>
              <w:rPr>
                <w:rFonts w:hint="default"/>
                <w:color w:val="auto"/>
              </w:rPr>
              <w:t>117.40352869,30.60103581</w:t>
            </w:r>
          </w:p>
        </w:tc>
        <w:tc>
          <w:tcPr>
            <w:tcW w:w="730" w:type="dxa"/>
            <w:tcBorders>
              <w:tl2br w:val="nil"/>
              <w:tr2bl w:val="nil"/>
            </w:tcBorders>
            <w:noWrap w:val="0"/>
            <w:tcMar>
              <w:top w:w="0" w:type="dxa"/>
              <w:left w:w="108" w:type="dxa"/>
              <w:bottom w:w="0" w:type="dxa"/>
              <w:right w:w="108" w:type="dxa"/>
            </w:tcMar>
            <w:vAlign w:val="center"/>
          </w:tcPr>
          <w:p w14:paraId="2C31895F">
            <w:pPr>
              <w:pStyle w:val="31"/>
              <w:bidi w:val="0"/>
              <w:rPr>
                <w:rFonts w:hint="default"/>
                <w:color w:val="auto"/>
              </w:rPr>
            </w:pPr>
            <w:r>
              <w:rPr>
                <w:rFonts w:hint="eastAsia"/>
                <w:color w:val="auto"/>
                <w:lang w:val="en-US" w:eastAsia="zh-CN"/>
              </w:rPr>
              <w:t>水生草本</w:t>
            </w:r>
          </w:p>
        </w:tc>
        <w:tc>
          <w:tcPr>
            <w:tcW w:w="710" w:type="dxa"/>
            <w:tcBorders>
              <w:tl2br w:val="nil"/>
              <w:tr2bl w:val="nil"/>
            </w:tcBorders>
            <w:noWrap w:val="0"/>
            <w:tcMar>
              <w:top w:w="0" w:type="dxa"/>
              <w:left w:w="108" w:type="dxa"/>
              <w:bottom w:w="0" w:type="dxa"/>
              <w:right w:w="108" w:type="dxa"/>
            </w:tcMar>
            <w:vAlign w:val="center"/>
          </w:tcPr>
          <w:p w14:paraId="4D5D3C42">
            <w:pPr>
              <w:pStyle w:val="31"/>
              <w:bidi w:val="0"/>
              <w:rPr>
                <w:rFonts w:hint="default"/>
                <w:color w:val="auto"/>
                <w:lang w:val="en-US" w:eastAsia="zh-CN"/>
              </w:rPr>
            </w:pPr>
            <w:r>
              <w:rPr>
                <w:rFonts w:hint="default"/>
                <w:color w:val="auto"/>
                <w:lang w:val="en-US" w:eastAsia="zh-CN"/>
              </w:rPr>
              <w:t>满江红群系</w:t>
            </w:r>
          </w:p>
        </w:tc>
        <w:tc>
          <w:tcPr>
            <w:tcW w:w="1220" w:type="dxa"/>
            <w:tcBorders>
              <w:tl2br w:val="nil"/>
              <w:tr2bl w:val="nil"/>
            </w:tcBorders>
            <w:noWrap w:val="0"/>
            <w:tcMar>
              <w:top w:w="0" w:type="dxa"/>
              <w:left w:w="108" w:type="dxa"/>
              <w:bottom w:w="0" w:type="dxa"/>
              <w:right w:w="108" w:type="dxa"/>
            </w:tcMar>
            <w:vAlign w:val="center"/>
          </w:tcPr>
          <w:p w14:paraId="19CA37F1">
            <w:pPr>
              <w:pStyle w:val="31"/>
              <w:bidi w:val="0"/>
              <w:rPr>
                <w:rFonts w:hint="default"/>
                <w:color w:val="auto"/>
                <w:lang w:val="en-US" w:eastAsia="zh-CN"/>
              </w:rPr>
            </w:pPr>
            <w:r>
              <w:rPr>
                <w:rFonts w:hint="default"/>
                <w:color w:val="auto"/>
                <w:lang w:val="en-US" w:eastAsia="zh-CN"/>
              </w:rPr>
              <w:t>地形：平原</w:t>
            </w:r>
          </w:p>
          <w:p w14:paraId="74480E90">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8</w:t>
            </w:r>
            <w:r>
              <w:rPr>
                <w:rFonts w:hint="default"/>
                <w:color w:val="auto"/>
                <w:lang w:val="en-US" w:eastAsia="zh-CN"/>
              </w:rPr>
              <w:t>m</w:t>
            </w:r>
          </w:p>
          <w:p w14:paraId="4CAF5F47">
            <w:pPr>
              <w:pStyle w:val="31"/>
              <w:bidi w:val="0"/>
              <w:rPr>
                <w:rFonts w:hint="default"/>
                <w:color w:val="auto"/>
                <w:lang w:val="en-US" w:eastAsia="zh-CN"/>
              </w:rPr>
            </w:pPr>
            <w:r>
              <w:rPr>
                <w:rFonts w:hint="default"/>
                <w:color w:val="auto"/>
                <w:lang w:val="en-US" w:eastAsia="zh-CN"/>
              </w:rPr>
              <w:t>坡向：-</w:t>
            </w:r>
          </w:p>
          <w:p w14:paraId="6421DF63">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76649DD2">
            <w:pPr>
              <w:pStyle w:val="31"/>
              <w:bidi w:val="0"/>
              <w:rPr>
                <w:rFonts w:hint="default"/>
                <w:color w:val="auto"/>
                <w:lang w:eastAsia="zh-CN"/>
              </w:rPr>
            </w:pPr>
            <w:r>
              <w:rPr>
                <w:rFonts w:hint="default"/>
                <w:color w:val="auto"/>
                <w:lang w:eastAsia="zh-CN"/>
              </w:rPr>
              <w:t>呈单一优势种群落。伴生植物有浮萍、槐叶萍（Salvinianatans）、喜旱莲子草等</w:t>
            </w:r>
          </w:p>
        </w:tc>
        <w:tc>
          <w:tcPr>
            <w:tcW w:w="628" w:type="dxa"/>
            <w:tcBorders>
              <w:tl2br w:val="nil"/>
              <w:tr2bl w:val="nil"/>
            </w:tcBorders>
            <w:noWrap w:val="0"/>
            <w:tcMar>
              <w:top w:w="0" w:type="dxa"/>
              <w:left w:w="108" w:type="dxa"/>
              <w:bottom w:w="0" w:type="dxa"/>
              <w:right w:w="108" w:type="dxa"/>
            </w:tcMar>
            <w:vAlign w:val="center"/>
          </w:tcPr>
          <w:p w14:paraId="7E8CA063">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023D4C85">
            <w:pPr>
              <w:pStyle w:val="31"/>
              <w:bidi w:val="0"/>
              <w:rPr>
                <w:rFonts w:hint="default"/>
                <w:color w:val="auto"/>
                <w:lang w:eastAsia="zh-CN"/>
              </w:rPr>
            </w:pPr>
            <w:r>
              <w:rPr>
                <w:color w:val="auto"/>
              </w:rPr>
              <w:drawing>
                <wp:inline distT="0" distB="0" distL="114300" distR="114300">
                  <wp:extent cx="2357755" cy="1738630"/>
                  <wp:effectExtent l="0" t="0" r="4445" b="13970"/>
                  <wp:docPr id="6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5"/>
                          <pic:cNvPicPr>
                            <a:picLocks noChangeAspect="1"/>
                          </pic:cNvPicPr>
                        </pic:nvPicPr>
                        <pic:blipFill>
                          <a:blip r:embed="rId71"/>
                          <a:stretch>
                            <a:fillRect/>
                          </a:stretch>
                        </pic:blipFill>
                        <pic:spPr>
                          <a:xfrm>
                            <a:off x="0" y="0"/>
                            <a:ext cx="2357755" cy="1738630"/>
                          </a:xfrm>
                          <a:prstGeom prst="rect">
                            <a:avLst/>
                          </a:prstGeom>
                          <a:noFill/>
                          <a:ln>
                            <a:noFill/>
                          </a:ln>
                        </pic:spPr>
                      </pic:pic>
                    </a:graphicData>
                  </a:graphic>
                </wp:inline>
              </w:drawing>
            </w:r>
          </w:p>
        </w:tc>
      </w:tr>
      <w:tr w14:paraId="78C6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39" w:type="dxa"/>
            <w:tcBorders>
              <w:tl2br w:val="nil"/>
              <w:tr2bl w:val="nil"/>
            </w:tcBorders>
            <w:noWrap w:val="0"/>
            <w:tcMar>
              <w:top w:w="0" w:type="dxa"/>
              <w:left w:w="108" w:type="dxa"/>
              <w:bottom w:w="0" w:type="dxa"/>
              <w:right w:w="108" w:type="dxa"/>
            </w:tcMar>
            <w:vAlign w:val="center"/>
          </w:tcPr>
          <w:p w14:paraId="307C275D">
            <w:pPr>
              <w:pStyle w:val="31"/>
              <w:bidi w:val="0"/>
              <w:rPr>
                <w:rFonts w:hint="default" w:eastAsia="宋体"/>
                <w:color w:val="auto"/>
                <w:lang w:val="en-US" w:eastAsia="zh-CN"/>
              </w:rPr>
            </w:pPr>
            <w:r>
              <w:rPr>
                <w:rFonts w:hint="eastAsia"/>
                <w:color w:val="auto"/>
                <w:lang w:val="en-US" w:eastAsia="zh-CN"/>
              </w:rPr>
              <w:t>20</w:t>
            </w:r>
          </w:p>
        </w:tc>
        <w:tc>
          <w:tcPr>
            <w:tcW w:w="742" w:type="dxa"/>
            <w:tcBorders>
              <w:tl2br w:val="nil"/>
              <w:tr2bl w:val="nil"/>
            </w:tcBorders>
            <w:noWrap w:val="0"/>
            <w:tcMar>
              <w:top w:w="0" w:type="dxa"/>
              <w:left w:w="108" w:type="dxa"/>
              <w:bottom w:w="0" w:type="dxa"/>
              <w:right w:w="108" w:type="dxa"/>
            </w:tcMar>
            <w:vAlign w:val="center"/>
          </w:tcPr>
          <w:p w14:paraId="158F88A2">
            <w:pPr>
              <w:pStyle w:val="31"/>
              <w:bidi w:val="0"/>
              <w:rPr>
                <w:rFonts w:hint="default"/>
                <w:color w:val="auto"/>
                <w:lang w:val="en-US" w:eastAsia="zh-CN"/>
              </w:rPr>
            </w:pPr>
            <w:r>
              <w:rPr>
                <w:rFonts w:hint="eastAsia"/>
                <w:color w:val="auto"/>
                <w:lang w:val="en-US" w:eastAsia="zh-CN"/>
              </w:rPr>
              <w:t>样方3</w:t>
            </w:r>
          </w:p>
        </w:tc>
        <w:tc>
          <w:tcPr>
            <w:tcW w:w="741" w:type="dxa"/>
            <w:tcBorders>
              <w:tl2br w:val="nil"/>
              <w:tr2bl w:val="nil"/>
            </w:tcBorders>
            <w:noWrap w:val="0"/>
            <w:tcMar>
              <w:top w:w="0" w:type="dxa"/>
              <w:left w:w="108" w:type="dxa"/>
              <w:bottom w:w="0" w:type="dxa"/>
              <w:right w:w="108" w:type="dxa"/>
            </w:tcMar>
            <w:vAlign w:val="center"/>
          </w:tcPr>
          <w:p w14:paraId="46390C23">
            <w:pPr>
              <w:pStyle w:val="31"/>
              <w:bidi w:val="0"/>
              <w:rPr>
                <w:rFonts w:hint="default"/>
                <w:color w:val="auto"/>
                <w:lang w:val="en-US" w:eastAsia="zh-CN"/>
              </w:rPr>
            </w:pPr>
            <w:r>
              <w:rPr>
                <w:rFonts w:hint="eastAsia"/>
                <w:color w:val="auto"/>
                <w:lang w:val="en-US" w:eastAsia="zh-CN"/>
              </w:rPr>
              <w:t>5号抛泥区东侧</w:t>
            </w:r>
          </w:p>
        </w:tc>
        <w:tc>
          <w:tcPr>
            <w:tcW w:w="974" w:type="dxa"/>
            <w:tcBorders>
              <w:tl2br w:val="nil"/>
              <w:tr2bl w:val="nil"/>
            </w:tcBorders>
            <w:noWrap w:val="0"/>
            <w:tcMar>
              <w:top w:w="0" w:type="dxa"/>
              <w:left w:w="108" w:type="dxa"/>
              <w:bottom w:w="0" w:type="dxa"/>
              <w:right w:w="108" w:type="dxa"/>
            </w:tcMar>
            <w:vAlign w:val="center"/>
          </w:tcPr>
          <w:p w14:paraId="2955C749">
            <w:pPr>
              <w:pStyle w:val="31"/>
              <w:bidi w:val="0"/>
              <w:rPr>
                <w:rFonts w:hint="default"/>
                <w:color w:val="auto"/>
              </w:rPr>
            </w:pPr>
            <w:r>
              <w:rPr>
                <w:rFonts w:hint="eastAsia"/>
                <w:color w:val="auto"/>
                <w:lang w:val="en-US" w:eastAsia="zh-CN"/>
              </w:rPr>
              <w:t>2025年1月</w:t>
            </w:r>
          </w:p>
        </w:tc>
        <w:tc>
          <w:tcPr>
            <w:tcW w:w="654" w:type="dxa"/>
            <w:tcBorders>
              <w:tl2br w:val="nil"/>
              <w:tr2bl w:val="nil"/>
            </w:tcBorders>
            <w:noWrap w:val="0"/>
            <w:tcMar>
              <w:top w:w="0" w:type="dxa"/>
              <w:left w:w="108" w:type="dxa"/>
              <w:bottom w:w="0" w:type="dxa"/>
              <w:right w:w="108" w:type="dxa"/>
            </w:tcMar>
            <w:vAlign w:val="center"/>
          </w:tcPr>
          <w:p w14:paraId="56F61C10">
            <w:pPr>
              <w:pStyle w:val="31"/>
              <w:bidi w:val="0"/>
              <w:rPr>
                <w:rFonts w:hint="default"/>
                <w:color w:val="auto"/>
              </w:rPr>
            </w:pPr>
            <w:r>
              <w:rPr>
                <w:rFonts w:hint="eastAsia"/>
                <w:color w:val="auto"/>
                <w:lang w:val="en-US" w:eastAsia="zh-CN"/>
              </w:rPr>
              <w:t>1</w:t>
            </w:r>
          </w:p>
        </w:tc>
        <w:tc>
          <w:tcPr>
            <w:tcW w:w="883" w:type="dxa"/>
            <w:tcBorders>
              <w:tl2br w:val="nil"/>
              <w:tr2bl w:val="nil"/>
            </w:tcBorders>
            <w:noWrap w:val="0"/>
            <w:tcMar>
              <w:top w:w="0" w:type="dxa"/>
              <w:left w:w="108" w:type="dxa"/>
              <w:bottom w:w="0" w:type="dxa"/>
              <w:right w:w="108" w:type="dxa"/>
            </w:tcMar>
            <w:vAlign w:val="center"/>
          </w:tcPr>
          <w:p w14:paraId="2DA85B97">
            <w:pPr>
              <w:pStyle w:val="31"/>
              <w:bidi w:val="0"/>
              <w:rPr>
                <w:rFonts w:hint="default"/>
                <w:color w:val="auto"/>
              </w:rPr>
            </w:pPr>
            <w:r>
              <w:rPr>
                <w:rFonts w:hint="default"/>
                <w:color w:val="auto"/>
              </w:rPr>
              <w:t>117.40228415,30.60150678</w:t>
            </w:r>
          </w:p>
        </w:tc>
        <w:tc>
          <w:tcPr>
            <w:tcW w:w="730" w:type="dxa"/>
            <w:tcBorders>
              <w:tl2br w:val="nil"/>
              <w:tr2bl w:val="nil"/>
            </w:tcBorders>
            <w:noWrap w:val="0"/>
            <w:tcMar>
              <w:top w:w="0" w:type="dxa"/>
              <w:left w:w="108" w:type="dxa"/>
              <w:bottom w:w="0" w:type="dxa"/>
              <w:right w:w="108" w:type="dxa"/>
            </w:tcMar>
            <w:vAlign w:val="center"/>
          </w:tcPr>
          <w:p w14:paraId="6A53C4F6">
            <w:pPr>
              <w:pStyle w:val="31"/>
              <w:bidi w:val="0"/>
              <w:rPr>
                <w:rFonts w:hint="default"/>
                <w:color w:val="auto"/>
              </w:rPr>
            </w:pPr>
            <w:r>
              <w:rPr>
                <w:rFonts w:hint="eastAsia"/>
                <w:color w:val="auto"/>
                <w:lang w:val="en-US" w:eastAsia="zh-CN"/>
              </w:rPr>
              <w:t>水生草本</w:t>
            </w:r>
          </w:p>
        </w:tc>
        <w:tc>
          <w:tcPr>
            <w:tcW w:w="710" w:type="dxa"/>
            <w:tcBorders>
              <w:tl2br w:val="nil"/>
              <w:tr2bl w:val="nil"/>
            </w:tcBorders>
            <w:noWrap w:val="0"/>
            <w:tcMar>
              <w:top w:w="0" w:type="dxa"/>
              <w:left w:w="108" w:type="dxa"/>
              <w:bottom w:w="0" w:type="dxa"/>
              <w:right w:w="108" w:type="dxa"/>
            </w:tcMar>
            <w:vAlign w:val="center"/>
          </w:tcPr>
          <w:p w14:paraId="0ECB4E1A">
            <w:pPr>
              <w:pStyle w:val="31"/>
              <w:bidi w:val="0"/>
              <w:rPr>
                <w:rFonts w:hint="default"/>
                <w:color w:val="auto"/>
                <w:lang w:val="en-US" w:eastAsia="zh-CN"/>
              </w:rPr>
            </w:pPr>
            <w:r>
              <w:rPr>
                <w:rFonts w:hint="default"/>
                <w:color w:val="auto"/>
                <w:lang w:val="en-US" w:eastAsia="zh-CN"/>
              </w:rPr>
              <w:t>苦草群系</w:t>
            </w:r>
          </w:p>
        </w:tc>
        <w:tc>
          <w:tcPr>
            <w:tcW w:w="1220" w:type="dxa"/>
            <w:tcBorders>
              <w:tl2br w:val="nil"/>
              <w:tr2bl w:val="nil"/>
            </w:tcBorders>
            <w:noWrap w:val="0"/>
            <w:tcMar>
              <w:top w:w="0" w:type="dxa"/>
              <w:left w:w="108" w:type="dxa"/>
              <w:bottom w:w="0" w:type="dxa"/>
              <w:right w:w="108" w:type="dxa"/>
            </w:tcMar>
            <w:vAlign w:val="center"/>
          </w:tcPr>
          <w:p w14:paraId="5F4FE333">
            <w:pPr>
              <w:pStyle w:val="31"/>
              <w:bidi w:val="0"/>
              <w:rPr>
                <w:rFonts w:hint="default"/>
                <w:color w:val="auto"/>
                <w:lang w:val="en-US" w:eastAsia="zh-CN"/>
              </w:rPr>
            </w:pPr>
            <w:r>
              <w:rPr>
                <w:rFonts w:hint="default"/>
                <w:color w:val="auto"/>
                <w:lang w:val="en-US" w:eastAsia="zh-CN"/>
              </w:rPr>
              <w:t>地形：平原</w:t>
            </w:r>
          </w:p>
          <w:p w14:paraId="7B0349FE">
            <w:pPr>
              <w:pStyle w:val="31"/>
              <w:bidi w:val="0"/>
              <w:rPr>
                <w:rFonts w:hint="default"/>
                <w:color w:val="auto"/>
                <w:lang w:val="en-US" w:eastAsia="zh-CN"/>
              </w:rPr>
            </w:pPr>
            <w:r>
              <w:rPr>
                <w:rFonts w:hint="default"/>
                <w:color w:val="auto"/>
                <w:lang w:val="en-US" w:eastAsia="zh-CN"/>
              </w:rPr>
              <w:t>海拔：</w:t>
            </w:r>
            <w:r>
              <w:rPr>
                <w:rFonts w:hint="eastAsia"/>
                <w:color w:val="auto"/>
                <w:lang w:val="en-US" w:eastAsia="zh-CN"/>
              </w:rPr>
              <w:t>8</w:t>
            </w:r>
            <w:r>
              <w:rPr>
                <w:rFonts w:hint="default"/>
                <w:color w:val="auto"/>
                <w:lang w:val="en-US" w:eastAsia="zh-CN"/>
              </w:rPr>
              <w:t>m</w:t>
            </w:r>
          </w:p>
          <w:p w14:paraId="191156AE">
            <w:pPr>
              <w:pStyle w:val="31"/>
              <w:bidi w:val="0"/>
              <w:rPr>
                <w:rFonts w:hint="default"/>
                <w:color w:val="auto"/>
                <w:lang w:val="en-US" w:eastAsia="zh-CN"/>
              </w:rPr>
            </w:pPr>
            <w:r>
              <w:rPr>
                <w:rFonts w:hint="default"/>
                <w:color w:val="auto"/>
                <w:lang w:val="en-US" w:eastAsia="zh-CN"/>
              </w:rPr>
              <w:t>坡向：-</w:t>
            </w:r>
          </w:p>
          <w:p w14:paraId="711BE7E1">
            <w:pPr>
              <w:pStyle w:val="31"/>
              <w:bidi w:val="0"/>
              <w:rPr>
                <w:rFonts w:hint="default"/>
                <w:color w:val="auto"/>
                <w:lang w:val="en-US" w:eastAsia="zh-CN"/>
              </w:rPr>
            </w:pPr>
            <w:r>
              <w:rPr>
                <w:rFonts w:hint="default"/>
                <w:color w:val="auto"/>
                <w:lang w:val="en-US" w:eastAsia="zh-CN"/>
              </w:rPr>
              <w:t>坡位：0°</w:t>
            </w:r>
          </w:p>
        </w:tc>
        <w:tc>
          <w:tcPr>
            <w:tcW w:w="2610" w:type="dxa"/>
            <w:tcBorders>
              <w:tl2br w:val="nil"/>
              <w:tr2bl w:val="nil"/>
            </w:tcBorders>
            <w:noWrap w:val="0"/>
            <w:tcMar>
              <w:top w:w="0" w:type="dxa"/>
              <w:left w:w="108" w:type="dxa"/>
              <w:bottom w:w="0" w:type="dxa"/>
              <w:right w:w="108" w:type="dxa"/>
            </w:tcMar>
            <w:vAlign w:val="center"/>
          </w:tcPr>
          <w:p w14:paraId="7F4B89F2">
            <w:pPr>
              <w:pStyle w:val="31"/>
              <w:bidi w:val="0"/>
              <w:rPr>
                <w:rFonts w:hint="default"/>
                <w:color w:val="auto"/>
                <w:lang w:eastAsia="zh-CN"/>
              </w:rPr>
            </w:pPr>
            <w:r>
              <w:rPr>
                <w:rFonts w:hint="default"/>
                <w:color w:val="auto"/>
                <w:lang w:eastAsia="zh-CN"/>
              </w:rPr>
              <w:t>湖面水下主要沉水多年生植物，是鱼类的重要食物</w:t>
            </w:r>
          </w:p>
        </w:tc>
        <w:tc>
          <w:tcPr>
            <w:tcW w:w="628" w:type="dxa"/>
            <w:tcBorders>
              <w:tl2br w:val="nil"/>
              <w:tr2bl w:val="nil"/>
            </w:tcBorders>
            <w:noWrap w:val="0"/>
            <w:tcMar>
              <w:top w:w="0" w:type="dxa"/>
              <w:left w:w="108" w:type="dxa"/>
              <w:bottom w:w="0" w:type="dxa"/>
              <w:right w:w="108" w:type="dxa"/>
            </w:tcMar>
            <w:vAlign w:val="center"/>
          </w:tcPr>
          <w:p w14:paraId="1872F35C">
            <w:pPr>
              <w:pStyle w:val="31"/>
              <w:bidi w:val="0"/>
              <w:rPr>
                <w:rFonts w:hint="default"/>
                <w:color w:val="auto"/>
                <w:lang w:val="en-US" w:eastAsia="zh-CN"/>
              </w:rPr>
            </w:pPr>
            <w:r>
              <w:rPr>
                <w:rFonts w:hint="eastAsia"/>
                <w:color w:val="auto"/>
                <w:lang w:val="en-US" w:eastAsia="zh-CN"/>
              </w:rPr>
              <w:t>90</w:t>
            </w:r>
          </w:p>
        </w:tc>
        <w:tc>
          <w:tcPr>
            <w:tcW w:w="3642" w:type="dxa"/>
            <w:tcBorders>
              <w:tl2br w:val="nil"/>
              <w:tr2bl w:val="nil"/>
            </w:tcBorders>
            <w:noWrap w:val="0"/>
            <w:tcMar>
              <w:top w:w="0" w:type="dxa"/>
              <w:left w:w="108" w:type="dxa"/>
              <w:bottom w:w="0" w:type="dxa"/>
              <w:right w:w="108" w:type="dxa"/>
            </w:tcMar>
            <w:vAlign w:val="center"/>
          </w:tcPr>
          <w:p w14:paraId="2C820809">
            <w:pPr>
              <w:pStyle w:val="31"/>
              <w:bidi w:val="0"/>
              <w:rPr>
                <w:rFonts w:hint="default"/>
                <w:color w:val="auto"/>
                <w:lang w:eastAsia="zh-CN"/>
              </w:rPr>
            </w:pPr>
            <w:r>
              <w:rPr>
                <w:color w:val="auto"/>
              </w:rPr>
              <w:drawing>
                <wp:inline distT="0" distB="0" distL="114300" distR="114300">
                  <wp:extent cx="2360930" cy="1791335"/>
                  <wp:effectExtent l="0" t="0" r="1270" b="18415"/>
                  <wp:docPr id="7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6"/>
                          <pic:cNvPicPr>
                            <a:picLocks noChangeAspect="1"/>
                          </pic:cNvPicPr>
                        </pic:nvPicPr>
                        <pic:blipFill>
                          <a:blip r:embed="rId72"/>
                          <a:stretch>
                            <a:fillRect/>
                          </a:stretch>
                        </pic:blipFill>
                        <pic:spPr>
                          <a:xfrm>
                            <a:off x="0" y="0"/>
                            <a:ext cx="2360930" cy="1791335"/>
                          </a:xfrm>
                          <a:prstGeom prst="rect">
                            <a:avLst/>
                          </a:prstGeom>
                          <a:noFill/>
                          <a:ln>
                            <a:noFill/>
                          </a:ln>
                        </pic:spPr>
                      </pic:pic>
                    </a:graphicData>
                  </a:graphic>
                </wp:inline>
              </w:drawing>
            </w:r>
          </w:p>
        </w:tc>
      </w:tr>
    </w:tbl>
    <w:p w14:paraId="42FDD24D">
      <w:pPr>
        <w:rPr>
          <w:rFonts w:hint="eastAsia"/>
          <w:color w:val="auto"/>
          <w:highlight w:val="yellow"/>
        </w:rPr>
      </w:pPr>
    </w:p>
    <w:p w14:paraId="001D7F2C">
      <w:pPr>
        <w:pageBreakBefore w:val="0"/>
        <w:kinsoku/>
        <w:wordWrap/>
        <w:overflowPunct/>
        <w:topLinePunct w:val="0"/>
        <w:bidi w:val="0"/>
        <w:snapToGrid/>
        <w:jc w:val="center"/>
        <w:textAlignment w:val="auto"/>
        <w:rPr>
          <w:rFonts w:hint="eastAsia" w:ascii="Times New Roman" w:hAnsi="Times New Roman" w:eastAsia="黑体" w:cs="Times New Roman"/>
          <w:b w:val="0"/>
          <w:bCs w:val="0"/>
          <w:color w:val="auto"/>
          <w:sz w:val="24"/>
          <w:szCs w:val="24"/>
          <w:lang w:val="en-US" w:eastAsia="zh-CN"/>
        </w:rPr>
        <w:sectPr>
          <w:pgSz w:w="16838" w:h="11906" w:orient="landscape"/>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22575B71">
      <w:pPr>
        <w:pStyle w:val="5"/>
        <w:bidi w:val="0"/>
        <w:rPr>
          <w:rFonts w:hint="default"/>
          <w:color w:val="auto"/>
          <w:lang w:val="en-US" w:eastAsia="zh-CN"/>
        </w:rPr>
      </w:pPr>
      <w:r>
        <w:rPr>
          <w:rFonts w:hint="eastAsia"/>
          <w:color w:val="auto"/>
          <w:lang w:val="en-US" w:eastAsia="zh-CN"/>
        </w:rPr>
        <w:t>植物区系</w:t>
      </w:r>
    </w:p>
    <w:p w14:paraId="170F73A0">
      <w:pPr>
        <w:bidi w:val="0"/>
        <w:rPr>
          <w:rFonts w:hint="default"/>
          <w:color w:val="auto"/>
        </w:rPr>
      </w:pPr>
      <w:r>
        <w:rPr>
          <w:rFonts w:hint="default"/>
          <w:color w:val="auto"/>
        </w:rPr>
        <w:t>依据《中国种子植物区系地理》，评价区植物区系属东亚植物区、华东地区、黄淮平原亚地区，以栽培为主。</w:t>
      </w:r>
    </w:p>
    <w:p w14:paraId="6392D22F">
      <w:pPr>
        <w:bidi w:val="0"/>
        <w:rPr>
          <w:rFonts w:hint="default" w:ascii="Times New Roman" w:hAnsi="Times New Roman" w:eastAsia="宋体" w:cs="Times New Roman"/>
          <w:color w:val="auto"/>
          <w:szCs w:val="24"/>
        </w:rPr>
      </w:pPr>
      <w:r>
        <w:rPr>
          <w:rFonts w:hint="default"/>
          <w:color w:val="auto"/>
        </w:rPr>
        <w:t>本区</w:t>
      </w:r>
      <w:r>
        <w:rPr>
          <w:rFonts w:hint="default" w:ascii="Times New Roman" w:hAnsi="Times New Roman" w:eastAsia="宋体" w:cs="Times New Roman"/>
          <w:color w:val="auto"/>
          <w:szCs w:val="24"/>
        </w:rPr>
        <w:t>系包括安徽、江苏大部分以及山东东南部的部分地区，淮河、长江两大水系纵横交错，地势平坦，海拔仅100~200m，西部大别山海拔较高，最高峰1774m。本区农垦历史悠长，自然植被绝大部分已不复存在。在丘陵和山地残存有落叶和常绿阔叶混交林，但常绿阔叶树种比例不大，只在低海拔，局部避风向阳湿润的谷地有较耐旱的青冈（</w:t>
      </w:r>
      <w:r>
        <w:rPr>
          <w:rFonts w:hint="default" w:ascii="Times New Roman" w:hAnsi="Times New Roman" w:eastAsia="宋体" w:cs="Times New Roman"/>
          <w:i/>
          <w:iCs/>
          <w:color w:val="auto"/>
          <w:szCs w:val="24"/>
        </w:rPr>
        <w:t>QuercusglaucaThunb</w:t>
      </w:r>
      <w:r>
        <w:rPr>
          <w:rFonts w:hint="default" w:ascii="Times New Roman" w:hAnsi="Times New Roman" w:eastAsia="宋体" w:cs="Times New Roman"/>
          <w:color w:val="auto"/>
          <w:szCs w:val="24"/>
        </w:rPr>
        <w:t>）、石栎（</w:t>
      </w:r>
      <w:r>
        <w:rPr>
          <w:rFonts w:hint="default" w:ascii="Times New Roman" w:hAnsi="Times New Roman" w:eastAsia="宋体" w:cs="Times New Roman"/>
          <w:i/>
          <w:iCs/>
          <w:color w:val="auto"/>
          <w:szCs w:val="24"/>
        </w:rPr>
        <w:t>Lithocarpusglaber</w:t>
      </w:r>
      <w:r>
        <w:rPr>
          <w:rFonts w:hint="default" w:ascii="Times New Roman" w:hAnsi="Times New Roman" w:eastAsia="宋体" w:cs="Times New Roman"/>
          <w:color w:val="auto"/>
          <w:szCs w:val="24"/>
        </w:rPr>
        <w:t>）、冬青（</w:t>
      </w:r>
      <w:r>
        <w:rPr>
          <w:rFonts w:hint="default" w:ascii="Times New Roman" w:hAnsi="Times New Roman" w:eastAsia="宋体" w:cs="Times New Roman"/>
          <w:i/>
          <w:iCs/>
          <w:color w:val="auto"/>
          <w:szCs w:val="24"/>
        </w:rPr>
        <w:t>IlexchinensisSims</w:t>
      </w:r>
      <w:r>
        <w:rPr>
          <w:rFonts w:hint="default" w:ascii="Times New Roman" w:hAnsi="Times New Roman" w:eastAsia="宋体" w:cs="Times New Roman"/>
          <w:color w:val="auto"/>
          <w:szCs w:val="24"/>
        </w:rPr>
        <w:t>）等分布。落叶阔叶林以麻栎（</w:t>
      </w:r>
      <w:r>
        <w:rPr>
          <w:rFonts w:hint="default" w:ascii="Times New Roman" w:hAnsi="Times New Roman" w:eastAsia="宋体" w:cs="Times New Roman"/>
          <w:i/>
          <w:iCs/>
          <w:color w:val="auto"/>
          <w:szCs w:val="24"/>
        </w:rPr>
        <w:t>QuercusacutissimaCarruth</w:t>
      </w:r>
      <w:r>
        <w:rPr>
          <w:rFonts w:hint="default" w:ascii="Times New Roman" w:hAnsi="Times New Roman" w:eastAsia="宋体" w:cs="Times New Roman"/>
          <w:color w:val="auto"/>
          <w:szCs w:val="24"/>
        </w:rPr>
        <w:t>）、茅栗（</w:t>
      </w:r>
      <w:r>
        <w:rPr>
          <w:rFonts w:hint="default" w:ascii="Times New Roman" w:hAnsi="Times New Roman" w:eastAsia="宋体" w:cs="Times New Roman"/>
          <w:i/>
          <w:iCs/>
          <w:color w:val="auto"/>
          <w:szCs w:val="24"/>
        </w:rPr>
        <w:t>CastaneaseguiniiDode</w:t>
      </w:r>
      <w:r>
        <w:rPr>
          <w:rFonts w:hint="default" w:ascii="Times New Roman" w:hAnsi="Times New Roman" w:eastAsia="宋体" w:cs="Times New Roman"/>
          <w:color w:val="auto"/>
          <w:szCs w:val="24"/>
        </w:rPr>
        <w:t>）、化香（</w:t>
      </w:r>
      <w:r>
        <w:rPr>
          <w:rFonts w:hint="default" w:ascii="Times New Roman" w:hAnsi="Times New Roman" w:eastAsia="宋体" w:cs="Times New Roman"/>
          <w:i/>
          <w:iCs/>
          <w:color w:val="auto"/>
          <w:szCs w:val="24"/>
        </w:rPr>
        <w:t>PlatycaryastrobilaceaSieb</w:t>
      </w:r>
      <w:r>
        <w:rPr>
          <w:rFonts w:hint="default" w:ascii="Times New Roman" w:hAnsi="Times New Roman" w:eastAsia="宋体" w:cs="Times New Roman"/>
          <w:color w:val="auto"/>
          <w:szCs w:val="24"/>
        </w:rPr>
        <w:t>）、山槐（</w:t>
      </w:r>
      <w:r>
        <w:rPr>
          <w:rFonts w:hint="default" w:ascii="Times New Roman" w:hAnsi="Times New Roman" w:eastAsia="宋体" w:cs="Times New Roman"/>
          <w:i/>
          <w:iCs/>
          <w:color w:val="auto"/>
          <w:szCs w:val="24"/>
        </w:rPr>
        <w:t>Albiziakalkora</w:t>
      </w:r>
      <w:r>
        <w:rPr>
          <w:rFonts w:hint="default" w:ascii="Times New Roman" w:hAnsi="Times New Roman" w:eastAsia="宋体" w:cs="Times New Roman"/>
          <w:color w:val="auto"/>
          <w:szCs w:val="24"/>
        </w:rPr>
        <w:t>）、朴树（</w:t>
      </w:r>
      <w:r>
        <w:rPr>
          <w:rFonts w:hint="default" w:ascii="Times New Roman" w:hAnsi="Times New Roman" w:eastAsia="宋体" w:cs="Times New Roman"/>
          <w:i/>
          <w:iCs/>
          <w:color w:val="auto"/>
          <w:szCs w:val="24"/>
        </w:rPr>
        <w:t>CeltissinensisPers</w:t>
      </w:r>
      <w:r>
        <w:rPr>
          <w:rFonts w:hint="default" w:ascii="Times New Roman" w:hAnsi="Times New Roman" w:eastAsia="宋体" w:cs="Times New Roman"/>
          <w:color w:val="auto"/>
          <w:szCs w:val="24"/>
        </w:rPr>
        <w:t>）占优势，已逐渐向华北地区过渡。无亚地区特有属。</w:t>
      </w:r>
    </w:p>
    <w:p w14:paraId="0E7271CC">
      <w:pPr>
        <w:pStyle w:val="5"/>
        <w:bidi w:val="0"/>
        <w:rPr>
          <w:rFonts w:hint="default"/>
          <w:color w:val="auto"/>
          <w:lang w:val="en-US" w:eastAsia="zh-CN"/>
        </w:rPr>
      </w:pPr>
      <w:r>
        <w:rPr>
          <w:rFonts w:hint="default"/>
          <w:color w:val="auto"/>
          <w:lang w:val="en-US" w:eastAsia="zh-CN"/>
        </w:rPr>
        <w:t>植被区划</w:t>
      </w:r>
    </w:p>
    <w:p w14:paraId="30BAFDA8">
      <w:pPr>
        <w:bidi w:val="0"/>
        <w:rPr>
          <w:rFonts w:hint="default"/>
          <w:color w:val="auto"/>
        </w:rPr>
      </w:pPr>
      <w:r>
        <w:rPr>
          <w:rFonts w:hint="default"/>
          <w:color w:val="auto"/>
        </w:rPr>
        <w:t>依据《中国植被：类型和区划—解读&lt;中华人民共和国植被图（1</w:t>
      </w:r>
      <w:r>
        <w:rPr>
          <w:rFonts w:hint="eastAsia"/>
          <w:color w:val="auto"/>
          <w:lang w:val="en-US" w:eastAsia="zh-CN"/>
        </w:rPr>
        <w:t>:</w:t>
      </w:r>
      <w:r>
        <w:rPr>
          <w:rFonts w:hint="default"/>
          <w:color w:val="auto"/>
        </w:rPr>
        <w:t>1000000）&gt;》，评价区属亚热带常绿阔叶林区域，</w:t>
      </w:r>
      <w:r>
        <w:rPr>
          <w:rFonts w:hint="eastAsia"/>
          <w:color w:val="auto"/>
          <w:lang w:val="en-US" w:eastAsia="zh-CN"/>
        </w:rPr>
        <w:t>为</w:t>
      </w:r>
      <w:r>
        <w:rPr>
          <w:rFonts w:hint="default"/>
          <w:color w:val="auto"/>
        </w:rPr>
        <w:t>中亚热带常绿阔叶林北部亚地带</w:t>
      </w:r>
      <w:r>
        <w:rPr>
          <w:rFonts w:hint="eastAsia"/>
          <w:color w:val="auto"/>
          <w:lang w:eastAsia="zh-CN"/>
        </w:rPr>
        <w:t>、浙皖山地丘陵青冈栎、苦槠林，</w:t>
      </w:r>
      <w:r>
        <w:rPr>
          <w:rFonts w:hint="eastAsia"/>
          <w:color w:val="auto"/>
          <w:lang w:val="en-US" w:eastAsia="zh-CN"/>
        </w:rPr>
        <w:t>属</w:t>
      </w:r>
      <w:r>
        <w:rPr>
          <w:rFonts w:hint="eastAsia"/>
          <w:color w:val="auto"/>
          <w:lang w:eastAsia="zh-CN"/>
        </w:rPr>
        <w:t>栽培植被区</w:t>
      </w:r>
      <w:r>
        <w:rPr>
          <w:rFonts w:hint="default"/>
          <w:color w:val="auto"/>
        </w:rPr>
        <w:t>。</w:t>
      </w:r>
    </w:p>
    <w:p w14:paraId="2602DAB7">
      <w:pPr>
        <w:bidi w:val="0"/>
        <w:rPr>
          <w:rFonts w:hint="default"/>
          <w:color w:val="auto"/>
        </w:rPr>
      </w:pPr>
      <w:r>
        <w:rPr>
          <w:rFonts w:hint="default"/>
          <w:color w:val="auto"/>
        </w:rPr>
        <w:t>本区域包括淮河、秦岭到北回归线（南岭）之间的广大亚热带地区，向西直到青藏高原边缘的山地。本区域有种子植物14600种，分属于200科，2600属，分别占全国总数的60%、59.6%和60%左右。特有种属的比例大，特产于中国的单种属中，就有77属是分布于这一地区的。地区的地带性典型植被是亚热带常绿阔叶林，壳斗科中的常绿种类、樟科、山茶科和竹亚科的植物，是其植被的重要组成成分。</w:t>
      </w:r>
    </w:p>
    <w:p w14:paraId="7EEE525A">
      <w:pPr>
        <w:bidi w:val="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w:t>
      </w:r>
      <w:r>
        <w:rPr>
          <w:rFonts w:hint="eastAsia" w:ascii="Times New Roman" w:hAnsi="Times New Roman" w:eastAsia="宋体" w:cs="Times New Roman"/>
          <w:color w:val="auto"/>
          <w:sz w:val="24"/>
          <w:szCs w:val="24"/>
          <w:lang w:val="en-US" w:eastAsia="zh-CN"/>
        </w:rPr>
        <w:t>区域</w:t>
      </w:r>
      <w:r>
        <w:rPr>
          <w:rFonts w:hint="default" w:ascii="Times New Roman" w:hAnsi="Times New Roman" w:eastAsia="宋体" w:cs="Times New Roman"/>
          <w:color w:val="auto"/>
          <w:sz w:val="24"/>
          <w:szCs w:val="24"/>
        </w:rPr>
        <w:t>长期受人类活动的影响，自然植被仅存于交通不便的山区，而在平原、低丘和盆地都已被农业植被、灌丛和草丛，以及杉木（</w:t>
      </w:r>
      <w:r>
        <w:rPr>
          <w:rFonts w:hint="default" w:ascii="Times New Roman" w:hAnsi="Times New Roman" w:eastAsia="宋体" w:cs="Times New Roman"/>
          <w:i/>
          <w:iCs/>
          <w:color w:val="auto"/>
          <w:sz w:val="24"/>
          <w:szCs w:val="24"/>
        </w:rPr>
        <w:t>Cunningharmialanceolata</w:t>
      </w:r>
      <w:r>
        <w:rPr>
          <w:rFonts w:hint="default" w:ascii="Times New Roman" w:hAnsi="Times New Roman" w:eastAsia="宋体" w:cs="Times New Roman"/>
          <w:color w:val="auto"/>
          <w:sz w:val="24"/>
          <w:szCs w:val="24"/>
        </w:rPr>
        <w:t>）、马尾松</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i/>
          <w:iCs/>
          <w:color w:val="auto"/>
          <w:sz w:val="24"/>
          <w:szCs w:val="24"/>
        </w:rPr>
        <w:t>Pinusmassoniana</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、油茶（</w:t>
      </w:r>
      <w:r>
        <w:rPr>
          <w:rFonts w:hint="default" w:ascii="Times New Roman" w:hAnsi="Times New Roman" w:eastAsia="宋体" w:cs="Times New Roman"/>
          <w:i/>
          <w:iCs/>
          <w:color w:val="auto"/>
          <w:sz w:val="24"/>
          <w:szCs w:val="24"/>
        </w:rPr>
        <w:t>Cameliaoleifera</w:t>
      </w:r>
      <w:r>
        <w:rPr>
          <w:rFonts w:hint="default" w:ascii="Times New Roman" w:hAnsi="Times New Roman" w:eastAsia="宋体" w:cs="Times New Roman"/>
          <w:color w:val="auto"/>
          <w:sz w:val="24"/>
          <w:szCs w:val="24"/>
        </w:rPr>
        <w:t>）和竹林等用材林、经济林和茶园所代替。</w:t>
      </w:r>
    </w:p>
    <w:p w14:paraId="2FD44540">
      <w:pPr>
        <w:pStyle w:val="5"/>
        <w:bidi w:val="0"/>
        <w:rPr>
          <w:rFonts w:hint="default"/>
          <w:color w:val="auto"/>
          <w:lang w:val="en-US" w:eastAsia="zh-CN"/>
        </w:rPr>
      </w:pPr>
      <w:r>
        <w:rPr>
          <w:rFonts w:hint="eastAsia"/>
          <w:color w:val="auto"/>
          <w:lang w:val="en-US" w:eastAsia="zh-CN"/>
        </w:rPr>
        <w:t>主要植被类型</w:t>
      </w:r>
    </w:p>
    <w:p w14:paraId="7FB12FC6">
      <w:pPr>
        <w:bidi w:val="0"/>
        <w:rPr>
          <w:rFonts w:hint="default" w:ascii="Times New Roman" w:hAnsi="Times New Roman" w:eastAsia="宋体" w:cs="Times New Roman"/>
          <w:color w:val="auto"/>
          <w:sz w:val="24"/>
          <w:szCs w:val="20"/>
          <w:lang w:val="zh-CN" w:eastAsia="zh-CN"/>
        </w:rPr>
      </w:pPr>
      <w:r>
        <w:rPr>
          <w:rFonts w:hint="eastAsia" w:ascii="Times New Roman" w:hAnsi="Times New Roman" w:eastAsia="宋体" w:cs="Times New Roman"/>
          <w:color w:val="auto"/>
          <w:sz w:val="24"/>
          <w:szCs w:val="20"/>
          <w:lang w:val="en-US" w:eastAsia="zh-CN"/>
        </w:rPr>
        <w:t>根据吴征镒对中国种子植物分布类型的划分系统，</w:t>
      </w:r>
      <w:r>
        <w:rPr>
          <w:rFonts w:hint="default" w:ascii="Times New Roman" w:hAnsi="Times New Roman" w:eastAsia="宋体" w:cs="Times New Roman"/>
          <w:color w:val="auto"/>
          <w:sz w:val="24"/>
          <w:szCs w:val="20"/>
          <w:lang w:val="en-US" w:eastAsia="zh-CN"/>
        </w:rPr>
        <w:t>参考《安徽植被》</w:t>
      </w:r>
      <w:r>
        <w:rPr>
          <w:rFonts w:hint="eastAsia" w:ascii="Times New Roman" w:hAnsi="Times New Roman" w:eastAsia="宋体" w:cs="Times New Roman"/>
          <w:color w:val="auto"/>
          <w:sz w:val="24"/>
          <w:szCs w:val="20"/>
          <w:lang w:val="en-US" w:eastAsia="zh-CN"/>
        </w:rPr>
        <w:t>并</w:t>
      </w:r>
      <w:r>
        <w:rPr>
          <w:rFonts w:hint="eastAsia" w:ascii="Times New Roman" w:hAnsi="Times New Roman" w:eastAsia="宋体" w:cs="Times New Roman"/>
          <w:color w:val="auto"/>
          <w:sz w:val="24"/>
          <w:szCs w:val="20"/>
          <w:lang w:val="zh-CN" w:eastAsia="zh-CN"/>
        </w:rPr>
        <w:t>结合</w:t>
      </w:r>
      <w:r>
        <w:rPr>
          <w:rFonts w:hint="default" w:ascii="Times New Roman" w:hAnsi="Times New Roman" w:eastAsia="宋体" w:cs="Times New Roman"/>
          <w:color w:val="auto"/>
          <w:sz w:val="24"/>
          <w:szCs w:val="20"/>
          <w:lang w:val="zh-CN" w:eastAsia="zh-CN"/>
        </w:rPr>
        <w:t>卫星遥感影像解译</w:t>
      </w:r>
      <w:r>
        <w:rPr>
          <w:rFonts w:hint="eastAsia" w:ascii="Times New Roman" w:hAnsi="Times New Roman" w:eastAsia="宋体" w:cs="Times New Roman"/>
          <w:color w:val="auto"/>
          <w:sz w:val="24"/>
          <w:szCs w:val="20"/>
          <w:lang w:val="zh-CN" w:eastAsia="zh-CN"/>
        </w:rPr>
        <w:t>，</w:t>
      </w:r>
      <w:r>
        <w:rPr>
          <w:rFonts w:hint="default" w:ascii="Times New Roman" w:hAnsi="Times New Roman" w:eastAsia="宋体" w:cs="Times New Roman"/>
          <w:color w:val="auto"/>
          <w:sz w:val="24"/>
          <w:szCs w:val="20"/>
          <w:lang w:val="zh-CN" w:eastAsia="zh-CN"/>
        </w:rPr>
        <w:t>对</w:t>
      </w:r>
      <w:r>
        <w:rPr>
          <w:rFonts w:hint="eastAsia" w:ascii="Times New Roman" w:hAnsi="Times New Roman" w:eastAsia="宋体" w:cs="Times New Roman"/>
          <w:color w:val="auto"/>
          <w:sz w:val="24"/>
          <w:szCs w:val="20"/>
          <w:lang w:val="zh-CN" w:eastAsia="zh-CN"/>
        </w:rPr>
        <w:t>评价区</w:t>
      </w:r>
      <w:r>
        <w:rPr>
          <w:rFonts w:hint="eastAsia" w:ascii="Times New Roman" w:hAnsi="Times New Roman" w:eastAsia="宋体" w:cs="Times New Roman"/>
          <w:color w:val="auto"/>
          <w:sz w:val="24"/>
          <w:szCs w:val="20"/>
          <w:lang w:val="en-US" w:eastAsia="zh-CN"/>
        </w:rPr>
        <w:t>的植被类型</w:t>
      </w:r>
      <w:r>
        <w:rPr>
          <w:rFonts w:hint="default" w:ascii="Times New Roman" w:hAnsi="Times New Roman" w:eastAsia="宋体" w:cs="Times New Roman"/>
          <w:color w:val="auto"/>
          <w:sz w:val="24"/>
          <w:szCs w:val="20"/>
          <w:lang w:val="zh-CN" w:eastAsia="zh-CN"/>
        </w:rPr>
        <w:t>进行调查与分析。</w:t>
      </w:r>
    </w:p>
    <w:p w14:paraId="263CBB6A">
      <w:pPr>
        <w:bidi w:val="0"/>
        <w:rPr>
          <w:rFonts w:hint="default" w:ascii="Times New Roman" w:hAnsi="Times New Roman" w:eastAsia="宋体" w:cs="Times New Roman"/>
          <w:color w:val="auto"/>
          <w:sz w:val="24"/>
          <w:szCs w:val="20"/>
          <w:lang w:val="en-US" w:eastAsia="zh-CN"/>
        </w:rPr>
      </w:pPr>
      <w:r>
        <w:rPr>
          <w:rFonts w:hint="eastAsia" w:ascii="Times New Roman" w:hAnsi="Times New Roman" w:eastAsia="宋体" w:cs="Times New Roman"/>
          <w:color w:val="auto"/>
          <w:kern w:val="2"/>
          <w:sz w:val="24"/>
          <w:szCs w:val="21"/>
          <w:shd w:val="clear" w:color="auto" w:fill="auto"/>
          <w:lang w:val="en-US" w:eastAsia="zh-CN" w:bidi="ar-SA"/>
        </w:rPr>
        <w:t>可以看出，</w:t>
      </w:r>
      <w:r>
        <w:rPr>
          <w:rFonts w:hint="eastAsia" w:cs="Times New Roman"/>
          <w:color w:val="auto"/>
          <w:kern w:val="2"/>
          <w:sz w:val="24"/>
          <w:szCs w:val="21"/>
          <w:shd w:val="clear" w:color="auto" w:fill="auto"/>
          <w:lang w:val="en-US" w:eastAsia="zh-CN" w:bidi="ar-SA"/>
        </w:rPr>
        <w:t>评价区内</w:t>
      </w:r>
      <w:r>
        <w:rPr>
          <w:rFonts w:hint="eastAsia" w:ascii="Times New Roman" w:hAnsi="Times New Roman" w:eastAsia="宋体" w:cs="Times New Roman"/>
          <w:color w:val="auto"/>
          <w:sz w:val="24"/>
          <w:szCs w:val="20"/>
          <w:lang w:val="en-US" w:eastAsia="zh-CN"/>
        </w:rPr>
        <w:t>分布最广泛的植被类型为</w:t>
      </w:r>
      <w:r>
        <w:rPr>
          <w:rFonts w:hint="eastAsia"/>
          <w:color w:val="auto"/>
          <w:lang w:val="en-US" w:eastAsia="zh-CN"/>
        </w:rPr>
        <w:t>乔木林</w:t>
      </w:r>
      <w:r>
        <w:rPr>
          <w:rFonts w:hint="eastAsia" w:cs="Times New Roman"/>
          <w:color w:val="auto"/>
          <w:sz w:val="24"/>
          <w:szCs w:val="20"/>
          <w:lang w:val="en-US" w:eastAsia="zh-CN"/>
        </w:rPr>
        <w:t>，面积为</w:t>
      </w:r>
      <w:r>
        <w:rPr>
          <w:rFonts w:hint="eastAsia"/>
          <w:color w:val="auto"/>
          <w:lang w:val="en-US" w:eastAsia="zh-CN"/>
        </w:rPr>
        <w:t>852.17h</w:t>
      </w:r>
      <w:r>
        <w:rPr>
          <w:rFonts w:hint="eastAsia" w:cs="Times New Roman"/>
          <w:color w:val="auto"/>
          <w:sz w:val="24"/>
          <w:szCs w:val="20"/>
          <w:lang w:val="en-US" w:eastAsia="zh-CN"/>
        </w:rPr>
        <w:t>m</w:t>
      </w:r>
      <w:r>
        <w:rPr>
          <w:rFonts w:hint="eastAsia" w:cs="Times New Roman"/>
          <w:color w:val="auto"/>
          <w:sz w:val="24"/>
          <w:szCs w:val="20"/>
          <w:vertAlign w:val="superscript"/>
          <w:lang w:val="en-US" w:eastAsia="zh-CN"/>
        </w:rPr>
        <w:t>2</w:t>
      </w:r>
      <w:r>
        <w:rPr>
          <w:rFonts w:hint="eastAsia" w:cs="Times New Roman"/>
          <w:color w:val="auto"/>
          <w:sz w:val="24"/>
          <w:szCs w:val="20"/>
          <w:lang w:val="en-US" w:eastAsia="zh-CN"/>
        </w:rPr>
        <w:t>，</w:t>
      </w:r>
      <w:r>
        <w:rPr>
          <w:rFonts w:hint="eastAsia" w:ascii="Times New Roman" w:hAnsi="Times New Roman" w:eastAsia="宋体" w:cs="Times New Roman"/>
          <w:color w:val="auto"/>
          <w:sz w:val="24"/>
          <w:szCs w:val="20"/>
          <w:vertAlign w:val="baseline"/>
          <w:lang w:val="en-US" w:eastAsia="zh-CN"/>
        </w:rPr>
        <w:t>占评价区面积的</w:t>
      </w:r>
      <w:r>
        <w:rPr>
          <w:rFonts w:hint="eastAsia"/>
          <w:color w:val="auto"/>
          <w:lang w:val="en-US" w:eastAsia="zh-CN"/>
        </w:rPr>
        <w:t>42.61</w:t>
      </w:r>
      <w:r>
        <w:rPr>
          <w:rFonts w:hint="eastAsia" w:ascii="Times New Roman" w:hAnsi="Times New Roman" w:eastAsia="宋体" w:cs="Times New Roman"/>
          <w:color w:val="auto"/>
          <w:sz w:val="24"/>
          <w:szCs w:val="20"/>
          <w:vertAlign w:val="baseline"/>
          <w:lang w:val="en-US" w:eastAsia="zh-CN"/>
        </w:rPr>
        <w:t>%</w:t>
      </w:r>
      <w:r>
        <w:rPr>
          <w:rFonts w:hint="eastAsia" w:ascii="Times New Roman" w:hAnsi="Times New Roman" w:eastAsia="宋体" w:cs="Times New Roman"/>
          <w:color w:val="auto"/>
          <w:sz w:val="24"/>
          <w:szCs w:val="20"/>
          <w:lang w:val="en-US" w:eastAsia="zh-CN"/>
        </w:rPr>
        <w:t>。</w:t>
      </w:r>
    </w:p>
    <w:p w14:paraId="0D902DE8">
      <w:pPr>
        <w:bidi w:val="0"/>
        <w:rPr>
          <w:rFonts w:hint="eastAsia"/>
          <w:color w:val="auto"/>
          <w:lang w:val="en-US" w:eastAsia="zh-CN"/>
        </w:rPr>
      </w:pPr>
      <w:r>
        <w:rPr>
          <w:rFonts w:hint="eastAsia"/>
          <w:color w:val="auto"/>
          <w:lang w:val="en-US" w:eastAsia="zh-CN"/>
        </w:rPr>
        <w:t>评价区植被类型分布图见下表和下图：</w:t>
      </w:r>
    </w:p>
    <w:p w14:paraId="5B8ABDB4">
      <w:pPr>
        <w:pStyle w:val="11"/>
        <w:bidi w:val="0"/>
        <w:rPr>
          <w:color w:val="auto"/>
        </w:rPr>
      </w:pPr>
    </w:p>
    <w:p w14:paraId="7C057A2C">
      <w:pPr>
        <w:pStyle w:val="11"/>
        <w:bidi w:val="0"/>
        <w:rPr>
          <w:rFonts w:hint="eastAsia"/>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5</w:t>
      </w:r>
      <w:r>
        <w:rPr>
          <w:color w:val="auto"/>
        </w:rPr>
        <w:fldChar w:fldCharType="end"/>
      </w:r>
      <w:r>
        <w:rPr>
          <w:rFonts w:hint="eastAsia"/>
          <w:color w:val="auto"/>
        </w:rPr>
        <w:t>评价区植被类型统计</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50"/>
        <w:gridCol w:w="1134"/>
        <w:gridCol w:w="1134"/>
        <w:gridCol w:w="1134"/>
        <w:gridCol w:w="1134"/>
        <w:gridCol w:w="1134"/>
        <w:gridCol w:w="1134"/>
        <w:gridCol w:w="1134"/>
      </w:tblGrid>
      <w:tr w14:paraId="7C3BD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F2BC0">
            <w:pPr>
              <w:pStyle w:val="31"/>
              <w:bidi w:val="0"/>
              <w:jc w:val="center"/>
              <w:rPr>
                <w:rFonts w:hint="eastAsia"/>
                <w:color w:val="auto"/>
              </w:rPr>
            </w:pPr>
            <w:r>
              <w:rPr>
                <w:rFonts w:hint="eastAsia"/>
                <w:color w:val="auto"/>
                <w:lang w:val="en-US" w:eastAsia="zh-CN"/>
              </w:rPr>
              <w:t>植被类型</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6E3F">
            <w:pPr>
              <w:pStyle w:val="31"/>
              <w:bidi w:val="0"/>
              <w:jc w:val="center"/>
              <w:rPr>
                <w:rFonts w:hint="eastAsia"/>
                <w:color w:val="auto"/>
              </w:rPr>
            </w:pPr>
            <w:r>
              <w:rPr>
                <w:rFonts w:hint="eastAsia"/>
                <w:color w:val="auto"/>
                <w:lang w:val="en-US" w:eastAsia="zh-CN"/>
              </w:rPr>
              <w:t>乔木林</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BDF6">
            <w:pPr>
              <w:pStyle w:val="31"/>
              <w:bidi w:val="0"/>
              <w:jc w:val="center"/>
              <w:rPr>
                <w:rFonts w:hint="eastAsia"/>
                <w:color w:val="auto"/>
              </w:rPr>
            </w:pPr>
            <w:r>
              <w:rPr>
                <w:rFonts w:hint="eastAsia"/>
                <w:color w:val="auto"/>
                <w:lang w:val="en-US" w:eastAsia="zh-CN"/>
              </w:rPr>
              <w:t>竹林</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43614">
            <w:pPr>
              <w:pStyle w:val="31"/>
              <w:bidi w:val="0"/>
              <w:jc w:val="center"/>
              <w:rPr>
                <w:rFonts w:hint="eastAsia"/>
                <w:color w:val="auto"/>
              </w:rPr>
            </w:pPr>
            <w:r>
              <w:rPr>
                <w:rFonts w:hint="eastAsia"/>
                <w:color w:val="auto"/>
                <w:lang w:val="en-US" w:eastAsia="zh-CN"/>
              </w:rPr>
              <w:t>灌丛</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48E8F">
            <w:pPr>
              <w:pStyle w:val="31"/>
              <w:bidi w:val="0"/>
              <w:jc w:val="center"/>
              <w:rPr>
                <w:rFonts w:hint="eastAsia"/>
                <w:color w:val="auto"/>
              </w:rPr>
            </w:pPr>
            <w:r>
              <w:rPr>
                <w:rFonts w:hint="eastAsia"/>
                <w:color w:val="auto"/>
                <w:lang w:val="en-US" w:eastAsia="zh-CN"/>
              </w:rPr>
              <w:t>草丛</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C521">
            <w:pPr>
              <w:pStyle w:val="31"/>
              <w:bidi w:val="0"/>
              <w:jc w:val="center"/>
              <w:rPr>
                <w:rFonts w:hint="eastAsia"/>
                <w:color w:val="auto"/>
              </w:rPr>
            </w:pPr>
            <w:r>
              <w:rPr>
                <w:rFonts w:hint="eastAsia"/>
                <w:color w:val="auto"/>
                <w:lang w:val="en-US" w:eastAsia="zh-CN"/>
              </w:rPr>
              <w:t>农作物</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B116">
            <w:pPr>
              <w:pStyle w:val="31"/>
              <w:bidi w:val="0"/>
              <w:jc w:val="center"/>
              <w:rPr>
                <w:rFonts w:hint="eastAsia"/>
                <w:color w:val="auto"/>
              </w:rPr>
            </w:pPr>
            <w:r>
              <w:rPr>
                <w:rFonts w:hint="eastAsia"/>
                <w:color w:val="auto"/>
                <w:lang w:val="en-US" w:eastAsia="zh-CN"/>
              </w:rPr>
              <w:t>其他</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91903">
            <w:pPr>
              <w:pStyle w:val="31"/>
              <w:bidi w:val="0"/>
              <w:jc w:val="center"/>
              <w:rPr>
                <w:rFonts w:hint="eastAsia"/>
                <w:color w:val="auto"/>
              </w:rPr>
            </w:pPr>
            <w:r>
              <w:rPr>
                <w:rFonts w:hint="eastAsia"/>
                <w:color w:val="auto"/>
                <w:lang w:val="en-US" w:eastAsia="zh-CN"/>
              </w:rPr>
              <w:t>总和</w:t>
            </w:r>
          </w:p>
        </w:tc>
      </w:tr>
      <w:tr w14:paraId="64284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B83E">
            <w:pPr>
              <w:pStyle w:val="31"/>
              <w:bidi w:val="0"/>
              <w:jc w:val="center"/>
              <w:rPr>
                <w:rFonts w:hint="eastAsia"/>
                <w:color w:val="auto"/>
              </w:rPr>
            </w:pPr>
            <w:r>
              <w:rPr>
                <w:rFonts w:hint="eastAsia"/>
                <w:color w:val="auto"/>
                <w:lang w:val="en-US" w:eastAsia="zh-CN"/>
              </w:rPr>
              <w:t>面积（公顷）</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9420">
            <w:pPr>
              <w:pStyle w:val="31"/>
              <w:bidi w:val="0"/>
              <w:jc w:val="center"/>
              <w:rPr>
                <w:rFonts w:hint="eastAsia"/>
                <w:color w:val="auto"/>
              </w:rPr>
            </w:pPr>
            <w:r>
              <w:rPr>
                <w:rFonts w:hint="eastAsia"/>
                <w:color w:val="auto"/>
                <w:lang w:val="en-US" w:eastAsia="zh-CN"/>
              </w:rPr>
              <w:t>852.17</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12166">
            <w:pPr>
              <w:pStyle w:val="31"/>
              <w:bidi w:val="0"/>
              <w:jc w:val="center"/>
              <w:rPr>
                <w:rFonts w:hint="eastAsia"/>
                <w:color w:val="auto"/>
              </w:rPr>
            </w:pPr>
            <w:r>
              <w:rPr>
                <w:rFonts w:hint="eastAsia"/>
                <w:color w:val="auto"/>
                <w:lang w:val="en-US" w:eastAsia="zh-CN"/>
              </w:rPr>
              <w:t>36.39</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FA91">
            <w:pPr>
              <w:pStyle w:val="31"/>
              <w:bidi w:val="0"/>
              <w:jc w:val="center"/>
              <w:rPr>
                <w:rFonts w:hint="eastAsia"/>
                <w:color w:val="auto"/>
              </w:rPr>
            </w:pPr>
            <w:r>
              <w:rPr>
                <w:rFonts w:hint="eastAsia"/>
                <w:color w:val="auto"/>
                <w:lang w:val="en-US" w:eastAsia="zh-CN"/>
              </w:rPr>
              <w:t>44.97</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814E">
            <w:pPr>
              <w:pStyle w:val="31"/>
              <w:bidi w:val="0"/>
              <w:jc w:val="center"/>
              <w:rPr>
                <w:rFonts w:hint="eastAsia"/>
                <w:color w:val="auto"/>
              </w:rPr>
            </w:pPr>
            <w:r>
              <w:rPr>
                <w:rFonts w:hint="eastAsia"/>
                <w:color w:val="auto"/>
                <w:lang w:val="en-US" w:eastAsia="zh-CN"/>
              </w:rPr>
              <w:t>64.02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ABA84">
            <w:pPr>
              <w:pStyle w:val="31"/>
              <w:bidi w:val="0"/>
              <w:jc w:val="center"/>
              <w:rPr>
                <w:rFonts w:hint="eastAsia"/>
                <w:color w:val="auto"/>
              </w:rPr>
            </w:pPr>
            <w:r>
              <w:rPr>
                <w:rFonts w:hint="eastAsia"/>
                <w:color w:val="auto"/>
                <w:lang w:val="en-US" w:eastAsia="zh-CN"/>
              </w:rPr>
              <w:t>402.82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C01A">
            <w:pPr>
              <w:pStyle w:val="31"/>
              <w:bidi w:val="0"/>
              <w:jc w:val="center"/>
              <w:rPr>
                <w:rFonts w:hint="eastAsia"/>
                <w:color w:val="auto"/>
              </w:rPr>
            </w:pPr>
            <w:r>
              <w:rPr>
                <w:rFonts w:hint="eastAsia"/>
                <w:color w:val="auto"/>
                <w:lang w:val="en-US" w:eastAsia="zh-CN"/>
              </w:rPr>
              <w:t>599.38</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7D93">
            <w:pPr>
              <w:pStyle w:val="31"/>
              <w:bidi w:val="0"/>
              <w:jc w:val="center"/>
              <w:rPr>
                <w:rFonts w:hint="eastAsia"/>
                <w:color w:val="auto"/>
              </w:rPr>
            </w:pPr>
            <w:r>
              <w:rPr>
                <w:rFonts w:hint="eastAsia"/>
                <w:color w:val="auto"/>
                <w:lang w:val="en-US" w:eastAsia="zh-CN"/>
              </w:rPr>
              <w:t>1999.75</w:t>
            </w:r>
          </w:p>
        </w:tc>
      </w:tr>
      <w:tr w14:paraId="30970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4EB2">
            <w:pPr>
              <w:pStyle w:val="31"/>
              <w:bidi w:val="0"/>
              <w:jc w:val="center"/>
              <w:rPr>
                <w:rFonts w:hint="eastAsia"/>
                <w:color w:val="auto"/>
              </w:rPr>
            </w:pPr>
            <w:r>
              <w:rPr>
                <w:rFonts w:hint="eastAsia"/>
                <w:color w:val="auto"/>
                <w:lang w:val="en-US" w:eastAsia="zh-CN"/>
              </w:rPr>
              <w:t>占比（%）</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F8B0F">
            <w:pPr>
              <w:pStyle w:val="31"/>
              <w:bidi w:val="0"/>
              <w:jc w:val="center"/>
              <w:rPr>
                <w:rFonts w:hint="eastAsia"/>
                <w:color w:val="auto"/>
              </w:rPr>
            </w:pPr>
            <w:r>
              <w:rPr>
                <w:rFonts w:hint="eastAsia"/>
                <w:color w:val="auto"/>
                <w:lang w:val="en-US" w:eastAsia="zh-CN"/>
              </w:rPr>
              <w:t>42.61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6188F">
            <w:pPr>
              <w:pStyle w:val="31"/>
              <w:bidi w:val="0"/>
              <w:jc w:val="center"/>
              <w:rPr>
                <w:rFonts w:hint="eastAsia"/>
                <w:color w:val="auto"/>
              </w:rPr>
            </w:pPr>
            <w:r>
              <w:rPr>
                <w:rFonts w:hint="eastAsia"/>
                <w:color w:val="auto"/>
                <w:lang w:val="en-US" w:eastAsia="zh-CN"/>
              </w:rPr>
              <w:t>1.82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8C82">
            <w:pPr>
              <w:pStyle w:val="31"/>
              <w:bidi w:val="0"/>
              <w:jc w:val="center"/>
              <w:rPr>
                <w:rFonts w:hint="eastAsia"/>
                <w:color w:val="auto"/>
              </w:rPr>
            </w:pPr>
            <w:r>
              <w:rPr>
                <w:rFonts w:hint="eastAsia"/>
                <w:color w:val="auto"/>
                <w:lang w:val="en-US" w:eastAsia="zh-CN"/>
              </w:rPr>
              <w:t>2.25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24A20">
            <w:pPr>
              <w:pStyle w:val="31"/>
              <w:bidi w:val="0"/>
              <w:jc w:val="center"/>
              <w:rPr>
                <w:rFonts w:hint="eastAsia"/>
                <w:color w:val="auto"/>
              </w:rPr>
            </w:pPr>
            <w:r>
              <w:rPr>
                <w:rFonts w:hint="eastAsia"/>
                <w:color w:val="auto"/>
                <w:lang w:val="en-US" w:eastAsia="zh-CN"/>
              </w:rPr>
              <w:t>3.20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B439">
            <w:pPr>
              <w:pStyle w:val="31"/>
              <w:bidi w:val="0"/>
              <w:jc w:val="center"/>
              <w:rPr>
                <w:rFonts w:hint="eastAsia"/>
                <w:color w:val="auto"/>
              </w:rPr>
            </w:pPr>
            <w:r>
              <w:rPr>
                <w:rFonts w:hint="eastAsia"/>
                <w:color w:val="auto"/>
                <w:lang w:val="en-US" w:eastAsia="zh-CN"/>
              </w:rPr>
              <w:t>20.14</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F391E">
            <w:pPr>
              <w:pStyle w:val="31"/>
              <w:bidi w:val="0"/>
              <w:jc w:val="center"/>
              <w:rPr>
                <w:rFonts w:hint="eastAsia"/>
                <w:color w:val="auto"/>
              </w:rPr>
            </w:pPr>
            <w:r>
              <w:rPr>
                <w:rFonts w:hint="eastAsia"/>
                <w:color w:val="auto"/>
                <w:lang w:val="en-US" w:eastAsia="zh-CN"/>
              </w:rPr>
              <w:t>29.97</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B0D4A">
            <w:pPr>
              <w:pStyle w:val="31"/>
              <w:bidi w:val="0"/>
              <w:jc w:val="center"/>
              <w:rPr>
                <w:rFonts w:hint="eastAsia"/>
                <w:color w:val="auto"/>
              </w:rPr>
            </w:pPr>
            <w:r>
              <w:rPr>
                <w:rFonts w:hint="eastAsia"/>
                <w:color w:val="auto"/>
                <w:lang w:val="en-US" w:eastAsia="zh-CN"/>
              </w:rPr>
              <w:t>100.00</w:t>
            </w:r>
          </w:p>
        </w:tc>
      </w:tr>
      <w:tr w14:paraId="55496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28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C173">
            <w:pPr>
              <w:pStyle w:val="31"/>
              <w:bidi w:val="0"/>
              <w:jc w:val="center"/>
              <w:rPr>
                <w:rFonts w:hint="eastAsia"/>
                <w:color w:val="auto"/>
                <w:lang w:val="en-US" w:eastAsia="zh-CN"/>
              </w:rPr>
            </w:pPr>
            <w:r>
              <w:rPr>
                <w:color w:val="auto"/>
              </w:rPr>
              <w:drawing>
                <wp:inline distT="0" distB="0" distL="114300" distR="114300">
                  <wp:extent cx="5760085" cy="3401060"/>
                  <wp:effectExtent l="4445" t="4445" r="7620" b="23495"/>
                  <wp:docPr id="2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tc>
      </w:tr>
    </w:tbl>
    <w:p w14:paraId="7B04DFA9">
      <w:pPr>
        <w:rPr>
          <w:color w:val="auto"/>
        </w:rPr>
      </w:pPr>
    </w:p>
    <w:p w14:paraId="5DFF2D57">
      <w:pPr>
        <w:keepNext w:val="0"/>
        <w:keepLines w:val="0"/>
        <w:pageBreakBefore w:val="0"/>
        <w:widowControl w:val="0"/>
        <w:kinsoku/>
        <w:wordWrap/>
        <w:overflowPunct/>
        <w:topLinePunct w:val="0"/>
        <w:autoSpaceDE/>
        <w:autoSpaceDN/>
        <w:bidi w:val="0"/>
        <w:adjustRightInd w:val="0"/>
        <w:snapToGrid/>
        <w:spacing w:line="240" w:lineRule="auto"/>
        <w:ind w:firstLine="0"/>
        <w:jc w:val="both"/>
        <w:textAlignment w:val="auto"/>
        <w:rPr>
          <w:rFonts w:hint="eastAsia" w:ascii="Times New Roman" w:hAnsi="Times New Roman" w:eastAsia="黑体" w:cs="Times New Roman"/>
          <w:color w:val="auto"/>
          <w:sz w:val="24"/>
          <w:szCs w:val="24"/>
          <w:lang w:val="en-US" w:eastAsia="zh-CN"/>
        </w:rPr>
        <w:sectPr>
          <w:pgSz w:w="11906" w:h="16838"/>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2BFC815C">
      <w:pPr>
        <w:pStyle w:val="11"/>
        <w:rPr>
          <w:rFonts w:hint="eastAsia"/>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6</w:t>
      </w:r>
      <w:r>
        <w:rPr>
          <w:color w:val="auto"/>
        </w:rPr>
        <w:fldChar w:fldCharType="end"/>
      </w:r>
      <w:r>
        <w:rPr>
          <w:rFonts w:hint="eastAsia"/>
          <w:color w:val="auto"/>
        </w:rPr>
        <w:t>植物群落调查结果统计表</w:t>
      </w:r>
    </w:p>
    <w:tbl>
      <w:tblPr>
        <w:tblStyle w:val="24"/>
        <w:tblW w:w="142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82"/>
        <w:gridCol w:w="1910"/>
        <w:gridCol w:w="2036"/>
        <w:gridCol w:w="4544"/>
        <w:gridCol w:w="4544"/>
      </w:tblGrid>
      <w:tr w14:paraId="0B39C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B8F4">
            <w:pPr>
              <w:pStyle w:val="31"/>
              <w:bidi w:val="0"/>
              <w:jc w:val="center"/>
              <w:rPr>
                <w:rFonts w:hint="eastAsia"/>
                <w:color w:val="auto"/>
              </w:rPr>
            </w:pPr>
            <w:r>
              <w:rPr>
                <w:rFonts w:hint="eastAsia"/>
                <w:color w:val="auto"/>
                <w:lang w:val="en-US" w:eastAsia="zh-CN"/>
              </w:rPr>
              <w:t>植被型组</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6AC4">
            <w:pPr>
              <w:pStyle w:val="31"/>
              <w:bidi w:val="0"/>
              <w:jc w:val="center"/>
              <w:rPr>
                <w:rFonts w:hint="eastAsia"/>
                <w:color w:val="auto"/>
              </w:rPr>
            </w:pPr>
            <w:r>
              <w:rPr>
                <w:rFonts w:hint="eastAsia"/>
                <w:color w:val="auto"/>
                <w:lang w:val="en-US" w:eastAsia="zh-CN"/>
              </w:rPr>
              <w:t>植被型</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C042">
            <w:pPr>
              <w:pStyle w:val="31"/>
              <w:bidi w:val="0"/>
              <w:jc w:val="center"/>
              <w:rPr>
                <w:rFonts w:hint="eastAsia"/>
                <w:color w:val="auto"/>
              </w:rPr>
            </w:pPr>
            <w:r>
              <w:rPr>
                <w:rFonts w:hint="eastAsia"/>
                <w:color w:val="auto"/>
                <w:lang w:val="en-US" w:eastAsia="zh-CN"/>
              </w:rPr>
              <w:t>群系中文名</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CE10">
            <w:pPr>
              <w:pStyle w:val="31"/>
              <w:bidi w:val="0"/>
              <w:jc w:val="center"/>
              <w:rPr>
                <w:rFonts w:hint="eastAsia"/>
                <w:color w:val="auto"/>
              </w:rPr>
            </w:pPr>
            <w:r>
              <w:rPr>
                <w:rFonts w:hint="eastAsia"/>
                <w:color w:val="auto"/>
                <w:lang w:val="en-US" w:eastAsia="zh-CN"/>
              </w:rPr>
              <w:t>群系拉丁名</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04B6">
            <w:pPr>
              <w:pStyle w:val="31"/>
              <w:bidi w:val="0"/>
              <w:jc w:val="center"/>
              <w:rPr>
                <w:rFonts w:hint="eastAsia"/>
                <w:color w:val="auto"/>
                <w:lang w:val="en-US" w:eastAsia="zh-CN"/>
              </w:rPr>
            </w:pPr>
            <w:r>
              <w:rPr>
                <w:rFonts w:hint="eastAsia"/>
                <w:color w:val="auto"/>
                <w:kern w:val="2"/>
                <w:lang w:val="en-US" w:eastAsia="zh-CN"/>
              </w:rPr>
              <w:t>分布区域</w:t>
            </w:r>
          </w:p>
        </w:tc>
      </w:tr>
      <w:tr w14:paraId="08F7A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B14BC7">
            <w:pPr>
              <w:pStyle w:val="31"/>
              <w:bidi w:val="0"/>
              <w:jc w:val="center"/>
              <w:rPr>
                <w:rFonts w:hint="eastAsia"/>
                <w:color w:val="auto"/>
              </w:rPr>
            </w:pPr>
            <w:r>
              <w:rPr>
                <w:rFonts w:hint="eastAsia"/>
                <w:color w:val="auto"/>
                <w:lang w:val="en-US" w:eastAsia="zh-CN"/>
              </w:rPr>
              <w:t>一、针叶林</w:t>
            </w:r>
          </w:p>
        </w:tc>
        <w:tc>
          <w:tcPr>
            <w:tcW w:w="19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ADDFC6">
            <w:pPr>
              <w:pStyle w:val="31"/>
              <w:bidi w:val="0"/>
              <w:jc w:val="center"/>
              <w:rPr>
                <w:rFonts w:hint="default"/>
                <w:color w:val="auto"/>
              </w:rPr>
            </w:pPr>
            <w:r>
              <w:rPr>
                <w:rFonts w:hint="default"/>
                <w:color w:val="auto"/>
                <w:lang w:val="en-US" w:eastAsia="zh-CN"/>
              </w:rPr>
              <w:t>I</w:t>
            </w:r>
            <w:r>
              <w:rPr>
                <w:rFonts w:hint="eastAsia"/>
                <w:color w:val="auto"/>
                <w:lang w:val="en-US" w:eastAsia="zh-CN"/>
              </w:rPr>
              <w:t>低山针叶林</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B9FF">
            <w:pPr>
              <w:pStyle w:val="31"/>
              <w:bidi w:val="0"/>
              <w:jc w:val="center"/>
              <w:rPr>
                <w:rFonts w:hint="eastAsia"/>
                <w:color w:val="auto"/>
              </w:rPr>
            </w:pPr>
            <w:r>
              <w:rPr>
                <w:rFonts w:hint="eastAsia"/>
                <w:color w:val="auto"/>
                <w:lang w:val="en-US" w:eastAsia="zh-CN"/>
              </w:rPr>
              <w:t>马尾松林</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2985">
            <w:pPr>
              <w:pStyle w:val="31"/>
              <w:bidi w:val="0"/>
              <w:jc w:val="center"/>
              <w:rPr>
                <w:rFonts w:hint="default"/>
                <w:color w:val="auto"/>
              </w:rPr>
            </w:pPr>
            <w:r>
              <w:rPr>
                <w:rFonts w:hint="default"/>
                <w:color w:val="auto"/>
                <w:lang w:val="en-US" w:eastAsia="zh-CN"/>
              </w:rPr>
              <w:t>Pmusmassomana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0F93">
            <w:pPr>
              <w:pStyle w:val="31"/>
              <w:bidi w:val="0"/>
              <w:jc w:val="center"/>
              <w:rPr>
                <w:rFonts w:hint="default"/>
                <w:color w:val="auto"/>
                <w:lang w:val="en-US" w:eastAsia="zh-CN"/>
              </w:rPr>
            </w:pPr>
            <w:r>
              <w:rPr>
                <w:rFonts w:hint="eastAsia"/>
                <w:color w:val="auto"/>
                <w:kern w:val="2"/>
                <w:lang w:val="en-US" w:eastAsia="zh-CN"/>
              </w:rPr>
              <w:t>评价区山地广泛分布</w:t>
            </w:r>
          </w:p>
        </w:tc>
      </w:tr>
      <w:tr w14:paraId="46B2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B5A77">
            <w:pPr>
              <w:pStyle w:val="31"/>
              <w:bidi w:val="0"/>
              <w:jc w:val="center"/>
              <w:rPr>
                <w:rFonts w:hint="eastAsia"/>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DED90">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088A">
            <w:pPr>
              <w:pStyle w:val="31"/>
              <w:bidi w:val="0"/>
              <w:jc w:val="center"/>
              <w:rPr>
                <w:rFonts w:hint="eastAsia"/>
                <w:color w:val="auto"/>
              </w:rPr>
            </w:pPr>
            <w:r>
              <w:rPr>
                <w:rFonts w:hint="eastAsia"/>
                <w:color w:val="auto"/>
                <w:lang w:val="en-US" w:eastAsia="zh-CN"/>
              </w:rPr>
              <w:t>杉木林</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AAA21">
            <w:pPr>
              <w:pStyle w:val="31"/>
              <w:bidi w:val="0"/>
              <w:jc w:val="center"/>
              <w:rPr>
                <w:rFonts w:hint="default"/>
                <w:color w:val="auto"/>
              </w:rPr>
            </w:pPr>
            <w:r>
              <w:rPr>
                <w:rFonts w:hint="default"/>
                <w:color w:val="auto"/>
                <w:lang w:val="en-US" w:eastAsia="zh-CN"/>
              </w:rPr>
              <w:t>Cunninghamialanceolaia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481F">
            <w:pPr>
              <w:pStyle w:val="31"/>
              <w:bidi w:val="0"/>
              <w:jc w:val="center"/>
              <w:rPr>
                <w:rFonts w:hint="default"/>
                <w:color w:val="auto"/>
                <w:lang w:val="en-US" w:eastAsia="zh-CN"/>
              </w:rPr>
            </w:pPr>
            <w:r>
              <w:rPr>
                <w:rFonts w:hint="eastAsia"/>
                <w:color w:val="auto"/>
                <w:kern w:val="2"/>
                <w:lang w:val="en-US" w:eastAsia="zh-CN"/>
              </w:rPr>
              <w:t>评价区山地广泛分布</w:t>
            </w:r>
          </w:p>
        </w:tc>
      </w:tr>
      <w:tr w14:paraId="1BCCF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0CF7CA">
            <w:pPr>
              <w:pStyle w:val="31"/>
              <w:bidi w:val="0"/>
              <w:jc w:val="center"/>
              <w:rPr>
                <w:rFonts w:hint="eastAsia"/>
                <w:color w:val="auto"/>
              </w:rPr>
            </w:pPr>
            <w:r>
              <w:rPr>
                <w:rFonts w:hint="eastAsia"/>
                <w:color w:val="auto"/>
                <w:lang w:val="en-US" w:eastAsia="zh-CN"/>
              </w:rPr>
              <w:t>二、阔叶林</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ED1B">
            <w:pPr>
              <w:pStyle w:val="31"/>
              <w:bidi w:val="0"/>
              <w:jc w:val="center"/>
              <w:rPr>
                <w:rFonts w:hint="default"/>
                <w:color w:val="auto"/>
              </w:rPr>
            </w:pPr>
            <w:r>
              <w:rPr>
                <w:rFonts w:hint="default"/>
                <w:color w:val="auto"/>
                <w:lang w:val="en-US" w:eastAsia="zh-CN"/>
              </w:rPr>
              <w:t>Ⅱ</w:t>
            </w:r>
            <w:r>
              <w:rPr>
                <w:rFonts w:hint="eastAsia"/>
                <w:color w:val="auto"/>
                <w:lang w:val="en-US" w:eastAsia="zh-CN"/>
              </w:rPr>
              <w:t>常绿阔叶林</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D88D6">
            <w:pPr>
              <w:pStyle w:val="31"/>
              <w:bidi w:val="0"/>
              <w:jc w:val="center"/>
              <w:rPr>
                <w:rFonts w:hint="eastAsia"/>
                <w:color w:val="auto"/>
              </w:rPr>
            </w:pPr>
            <w:r>
              <w:rPr>
                <w:rFonts w:hint="eastAsia"/>
                <w:color w:val="auto"/>
                <w:lang w:val="en-US" w:eastAsia="zh-CN"/>
              </w:rPr>
              <w:t>木荷林</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B663">
            <w:pPr>
              <w:pStyle w:val="31"/>
              <w:bidi w:val="0"/>
              <w:jc w:val="center"/>
              <w:rPr>
                <w:rFonts w:hint="default"/>
                <w:color w:val="auto"/>
              </w:rPr>
            </w:pPr>
            <w:r>
              <w:rPr>
                <w:rFonts w:hint="default"/>
                <w:color w:val="auto"/>
                <w:lang w:val="en-US" w:eastAsia="zh-CN"/>
              </w:rPr>
              <w:t>Schimaswperba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FD28">
            <w:pPr>
              <w:pStyle w:val="31"/>
              <w:bidi w:val="0"/>
              <w:jc w:val="center"/>
              <w:rPr>
                <w:rFonts w:hint="default"/>
                <w:color w:val="auto"/>
                <w:lang w:val="en-US" w:eastAsia="zh-CN"/>
              </w:rPr>
            </w:pPr>
            <w:r>
              <w:rPr>
                <w:rFonts w:hint="eastAsia"/>
                <w:color w:val="auto"/>
                <w:kern w:val="2"/>
                <w:lang w:val="en-US" w:eastAsia="zh-CN"/>
              </w:rPr>
              <w:t>评价区山地广泛分布</w:t>
            </w:r>
          </w:p>
        </w:tc>
      </w:tr>
      <w:tr w14:paraId="04051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52047">
            <w:pPr>
              <w:pStyle w:val="31"/>
              <w:bidi w:val="0"/>
              <w:jc w:val="center"/>
              <w:rPr>
                <w:rFonts w:hint="eastAsia"/>
                <w:color w:val="auto"/>
              </w:rPr>
            </w:pPr>
          </w:p>
        </w:tc>
        <w:tc>
          <w:tcPr>
            <w:tcW w:w="19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ABAF35">
            <w:pPr>
              <w:pStyle w:val="31"/>
              <w:bidi w:val="0"/>
              <w:jc w:val="center"/>
              <w:rPr>
                <w:rFonts w:hint="default"/>
                <w:color w:val="auto"/>
              </w:rPr>
            </w:pPr>
            <w:r>
              <w:rPr>
                <w:rFonts w:hint="default"/>
                <w:color w:val="auto"/>
                <w:lang w:val="en-US" w:eastAsia="zh-CN"/>
              </w:rPr>
              <w:t>Ⅲ</w:t>
            </w:r>
            <w:r>
              <w:rPr>
                <w:rFonts w:hint="eastAsia"/>
                <w:color w:val="auto"/>
                <w:lang w:val="en-US" w:eastAsia="zh-CN"/>
              </w:rPr>
              <w:t>落叶阔叶林</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CF11">
            <w:pPr>
              <w:pStyle w:val="31"/>
              <w:bidi w:val="0"/>
              <w:jc w:val="center"/>
              <w:rPr>
                <w:rFonts w:hint="eastAsia"/>
                <w:color w:val="auto"/>
              </w:rPr>
            </w:pPr>
            <w:r>
              <w:rPr>
                <w:rFonts w:hint="eastAsia"/>
                <w:color w:val="auto"/>
                <w:lang w:val="en-US" w:eastAsia="zh-CN"/>
              </w:rPr>
              <w:t>构树林</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7A9E">
            <w:pPr>
              <w:pStyle w:val="31"/>
              <w:bidi w:val="0"/>
              <w:jc w:val="center"/>
              <w:rPr>
                <w:rFonts w:hint="default"/>
                <w:color w:val="auto"/>
              </w:rPr>
            </w:pPr>
            <w:r>
              <w:rPr>
                <w:rFonts w:hint="default"/>
                <w:color w:val="auto"/>
                <w:lang w:val="en-US" w:eastAsia="zh-CN"/>
              </w:rPr>
              <w:t>Broussonetiapapyrifera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7CC7">
            <w:pPr>
              <w:pStyle w:val="31"/>
              <w:bidi w:val="0"/>
              <w:jc w:val="center"/>
              <w:rPr>
                <w:rFonts w:hint="default"/>
                <w:color w:val="auto"/>
                <w:lang w:val="en-US" w:eastAsia="zh-CN"/>
              </w:rPr>
            </w:pPr>
            <w:r>
              <w:rPr>
                <w:rFonts w:hint="default"/>
                <w:color w:val="auto"/>
                <w:lang w:val="en-US" w:eastAsia="zh-CN"/>
              </w:rPr>
              <w:t>马尾松、杉木等林缘</w:t>
            </w:r>
          </w:p>
        </w:tc>
      </w:tr>
      <w:tr w14:paraId="1F430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9589A">
            <w:pPr>
              <w:pStyle w:val="31"/>
              <w:bidi w:val="0"/>
              <w:jc w:val="center"/>
              <w:rPr>
                <w:rFonts w:hint="eastAsia"/>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0A4D6">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71B1">
            <w:pPr>
              <w:pStyle w:val="31"/>
              <w:bidi w:val="0"/>
              <w:jc w:val="center"/>
              <w:rPr>
                <w:rFonts w:hint="eastAsia"/>
                <w:color w:val="auto"/>
              </w:rPr>
            </w:pPr>
            <w:r>
              <w:rPr>
                <w:rFonts w:hint="eastAsia"/>
                <w:color w:val="auto"/>
                <w:lang w:val="en-US" w:eastAsia="zh-CN"/>
              </w:rPr>
              <w:t>垂柳林</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3454">
            <w:pPr>
              <w:pStyle w:val="31"/>
              <w:bidi w:val="0"/>
              <w:jc w:val="center"/>
              <w:rPr>
                <w:rFonts w:hint="default"/>
                <w:color w:val="auto"/>
              </w:rPr>
            </w:pPr>
            <w:r>
              <w:rPr>
                <w:rFonts w:hint="default"/>
                <w:color w:val="auto"/>
                <w:lang w:val="en-US" w:eastAsia="zh-CN"/>
              </w:rPr>
              <w:t>Sallxbabylonica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61A0">
            <w:pPr>
              <w:pStyle w:val="31"/>
              <w:bidi w:val="0"/>
              <w:jc w:val="center"/>
              <w:rPr>
                <w:rFonts w:hint="default"/>
                <w:color w:val="auto"/>
                <w:lang w:val="en-US" w:eastAsia="zh-CN"/>
              </w:rPr>
            </w:pPr>
            <w:r>
              <w:rPr>
                <w:rFonts w:hint="eastAsia"/>
                <w:color w:val="auto"/>
                <w:kern w:val="2"/>
                <w:lang w:val="en-US" w:eastAsia="zh-CN"/>
              </w:rPr>
              <w:t>有小面积分布</w:t>
            </w:r>
          </w:p>
        </w:tc>
      </w:tr>
      <w:tr w14:paraId="1FD10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28335">
            <w:pPr>
              <w:pStyle w:val="31"/>
              <w:bidi w:val="0"/>
              <w:jc w:val="center"/>
              <w:rPr>
                <w:rFonts w:hint="default"/>
                <w:color w:val="auto"/>
              </w:rPr>
            </w:pPr>
            <w:r>
              <w:rPr>
                <w:rFonts w:hint="eastAsia"/>
                <w:color w:val="auto"/>
                <w:lang w:val="en-US" w:eastAsia="zh-CN"/>
              </w:rPr>
              <w:t>三、灌丛和灌草丛</w:t>
            </w:r>
          </w:p>
        </w:tc>
        <w:tc>
          <w:tcPr>
            <w:tcW w:w="19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E2A2C6">
            <w:pPr>
              <w:pStyle w:val="31"/>
              <w:bidi w:val="0"/>
              <w:jc w:val="center"/>
              <w:rPr>
                <w:rFonts w:hint="default"/>
                <w:color w:val="auto"/>
              </w:rPr>
            </w:pPr>
            <w:r>
              <w:rPr>
                <w:rFonts w:hint="default"/>
                <w:color w:val="auto"/>
                <w:lang w:val="en-US" w:eastAsia="zh-CN"/>
              </w:rPr>
              <w:t>IV</w:t>
            </w:r>
            <w:r>
              <w:rPr>
                <w:rFonts w:hint="eastAsia"/>
                <w:color w:val="auto"/>
                <w:lang w:val="en-US" w:eastAsia="zh-CN"/>
              </w:rPr>
              <w:t>灌丛和灌草丛</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5913">
            <w:pPr>
              <w:pStyle w:val="31"/>
              <w:bidi w:val="0"/>
              <w:jc w:val="center"/>
              <w:rPr>
                <w:rFonts w:hint="eastAsia"/>
                <w:color w:val="auto"/>
              </w:rPr>
            </w:pPr>
            <w:r>
              <w:rPr>
                <w:rFonts w:hint="eastAsia"/>
                <w:color w:val="auto"/>
                <w:lang w:val="en-US" w:eastAsia="zh-CN"/>
              </w:rPr>
              <w:t>乌柏群系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D376">
            <w:pPr>
              <w:pStyle w:val="31"/>
              <w:bidi w:val="0"/>
              <w:jc w:val="center"/>
              <w:rPr>
                <w:rFonts w:hint="default"/>
                <w:color w:val="auto"/>
              </w:rPr>
            </w:pPr>
            <w:r>
              <w:rPr>
                <w:rFonts w:hint="default"/>
                <w:color w:val="auto"/>
                <w:lang w:val="en-US" w:eastAsia="zh-CN"/>
              </w:rPr>
              <w:t>THadicasebu/er</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9D2C4">
            <w:pPr>
              <w:pStyle w:val="31"/>
              <w:bidi w:val="0"/>
              <w:jc w:val="center"/>
              <w:rPr>
                <w:rFonts w:hint="default"/>
                <w:color w:val="auto"/>
                <w:lang w:val="en-US" w:eastAsia="zh-CN"/>
              </w:rPr>
            </w:pPr>
            <w:r>
              <w:rPr>
                <w:rFonts w:hint="eastAsia"/>
                <w:color w:val="auto"/>
                <w:kern w:val="2"/>
                <w:lang w:val="en-US" w:eastAsia="zh-CN"/>
              </w:rPr>
              <w:t>评价区广泛分布，乌桕树的幼苗</w:t>
            </w:r>
          </w:p>
        </w:tc>
      </w:tr>
      <w:tr w14:paraId="1E2C3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CBAD3">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DE540">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A2F2">
            <w:pPr>
              <w:pStyle w:val="31"/>
              <w:bidi w:val="0"/>
              <w:jc w:val="center"/>
              <w:rPr>
                <w:rFonts w:hint="eastAsia"/>
                <w:color w:val="auto"/>
              </w:rPr>
            </w:pPr>
            <w:r>
              <w:rPr>
                <w:rFonts w:hint="eastAsia"/>
                <w:color w:val="auto"/>
                <w:lang w:val="en-US" w:eastAsia="zh-CN"/>
              </w:rPr>
              <w:t>早园竹群系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66FC8">
            <w:pPr>
              <w:pStyle w:val="31"/>
              <w:bidi w:val="0"/>
              <w:jc w:val="center"/>
              <w:rPr>
                <w:rFonts w:hint="default"/>
                <w:color w:val="auto"/>
              </w:rPr>
            </w:pPr>
            <w:r>
              <w:rPr>
                <w:rFonts w:hint="default"/>
                <w:color w:val="auto"/>
                <w:lang w:val="en-US" w:eastAsia="zh-CN"/>
              </w:rPr>
              <w:t>Phyllostachyspropinqwa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3C6D">
            <w:pPr>
              <w:pStyle w:val="31"/>
              <w:bidi w:val="0"/>
              <w:jc w:val="center"/>
              <w:rPr>
                <w:rFonts w:hint="default"/>
                <w:color w:val="auto"/>
                <w:lang w:val="en-US" w:eastAsia="zh-CN"/>
              </w:rPr>
            </w:pPr>
            <w:r>
              <w:rPr>
                <w:rFonts w:hint="eastAsia"/>
                <w:color w:val="auto"/>
                <w:kern w:val="2"/>
                <w:lang w:val="en-US" w:eastAsia="zh-CN"/>
              </w:rPr>
              <w:t>山地广泛分布，村庄、农田周边也有分布</w:t>
            </w:r>
          </w:p>
        </w:tc>
      </w:tr>
      <w:tr w14:paraId="6A0E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BFAA0">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C7C35">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D2F9">
            <w:pPr>
              <w:pStyle w:val="31"/>
              <w:bidi w:val="0"/>
              <w:jc w:val="center"/>
              <w:rPr>
                <w:rFonts w:hint="eastAsia"/>
                <w:color w:val="auto"/>
              </w:rPr>
            </w:pPr>
            <w:r>
              <w:rPr>
                <w:rFonts w:hint="eastAsia"/>
                <w:color w:val="auto"/>
                <w:lang w:val="en-US" w:eastAsia="zh-CN"/>
              </w:rPr>
              <w:t>狗牙根群系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E9DF">
            <w:pPr>
              <w:pStyle w:val="31"/>
              <w:bidi w:val="0"/>
              <w:jc w:val="center"/>
              <w:rPr>
                <w:rFonts w:hint="default"/>
                <w:color w:val="auto"/>
              </w:rPr>
            </w:pPr>
            <w:r>
              <w:rPr>
                <w:rFonts w:hint="default"/>
                <w:color w:val="auto"/>
                <w:lang w:val="en-US" w:eastAsia="zh-CN"/>
              </w:rPr>
              <w:t>Cwnodondactylon</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3CA0">
            <w:pPr>
              <w:pStyle w:val="31"/>
              <w:bidi w:val="0"/>
              <w:jc w:val="center"/>
              <w:rPr>
                <w:rFonts w:hint="default"/>
                <w:color w:val="auto"/>
                <w:lang w:val="en-US" w:eastAsia="zh-CN"/>
              </w:rPr>
            </w:pPr>
            <w:r>
              <w:rPr>
                <w:rFonts w:hint="eastAsia"/>
                <w:color w:val="auto"/>
                <w:kern w:val="2"/>
                <w:lang w:val="en-US" w:eastAsia="zh-CN"/>
              </w:rPr>
              <w:t>评价区广泛分布</w:t>
            </w:r>
          </w:p>
        </w:tc>
      </w:tr>
      <w:tr w14:paraId="64575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D869C">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54942">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B00E">
            <w:pPr>
              <w:pStyle w:val="31"/>
              <w:bidi w:val="0"/>
              <w:jc w:val="center"/>
              <w:rPr>
                <w:rFonts w:hint="eastAsia"/>
                <w:color w:val="auto"/>
              </w:rPr>
            </w:pPr>
            <w:r>
              <w:rPr>
                <w:rFonts w:hint="eastAsia"/>
                <w:color w:val="auto"/>
                <w:lang w:val="en-US" w:eastAsia="zh-CN"/>
              </w:rPr>
              <w:t>夏至草群系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BBE5">
            <w:pPr>
              <w:pStyle w:val="31"/>
              <w:bidi w:val="0"/>
              <w:jc w:val="center"/>
              <w:rPr>
                <w:rFonts w:hint="default"/>
                <w:color w:val="auto"/>
              </w:rPr>
            </w:pPr>
            <w:r>
              <w:rPr>
                <w:rFonts w:hint="default"/>
                <w:color w:val="auto"/>
                <w:lang w:val="en-US" w:eastAsia="zh-CN"/>
              </w:rPr>
              <w:t>Lagopssszpina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3586">
            <w:pPr>
              <w:pStyle w:val="31"/>
              <w:bidi w:val="0"/>
              <w:jc w:val="center"/>
              <w:rPr>
                <w:rFonts w:hint="default"/>
                <w:color w:val="auto"/>
                <w:lang w:val="en-US" w:eastAsia="zh-CN"/>
              </w:rPr>
            </w:pPr>
            <w:r>
              <w:rPr>
                <w:rFonts w:hint="eastAsia"/>
                <w:color w:val="auto"/>
                <w:kern w:val="2"/>
                <w:lang w:val="en-US" w:eastAsia="zh-CN"/>
              </w:rPr>
              <w:t>评价区广泛分布</w:t>
            </w:r>
          </w:p>
        </w:tc>
      </w:tr>
      <w:tr w14:paraId="00AF9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44D38">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A5371">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BF11">
            <w:pPr>
              <w:pStyle w:val="31"/>
              <w:bidi w:val="0"/>
              <w:jc w:val="center"/>
              <w:rPr>
                <w:rFonts w:hint="eastAsia"/>
                <w:color w:val="auto"/>
              </w:rPr>
            </w:pPr>
            <w:r>
              <w:rPr>
                <w:rFonts w:hint="eastAsia"/>
                <w:color w:val="auto"/>
                <w:lang w:val="en-US" w:eastAsia="zh-CN"/>
              </w:rPr>
              <w:t>加拿大一枝黄</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2565">
            <w:pPr>
              <w:pStyle w:val="31"/>
              <w:bidi w:val="0"/>
              <w:jc w:val="center"/>
              <w:rPr>
                <w:rFonts w:hint="default"/>
                <w:color w:val="auto"/>
              </w:rPr>
            </w:pPr>
            <w:r>
              <w:rPr>
                <w:rFonts w:hint="default"/>
                <w:color w:val="auto"/>
                <w:lang w:val="en-US" w:eastAsia="zh-CN"/>
              </w:rPr>
              <w:t>Solidagocanadensis</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2BAFF">
            <w:pPr>
              <w:pStyle w:val="31"/>
              <w:bidi w:val="0"/>
              <w:jc w:val="center"/>
              <w:rPr>
                <w:rFonts w:hint="default"/>
                <w:color w:val="auto"/>
                <w:lang w:val="en-US" w:eastAsia="zh-CN"/>
              </w:rPr>
            </w:pPr>
            <w:r>
              <w:rPr>
                <w:rFonts w:hint="eastAsia"/>
                <w:color w:val="auto"/>
                <w:kern w:val="2"/>
                <w:lang w:val="en-US" w:eastAsia="zh-CN"/>
              </w:rPr>
              <w:t>入侵物种，在农田、村庄、山地均可见</w:t>
            </w:r>
          </w:p>
        </w:tc>
      </w:tr>
      <w:tr w14:paraId="61027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49DC8">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6A0E7">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E6D9">
            <w:pPr>
              <w:pStyle w:val="31"/>
              <w:bidi w:val="0"/>
              <w:jc w:val="center"/>
              <w:rPr>
                <w:rFonts w:hint="eastAsia"/>
                <w:color w:val="auto"/>
              </w:rPr>
            </w:pPr>
            <w:r>
              <w:rPr>
                <w:rFonts w:hint="eastAsia"/>
                <w:color w:val="auto"/>
                <w:lang w:val="en-US" w:eastAsia="zh-CN"/>
              </w:rPr>
              <w:t>画眉草群系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0792">
            <w:pPr>
              <w:pStyle w:val="31"/>
              <w:bidi w:val="0"/>
              <w:jc w:val="center"/>
              <w:rPr>
                <w:rFonts w:hint="default"/>
                <w:color w:val="auto"/>
              </w:rPr>
            </w:pPr>
            <w:r>
              <w:rPr>
                <w:rFonts w:hint="default"/>
                <w:color w:val="auto"/>
                <w:lang w:val="en-US" w:eastAsia="zh-CN"/>
              </w:rPr>
              <w:t>Eragrostispilosa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E7B1">
            <w:pPr>
              <w:pStyle w:val="31"/>
              <w:bidi w:val="0"/>
              <w:jc w:val="center"/>
              <w:rPr>
                <w:rFonts w:hint="default"/>
                <w:color w:val="auto"/>
                <w:lang w:val="en-US" w:eastAsia="zh-CN"/>
              </w:rPr>
            </w:pPr>
            <w:r>
              <w:rPr>
                <w:rFonts w:hint="eastAsia"/>
                <w:color w:val="auto"/>
                <w:kern w:val="2"/>
                <w:lang w:val="en-US" w:eastAsia="zh-CN"/>
              </w:rPr>
              <w:t>评价区广泛分布</w:t>
            </w:r>
          </w:p>
        </w:tc>
      </w:tr>
      <w:tr w14:paraId="5F9C0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709FF">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9858B">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32CA">
            <w:pPr>
              <w:pStyle w:val="31"/>
              <w:bidi w:val="0"/>
              <w:jc w:val="center"/>
              <w:rPr>
                <w:rFonts w:hint="eastAsia"/>
                <w:color w:val="auto"/>
              </w:rPr>
            </w:pPr>
            <w:r>
              <w:rPr>
                <w:rFonts w:hint="eastAsia"/>
                <w:color w:val="auto"/>
                <w:lang w:val="en-US" w:eastAsia="zh-CN"/>
              </w:rPr>
              <w:t>青绿薹草群系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BDF3">
            <w:pPr>
              <w:pStyle w:val="31"/>
              <w:bidi w:val="0"/>
              <w:jc w:val="center"/>
              <w:rPr>
                <w:rFonts w:hint="default"/>
                <w:color w:val="auto"/>
              </w:rPr>
            </w:pPr>
            <w:r>
              <w:rPr>
                <w:rFonts w:hint="default"/>
                <w:color w:val="auto"/>
                <w:lang w:val="en-US" w:eastAsia="zh-CN"/>
              </w:rPr>
              <w:t>Carexbreviculmis</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FC28">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13053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F630F">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42538">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C57C">
            <w:pPr>
              <w:pStyle w:val="31"/>
              <w:bidi w:val="0"/>
              <w:jc w:val="center"/>
              <w:rPr>
                <w:rFonts w:hint="eastAsia"/>
                <w:color w:val="auto"/>
              </w:rPr>
            </w:pPr>
            <w:r>
              <w:rPr>
                <w:rFonts w:hint="eastAsia"/>
                <w:color w:val="auto"/>
                <w:lang w:val="en-US" w:eastAsia="zh-CN"/>
              </w:rPr>
              <w:t>野艾蒿群系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4512">
            <w:pPr>
              <w:pStyle w:val="31"/>
              <w:bidi w:val="0"/>
              <w:jc w:val="center"/>
              <w:rPr>
                <w:rFonts w:hint="default"/>
                <w:color w:val="auto"/>
              </w:rPr>
            </w:pPr>
            <w:r>
              <w:rPr>
                <w:rFonts w:hint="default"/>
                <w:color w:val="auto"/>
                <w:lang w:val="en-US" w:eastAsia="zh-CN"/>
              </w:rPr>
              <w:t>Artemsalavanduljolia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572A">
            <w:pPr>
              <w:pStyle w:val="31"/>
              <w:bidi w:val="0"/>
              <w:jc w:val="center"/>
              <w:rPr>
                <w:rFonts w:hint="default"/>
                <w:color w:val="auto"/>
                <w:lang w:val="en-US" w:eastAsia="zh-CN"/>
              </w:rPr>
            </w:pPr>
            <w:r>
              <w:rPr>
                <w:rFonts w:hint="eastAsia"/>
                <w:color w:val="auto"/>
                <w:kern w:val="2"/>
                <w:lang w:val="en-US" w:eastAsia="zh-CN"/>
              </w:rPr>
              <w:t>有小面积分布</w:t>
            </w:r>
          </w:p>
        </w:tc>
      </w:tr>
      <w:tr w14:paraId="6CA06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41962">
            <w:pPr>
              <w:pStyle w:val="31"/>
              <w:bidi w:val="0"/>
              <w:jc w:val="center"/>
              <w:rPr>
                <w:rFonts w:hint="default"/>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674E4">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A6B7">
            <w:pPr>
              <w:pStyle w:val="31"/>
              <w:bidi w:val="0"/>
              <w:jc w:val="center"/>
              <w:rPr>
                <w:rFonts w:hint="eastAsia"/>
                <w:color w:val="auto"/>
              </w:rPr>
            </w:pPr>
            <w:r>
              <w:rPr>
                <w:rFonts w:hint="eastAsia"/>
                <w:color w:val="auto"/>
                <w:lang w:val="en-US" w:eastAsia="zh-CN"/>
              </w:rPr>
              <w:t>五节芒群系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1C25">
            <w:pPr>
              <w:pStyle w:val="31"/>
              <w:bidi w:val="0"/>
              <w:jc w:val="center"/>
              <w:rPr>
                <w:rFonts w:hint="default"/>
                <w:color w:val="auto"/>
              </w:rPr>
            </w:pPr>
            <w:r>
              <w:rPr>
                <w:rFonts w:hint="default"/>
                <w:color w:val="auto"/>
                <w:lang w:val="en-US" w:eastAsia="zh-CN"/>
              </w:rPr>
              <w:t>Miscanthusfloriduhs</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D053">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439FC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E3037">
            <w:pPr>
              <w:pStyle w:val="31"/>
              <w:bidi w:val="0"/>
              <w:jc w:val="center"/>
              <w:rPr>
                <w:rFonts w:hint="eastAsia"/>
                <w:color w:val="auto"/>
              </w:rPr>
            </w:pPr>
            <w:r>
              <w:rPr>
                <w:rFonts w:hint="eastAsia"/>
                <w:color w:val="auto"/>
                <w:lang w:val="en-US" w:eastAsia="zh-CN"/>
              </w:rPr>
              <w:t>四、水生和湿生植被</w:t>
            </w:r>
          </w:p>
        </w:tc>
        <w:tc>
          <w:tcPr>
            <w:tcW w:w="19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D3D009">
            <w:pPr>
              <w:pStyle w:val="31"/>
              <w:bidi w:val="0"/>
              <w:jc w:val="center"/>
              <w:rPr>
                <w:rFonts w:hint="default"/>
                <w:color w:val="auto"/>
              </w:rPr>
            </w:pPr>
            <w:r>
              <w:rPr>
                <w:rFonts w:hint="default"/>
                <w:color w:val="auto"/>
                <w:lang w:val="en-US" w:eastAsia="zh-CN"/>
              </w:rPr>
              <w:t>V</w:t>
            </w:r>
            <w:r>
              <w:rPr>
                <w:rFonts w:hint="eastAsia"/>
                <w:color w:val="auto"/>
                <w:lang w:val="en-US" w:eastAsia="zh-CN"/>
              </w:rPr>
              <w:t>湿生植物</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A4CE">
            <w:pPr>
              <w:pStyle w:val="31"/>
              <w:bidi w:val="0"/>
              <w:jc w:val="center"/>
              <w:rPr>
                <w:rFonts w:hint="eastAsia"/>
                <w:color w:val="auto"/>
              </w:rPr>
            </w:pPr>
            <w:r>
              <w:rPr>
                <w:rFonts w:hint="eastAsia"/>
                <w:color w:val="auto"/>
                <w:lang w:val="en-US" w:eastAsia="zh-CN"/>
              </w:rPr>
              <w:t>水蓼群系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1F40">
            <w:pPr>
              <w:pStyle w:val="31"/>
              <w:bidi w:val="0"/>
              <w:jc w:val="center"/>
              <w:rPr>
                <w:rFonts w:hint="default"/>
                <w:color w:val="auto"/>
              </w:rPr>
            </w:pPr>
            <w:r>
              <w:rPr>
                <w:rFonts w:hint="default"/>
                <w:color w:val="auto"/>
                <w:lang w:val="en-US" w:eastAsia="zh-CN"/>
              </w:rPr>
              <w:t>Polygonumhydropiper</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E277">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6AD5E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5D67F">
            <w:pPr>
              <w:pStyle w:val="31"/>
              <w:bidi w:val="0"/>
              <w:jc w:val="center"/>
              <w:rPr>
                <w:rFonts w:hint="eastAsia"/>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33921">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C23C">
            <w:pPr>
              <w:pStyle w:val="31"/>
              <w:bidi w:val="0"/>
              <w:jc w:val="center"/>
              <w:rPr>
                <w:rFonts w:hint="eastAsia"/>
                <w:color w:val="auto"/>
              </w:rPr>
            </w:pPr>
            <w:r>
              <w:rPr>
                <w:rFonts w:hint="eastAsia"/>
                <w:color w:val="auto"/>
                <w:lang w:val="en-US" w:eastAsia="zh-CN"/>
              </w:rPr>
              <w:t>蓼子草群系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71C6">
            <w:pPr>
              <w:pStyle w:val="31"/>
              <w:bidi w:val="0"/>
              <w:jc w:val="center"/>
              <w:rPr>
                <w:rFonts w:hint="default"/>
                <w:color w:val="auto"/>
              </w:rPr>
            </w:pPr>
            <w:r>
              <w:rPr>
                <w:rFonts w:hint="default"/>
                <w:color w:val="auto"/>
                <w:lang w:val="en-US" w:eastAsia="zh-CN"/>
              </w:rPr>
              <w:t>Persicanacriopolitana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E4FF">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5236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A9049">
            <w:pPr>
              <w:pStyle w:val="31"/>
              <w:bidi w:val="0"/>
              <w:jc w:val="center"/>
              <w:rPr>
                <w:rFonts w:hint="eastAsia"/>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49562">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74611">
            <w:pPr>
              <w:pStyle w:val="31"/>
              <w:bidi w:val="0"/>
              <w:jc w:val="center"/>
              <w:rPr>
                <w:rFonts w:hint="eastAsia"/>
                <w:color w:val="auto"/>
              </w:rPr>
            </w:pPr>
            <w:r>
              <w:rPr>
                <w:rFonts w:hint="eastAsia"/>
                <w:color w:val="auto"/>
                <w:lang w:val="en-US" w:eastAsia="zh-CN"/>
              </w:rPr>
              <w:t>酸模叶蓼群系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56399">
            <w:pPr>
              <w:pStyle w:val="31"/>
              <w:bidi w:val="0"/>
              <w:jc w:val="center"/>
              <w:rPr>
                <w:rFonts w:hint="default"/>
                <w:color w:val="auto"/>
              </w:rPr>
            </w:pPr>
            <w:r>
              <w:rPr>
                <w:rFonts w:hint="default"/>
                <w:color w:val="auto"/>
                <w:lang w:val="en-US" w:eastAsia="zh-CN"/>
              </w:rPr>
              <w:t>Persicaralapathijolia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6B73">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7829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5E4A7">
            <w:pPr>
              <w:pStyle w:val="31"/>
              <w:bidi w:val="0"/>
              <w:jc w:val="center"/>
              <w:rPr>
                <w:rFonts w:hint="eastAsia"/>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69ABB">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34E35">
            <w:pPr>
              <w:pStyle w:val="31"/>
              <w:bidi w:val="0"/>
              <w:jc w:val="center"/>
              <w:rPr>
                <w:rFonts w:hint="eastAsia"/>
                <w:color w:val="auto"/>
              </w:rPr>
            </w:pPr>
            <w:r>
              <w:rPr>
                <w:rFonts w:hint="eastAsia"/>
                <w:color w:val="auto"/>
                <w:lang w:val="en-US" w:eastAsia="zh-CN"/>
              </w:rPr>
              <w:t>芦苇群系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5A49">
            <w:pPr>
              <w:pStyle w:val="31"/>
              <w:bidi w:val="0"/>
              <w:jc w:val="center"/>
              <w:rPr>
                <w:rFonts w:hint="default"/>
                <w:color w:val="auto"/>
              </w:rPr>
            </w:pPr>
            <w:r>
              <w:rPr>
                <w:rFonts w:hint="default"/>
                <w:color w:val="auto"/>
                <w:lang w:val="en-US" w:eastAsia="zh-CN"/>
              </w:rPr>
              <w:t>Polygonumlapathijolium</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6E21">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22EF8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96400">
            <w:pPr>
              <w:pStyle w:val="31"/>
              <w:bidi w:val="0"/>
              <w:jc w:val="center"/>
              <w:rPr>
                <w:rFonts w:hint="eastAsia"/>
                <w:color w:val="auto"/>
              </w:rPr>
            </w:pPr>
          </w:p>
        </w:tc>
        <w:tc>
          <w:tcPr>
            <w:tcW w:w="19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CC0BF">
            <w:pPr>
              <w:pStyle w:val="31"/>
              <w:bidi w:val="0"/>
              <w:jc w:val="center"/>
              <w:rPr>
                <w:rFonts w:hint="default"/>
                <w:color w:val="auto"/>
              </w:rPr>
            </w:pP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BB75">
            <w:pPr>
              <w:pStyle w:val="31"/>
              <w:bidi w:val="0"/>
              <w:jc w:val="center"/>
              <w:rPr>
                <w:rFonts w:hint="eastAsia"/>
                <w:color w:val="auto"/>
              </w:rPr>
            </w:pPr>
            <w:r>
              <w:rPr>
                <w:rFonts w:hint="eastAsia"/>
                <w:color w:val="auto"/>
                <w:lang w:val="en-US" w:eastAsia="zh-CN"/>
              </w:rPr>
              <w:t>芦获群系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E4B3">
            <w:pPr>
              <w:pStyle w:val="31"/>
              <w:bidi w:val="0"/>
              <w:jc w:val="center"/>
              <w:rPr>
                <w:rFonts w:hint="default"/>
                <w:color w:val="auto"/>
              </w:rPr>
            </w:pPr>
            <w:r>
              <w:rPr>
                <w:rFonts w:hint="default"/>
                <w:color w:val="auto"/>
                <w:lang w:val="en-US" w:eastAsia="zh-CN"/>
              </w:rPr>
              <w:t>Arwndodonax</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25FB">
            <w:pPr>
              <w:pStyle w:val="31"/>
              <w:bidi w:val="0"/>
              <w:jc w:val="center"/>
              <w:rPr>
                <w:rFonts w:hint="default"/>
                <w:color w:val="auto"/>
                <w:lang w:val="en-US" w:eastAsia="zh-CN"/>
              </w:rPr>
            </w:pPr>
            <w:r>
              <w:rPr>
                <w:rFonts w:hint="eastAsia"/>
                <w:color w:val="auto"/>
                <w:kern w:val="2"/>
                <w:lang w:val="en-US" w:eastAsia="zh-CN"/>
              </w:rPr>
              <w:t>评价区</w:t>
            </w:r>
            <w:r>
              <w:rPr>
                <w:rFonts w:hint="eastAsia"/>
                <w:color w:val="auto"/>
                <w:lang w:val="en-US" w:eastAsia="zh-CN"/>
              </w:rPr>
              <w:t>河道、滩地</w:t>
            </w:r>
          </w:p>
        </w:tc>
      </w:tr>
      <w:tr w14:paraId="76688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C4941">
            <w:pPr>
              <w:pStyle w:val="31"/>
              <w:bidi w:val="0"/>
              <w:jc w:val="center"/>
              <w:rPr>
                <w:rFonts w:hint="eastAsia"/>
                <w:color w:val="auto"/>
              </w:rPr>
            </w:pP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144C">
            <w:pPr>
              <w:pStyle w:val="31"/>
              <w:bidi w:val="0"/>
              <w:jc w:val="center"/>
              <w:rPr>
                <w:rFonts w:hint="default"/>
                <w:color w:val="auto"/>
              </w:rPr>
            </w:pPr>
            <w:r>
              <w:rPr>
                <w:rFonts w:hint="default"/>
                <w:color w:val="auto"/>
                <w:lang w:val="en-US" w:eastAsia="zh-CN"/>
              </w:rPr>
              <w:t>VI</w:t>
            </w:r>
            <w:r>
              <w:rPr>
                <w:rFonts w:hint="eastAsia"/>
                <w:color w:val="auto"/>
                <w:lang w:val="en-US" w:eastAsia="zh-CN"/>
              </w:rPr>
              <w:t>漂浮植物</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302C">
            <w:pPr>
              <w:pStyle w:val="31"/>
              <w:bidi w:val="0"/>
              <w:jc w:val="center"/>
              <w:rPr>
                <w:rFonts w:hint="eastAsia"/>
                <w:color w:val="auto"/>
              </w:rPr>
            </w:pPr>
            <w:r>
              <w:rPr>
                <w:rFonts w:hint="eastAsia"/>
                <w:color w:val="auto"/>
                <w:lang w:val="en-US" w:eastAsia="zh-CN"/>
              </w:rPr>
              <w:t>满江红群系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FE6D">
            <w:pPr>
              <w:pStyle w:val="31"/>
              <w:bidi w:val="0"/>
              <w:jc w:val="center"/>
              <w:rPr>
                <w:rFonts w:hint="default"/>
                <w:color w:val="auto"/>
              </w:rPr>
            </w:pPr>
            <w:r>
              <w:rPr>
                <w:rFonts w:hint="default"/>
                <w:color w:val="auto"/>
                <w:lang w:val="en-US" w:eastAsia="zh-CN"/>
              </w:rPr>
              <w:t>Azollapinnalasubsp.asiatica</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6C1C">
            <w:pPr>
              <w:pStyle w:val="31"/>
              <w:bidi w:val="0"/>
              <w:jc w:val="center"/>
              <w:rPr>
                <w:rFonts w:hint="default"/>
                <w:color w:val="auto"/>
                <w:lang w:val="en-US" w:eastAsia="zh-CN"/>
              </w:rPr>
            </w:pPr>
            <w:r>
              <w:rPr>
                <w:rFonts w:hint="eastAsia"/>
                <w:color w:val="auto"/>
                <w:kern w:val="2"/>
                <w:lang w:val="en-US" w:eastAsia="zh-CN"/>
              </w:rPr>
              <w:t>评价区坑塘</w:t>
            </w:r>
          </w:p>
        </w:tc>
      </w:tr>
      <w:tr w14:paraId="7CAAB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9BE75">
            <w:pPr>
              <w:pStyle w:val="31"/>
              <w:bidi w:val="0"/>
              <w:jc w:val="center"/>
              <w:rPr>
                <w:rFonts w:hint="eastAsia"/>
                <w:color w:val="auto"/>
              </w:rPr>
            </w:pP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AE77">
            <w:pPr>
              <w:pStyle w:val="31"/>
              <w:bidi w:val="0"/>
              <w:jc w:val="center"/>
              <w:rPr>
                <w:rFonts w:hint="default"/>
                <w:color w:val="auto"/>
              </w:rPr>
            </w:pPr>
            <w:r>
              <w:rPr>
                <w:rFonts w:hint="default"/>
                <w:color w:val="auto"/>
                <w:lang w:val="en-US" w:eastAsia="zh-CN"/>
              </w:rPr>
              <w:t>VII</w:t>
            </w:r>
            <w:r>
              <w:rPr>
                <w:rFonts w:hint="eastAsia"/>
                <w:color w:val="auto"/>
                <w:lang w:val="en-US" w:eastAsia="zh-CN"/>
              </w:rPr>
              <w:t>沉水植物</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2975">
            <w:pPr>
              <w:pStyle w:val="31"/>
              <w:bidi w:val="0"/>
              <w:jc w:val="center"/>
              <w:rPr>
                <w:rFonts w:hint="eastAsia"/>
                <w:color w:val="auto"/>
              </w:rPr>
            </w:pPr>
            <w:r>
              <w:rPr>
                <w:rFonts w:hint="eastAsia"/>
                <w:color w:val="auto"/>
                <w:lang w:val="en-US" w:eastAsia="zh-CN"/>
              </w:rPr>
              <w:t>苦草群系</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5A19">
            <w:pPr>
              <w:pStyle w:val="31"/>
              <w:bidi w:val="0"/>
              <w:jc w:val="center"/>
              <w:rPr>
                <w:rFonts w:hint="default"/>
                <w:color w:val="auto"/>
              </w:rPr>
            </w:pPr>
            <w:r>
              <w:rPr>
                <w:rFonts w:hint="default"/>
                <w:color w:val="auto"/>
                <w:lang w:val="en-US" w:eastAsia="zh-CN"/>
              </w:rPr>
              <w:t>Vallisinerispiralis</w:t>
            </w:r>
          </w:p>
        </w:tc>
        <w:tc>
          <w:tcPr>
            <w:tcW w:w="4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D012">
            <w:pPr>
              <w:pStyle w:val="31"/>
              <w:bidi w:val="0"/>
              <w:jc w:val="center"/>
              <w:rPr>
                <w:rFonts w:hint="default"/>
                <w:color w:val="auto"/>
                <w:lang w:val="en-US" w:eastAsia="zh-CN"/>
              </w:rPr>
            </w:pPr>
            <w:r>
              <w:rPr>
                <w:rFonts w:hint="eastAsia"/>
                <w:color w:val="auto"/>
                <w:kern w:val="2"/>
                <w:lang w:val="en-US" w:eastAsia="zh-CN"/>
              </w:rPr>
              <w:t>评价区坑塘</w:t>
            </w:r>
          </w:p>
        </w:tc>
      </w:tr>
    </w:tbl>
    <w:p w14:paraId="1BAD4DCC">
      <w:pPr>
        <w:rPr>
          <w:rFonts w:hint="eastAsia"/>
          <w:color w:val="auto"/>
        </w:rPr>
      </w:pPr>
    </w:p>
    <w:p w14:paraId="6D13AEE4">
      <w:pPr>
        <w:rPr>
          <w:rFonts w:hint="eastAsia"/>
          <w:color w:val="auto"/>
          <w:lang w:val="en-US" w:eastAsia="zh-CN"/>
        </w:rPr>
      </w:pPr>
    </w:p>
    <w:p w14:paraId="16D16397">
      <w:pPr>
        <w:rPr>
          <w:rFonts w:hint="eastAsia"/>
          <w:color w:val="auto"/>
          <w:lang w:val="en-US" w:eastAsia="zh-CN"/>
        </w:rPr>
        <w:sectPr>
          <w:pgSz w:w="16838" w:h="11906" w:orient="landscape"/>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7311A624">
      <w:pPr>
        <w:pStyle w:val="5"/>
        <w:bidi w:val="0"/>
        <w:rPr>
          <w:rFonts w:hint="default" w:ascii="Times New Roman" w:hAnsi="Times New Roman" w:eastAsia="宋体" w:cs="Times New Roman"/>
          <w:color w:val="auto"/>
          <w:lang w:val="en-US" w:eastAsia="zh-CN"/>
        </w:rPr>
      </w:pPr>
      <w:bookmarkStart w:id="150" w:name="_Toc522804866"/>
      <w:bookmarkStart w:id="151" w:name="_Toc510813714"/>
      <w:r>
        <w:rPr>
          <w:rFonts w:hint="default" w:ascii="Times New Roman" w:hAnsi="Times New Roman" w:eastAsia="宋体" w:cs="Times New Roman"/>
          <w:color w:val="auto"/>
          <w:lang w:val="en-US" w:eastAsia="zh-CN"/>
        </w:rPr>
        <w:t>植被覆盖度</w:t>
      </w:r>
    </w:p>
    <w:p w14:paraId="2F0F09C9">
      <w:pPr>
        <w:keepNext w:val="0"/>
        <w:keepLines w:val="0"/>
        <w:pageBreakBefore w:val="0"/>
        <w:widowControl w:val="0"/>
        <w:kinsoku/>
        <w:wordWrap/>
        <w:overflowPunct/>
        <w:topLinePunct/>
        <w:autoSpaceDE w:val="0"/>
        <w:autoSpaceDN/>
        <w:bidi w:val="0"/>
        <w:adjustRightInd w:val="0"/>
        <w:snapToGrid w:val="0"/>
        <w:ind w:left="0" w:leftChars="0" w:firstLine="480"/>
        <w:jc w:val="left"/>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植被覆盖度可用于定量分析评价范围内的植被现状。</w:t>
      </w:r>
      <w:r>
        <w:rPr>
          <w:rFonts w:hint="default" w:ascii="Times New Roman" w:hAnsi="Times New Roman" w:cs="Times New Roman"/>
          <w:color w:val="auto"/>
          <w:sz w:val="24"/>
          <w:szCs w:val="24"/>
          <w:lang w:val="en-US" w:eastAsia="zh-CN"/>
        </w:rPr>
        <w:t>建设</w:t>
      </w:r>
      <w:r>
        <w:rPr>
          <w:rFonts w:hint="default" w:ascii="Times New Roman" w:hAnsi="Times New Roman" w:cs="Times New Roman"/>
          <w:color w:val="auto"/>
          <w:sz w:val="24"/>
          <w:szCs w:val="24"/>
        </w:rPr>
        <w:t>项目基于遥感估算植被覆盖度，根据区域特点和数据采用植被指数法进行评价。植被指数法主要是通过对各像元中植被类型及分布特征的分析，建立植被指数与植被覆盖度的转换关系。</w:t>
      </w:r>
    </w:p>
    <w:p w14:paraId="61E9573D">
      <w:pPr>
        <w:keepNext w:val="0"/>
        <w:keepLines w:val="0"/>
        <w:pageBreakBefore w:val="0"/>
        <w:widowControl w:val="0"/>
        <w:kinsoku/>
        <w:wordWrap/>
        <w:overflowPunct/>
        <w:topLinePunct/>
        <w:autoSpaceDE w:val="0"/>
        <w:autoSpaceDN/>
        <w:bidi w:val="0"/>
        <w:adjustRightInd w:val="0"/>
        <w:snapToGrid w:val="0"/>
        <w:ind w:left="0" w:leftChars="0" w:firstLine="480"/>
        <w:jc w:val="left"/>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采用归一化植被指数估算植被覆盖度，计算公式如下：</w:t>
      </w:r>
    </w:p>
    <w:p w14:paraId="506F9A8B">
      <w:pPr>
        <w:keepNext w:val="0"/>
        <w:keepLines w:val="0"/>
        <w:pageBreakBefore w:val="0"/>
        <w:widowControl w:val="0"/>
        <w:kinsoku/>
        <w:wordWrap/>
        <w:overflowPunct/>
        <w:topLinePunct/>
        <w:autoSpaceDE w:val="0"/>
        <w:autoSpaceDN/>
        <w:bidi w:val="0"/>
        <w:adjustRightInd w:val="0"/>
        <w:snapToGrid w:val="0"/>
        <w:spacing w:line="360" w:lineRule="auto"/>
        <w:ind w:left="0" w:leftChars="0" w:firstLine="0" w:firstLineChars="0"/>
        <w:jc w:val="center"/>
        <w:outlineLvl w:val="9"/>
        <w:rPr>
          <w:rFonts w:hint="default" w:ascii="Times New Roman" w:hAnsi="Times New Roman" w:cs="Times New Roman"/>
          <w:b w:val="0"/>
          <w:bCs/>
          <w:color w:val="auto"/>
          <w:sz w:val="24"/>
          <w:szCs w:val="24"/>
        </w:rPr>
      </w:pPr>
      <w:r>
        <w:rPr>
          <w:rFonts w:hint="default" w:ascii="Times New Roman" w:hAnsi="Times New Roman" w:cs="Times New Roman"/>
          <w:b w:val="0"/>
          <w:bCs/>
          <w:i/>
          <w:iCs/>
          <w:color w:val="auto"/>
          <w:sz w:val="24"/>
          <w:szCs w:val="24"/>
        </w:rPr>
        <w:t>FVC</w:t>
      </w:r>
      <w:r>
        <w:rPr>
          <w:rFonts w:hint="default" w:ascii="Times New Roman" w:hAnsi="Times New Roman" w:cs="Times New Roman"/>
          <w:b w:val="0"/>
          <w:bCs/>
          <w:color w:val="auto"/>
          <w:sz w:val="24"/>
          <w:szCs w:val="24"/>
        </w:rPr>
        <w:t>=(</w:t>
      </w:r>
      <w:r>
        <w:rPr>
          <w:rFonts w:hint="default" w:ascii="Times New Roman" w:hAnsi="Times New Roman" w:cs="Times New Roman"/>
          <w:b w:val="0"/>
          <w:bCs/>
          <w:i/>
          <w:iCs/>
          <w:color w:val="auto"/>
          <w:sz w:val="24"/>
          <w:szCs w:val="24"/>
        </w:rPr>
        <w:t>NDVI</w:t>
      </w:r>
      <w:r>
        <w:rPr>
          <w:rFonts w:hint="default" w:ascii="Times New Roman" w:hAnsi="Times New Roman" w:cs="Times New Roman"/>
          <w:b w:val="0"/>
          <w:bCs/>
          <w:color w:val="auto"/>
          <w:sz w:val="24"/>
          <w:szCs w:val="24"/>
        </w:rPr>
        <w:t>-</w:t>
      </w:r>
      <w:r>
        <w:rPr>
          <w:rFonts w:hint="default" w:ascii="Times New Roman" w:hAnsi="Times New Roman" w:cs="Times New Roman"/>
          <w:b w:val="0"/>
          <w:bCs/>
          <w:i/>
          <w:iCs/>
          <w:color w:val="auto"/>
          <w:sz w:val="24"/>
          <w:szCs w:val="24"/>
        </w:rPr>
        <w:t>NDVI</w:t>
      </w:r>
      <w:r>
        <w:rPr>
          <w:rFonts w:hint="default" w:ascii="Times New Roman" w:hAnsi="Times New Roman" w:cs="Times New Roman"/>
          <w:b w:val="0"/>
          <w:bCs/>
          <w:i/>
          <w:iCs/>
          <w:color w:val="auto"/>
          <w:sz w:val="24"/>
          <w:szCs w:val="24"/>
          <w:vertAlign w:val="subscript"/>
        </w:rPr>
        <w:t>s</w:t>
      </w:r>
      <w:r>
        <w:rPr>
          <w:rFonts w:hint="default" w:ascii="Times New Roman" w:hAnsi="Times New Roman" w:cs="Times New Roman"/>
          <w:b w:val="0"/>
          <w:bCs/>
          <w:color w:val="auto"/>
          <w:sz w:val="24"/>
          <w:szCs w:val="24"/>
        </w:rPr>
        <w:t>)/(</w:t>
      </w:r>
      <w:r>
        <w:rPr>
          <w:rFonts w:hint="default" w:ascii="Times New Roman" w:hAnsi="Times New Roman" w:cs="Times New Roman"/>
          <w:b w:val="0"/>
          <w:bCs/>
          <w:i/>
          <w:iCs/>
          <w:color w:val="auto"/>
          <w:sz w:val="24"/>
          <w:szCs w:val="24"/>
        </w:rPr>
        <w:t>NDVI</w:t>
      </w:r>
      <w:r>
        <w:rPr>
          <w:rFonts w:hint="default" w:ascii="Times New Roman" w:hAnsi="Times New Roman" w:cs="Times New Roman"/>
          <w:b w:val="0"/>
          <w:bCs/>
          <w:i/>
          <w:iCs/>
          <w:color w:val="auto"/>
          <w:sz w:val="24"/>
          <w:szCs w:val="24"/>
          <w:vertAlign w:val="subscript"/>
        </w:rPr>
        <w:t>v</w:t>
      </w:r>
      <w:r>
        <w:rPr>
          <w:rFonts w:hint="default" w:ascii="Times New Roman" w:hAnsi="Times New Roman" w:cs="Times New Roman"/>
          <w:b w:val="0"/>
          <w:bCs/>
          <w:color w:val="auto"/>
          <w:sz w:val="24"/>
          <w:szCs w:val="24"/>
        </w:rPr>
        <w:t>-</w:t>
      </w:r>
      <w:r>
        <w:rPr>
          <w:rFonts w:hint="default" w:ascii="Times New Roman" w:hAnsi="Times New Roman" w:cs="Times New Roman"/>
          <w:b w:val="0"/>
          <w:bCs/>
          <w:i/>
          <w:iCs/>
          <w:color w:val="auto"/>
          <w:sz w:val="24"/>
          <w:szCs w:val="24"/>
        </w:rPr>
        <w:t>NDVI</w:t>
      </w:r>
      <w:r>
        <w:rPr>
          <w:rFonts w:hint="default" w:ascii="Times New Roman" w:hAnsi="Times New Roman" w:cs="Times New Roman"/>
          <w:b w:val="0"/>
          <w:bCs/>
          <w:i/>
          <w:iCs/>
          <w:color w:val="auto"/>
          <w:sz w:val="24"/>
          <w:szCs w:val="24"/>
          <w:vertAlign w:val="subscript"/>
        </w:rPr>
        <w:t>s</w:t>
      </w:r>
      <w:r>
        <w:rPr>
          <w:rFonts w:hint="default" w:ascii="Times New Roman" w:hAnsi="Times New Roman" w:cs="Times New Roman"/>
          <w:b w:val="0"/>
          <w:bCs/>
          <w:color w:val="auto"/>
          <w:sz w:val="24"/>
          <w:szCs w:val="24"/>
        </w:rPr>
        <w:t>)</w:t>
      </w:r>
    </w:p>
    <w:p w14:paraId="72284E8D">
      <w:pPr>
        <w:keepNext w:val="0"/>
        <w:keepLines w:val="0"/>
        <w:pageBreakBefore w:val="0"/>
        <w:widowControl w:val="0"/>
        <w:kinsoku/>
        <w:wordWrap/>
        <w:overflowPunct/>
        <w:topLinePunct/>
        <w:autoSpaceDE w:val="0"/>
        <w:autoSpaceDN/>
        <w:bidi w:val="0"/>
        <w:adjustRightInd w:val="0"/>
        <w:snapToGrid w:val="0"/>
        <w:ind w:left="0" w:leftChars="0" w:firstLine="480"/>
        <w:jc w:val="left"/>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式中：</w:t>
      </w:r>
      <w:r>
        <w:rPr>
          <w:rFonts w:hint="default" w:ascii="Times New Roman" w:hAnsi="Times New Roman" w:cs="Times New Roman"/>
          <w:i/>
          <w:iCs/>
          <w:color w:val="auto"/>
          <w:sz w:val="24"/>
          <w:szCs w:val="24"/>
        </w:rPr>
        <w:t>FVC</w:t>
      </w:r>
      <w:r>
        <w:rPr>
          <w:rFonts w:hint="default" w:ascii="Times New Roman" w:hAnsi="Times New Roman" w:cs="Times New Roman"/>
          <w:color w:val="auto"/>
          <w:sz w:val="24"/>
          <w:szCs w:val="24"/>
        </w:rPr>
        <w:t>——所计算像元的植被覆盖度；</w:t>
      </w:r>
    </w:p>
    <w:p w14:paraId="3111F5E9">
      <w:pPr>
        <w:keepNext w:val="0"/>
        <w:keepLines w:val="0"/>
        <w:pageBreakBefore w:val="0"/>
        <w:widowControl w:val="0"/>
        <w:kinsoku/>
        <w:wordWrap/>
        <w:overflowPunct/>
        <w:topLinePunct/>
        <w:autoSpaceDE w:val="0"/>
        <w:autoSpaceDN/>
        <w:bidi w:val="0"/>
        <w:adjustRightInd w:val="0"/>
        <w:snapToGrid w:val="0"/>
        <w:ind w:left="0" w:leftChars="0" w:firstLine="1200" w:firstLineChars="500"/>
        <w:jc w:val="left"/>
        <w:outlineLvl w:val="9"/>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rPr>
        <w:t>NDVI</w:t>
      </w:r>
      <w:r>
        <w:rPr>
          <w:rFonts w:hint="default" w:ascii="Times New Roman" w:hAnsi="Times New Roman" w:cs="Times New Roman"/>
          <w:color w:val="auto"/>
          <w:sz w:val="24"/>
          <w:szCs w:val="24"/>
        </w:rPr>
        <w:t>——所计算像元的NDVI值；</w:t>
      </w:r>
    </w:p>
    <w:p w14:paraId="7C7F66D4">
      <w:pPr>
        <w:keepNext w:val="0"/>
        <w:keepLines w:val="0"/>
        <w:pageBreakBefore w:val="0"/>
        <w:widowControl w:val="0"/>
        <w:kinsoku/>
        <w:wordWrap/>
        <w:overflowPunct/>
        <w:topLinePunct/>
        <w:autoSpaceDE w:val="0"/>
        <w:autoSpaceDN/>
        <w:bidi w:val="0"/>
        <w:adjustRightInd w:val="0"/>
        <w:snapToGrid w:val="0"/>
        <w:ind w:left="0" w:leftChars="0" w:firstLine="1200" w:firstLineChars="500"/>
        <w:jc w:val="left"/>
        <w:outlineLvl w:val="9"/>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rPr>
        <w:t>NDVI</w:t>
      </w:r>
      <w:r>
        <w:rPr>
          <w:rFonts w:hint="default" w:ascii="Times New Roman" w:hAnsi="Times New Roman" w:cs="Times New Roman"/>
          <w:i/>
          <w:iCs/>
          <w:color w:val="auto"/>
          <w:sz w:val="24"/>
          <w:szCs w:val="24"/>
          <w:vertAlign w:val="subscript"/>
        </w:rPr>
        <w:t>v</w:t>
      </w:r>
      <w:r>
        <w:rPr>
          <w:rFonts w:hint="default" w:ascii="Times New Roman" w:hAnsi="Times New Roman" w:cs="Times New Roman"/>
          <w:color w:val="auto"/>
          <w:sz w:val="24"/>
          <w:szCs w:val="24"/>
        </w:rPr>
        <w:t>——纯植物像元的NDVI值；</w:t>
      </w:r>
    </w:p>
    <w:p w14:paraId="1E7BAFBB">
      <w:pPr>
        <w:keepNext w:val="0"/>
        <w:keepLines w:val="0"/>
        <w:pageBreakBefore w:val="0"/>
        <w:widowControl w:val="0"/>
        <w:kinsoku/>
        <w:wordWrap/>
        <w:overflowPunct/>
        <w:topLinePunct/>
        <w:autoSpaceDE w:val="0"/>
        <w:autoSpaceDN/>
        <w:bidi w:val="0"/>
        <w:adjustRightInd w:val="0"/>
        <w:snapToGrid w:val="0"/>
        <w:ind w:left="0" w:leftChars="0" w:firstLine="1200" w:firstLineChars="500"/>
        <w:jc w:val="left"/>
        <w:outlineLvl w:val="9"/>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rPr>
        <w:t>NDVI</w:t>
      </w:r>
      <w:r>
        <w:rPr>
          <w:rFonts w:hint="default" w:ascii="Times New Roman" w:hAnsi="Times New Roman" w:cs="Times New Roman"/>
          <w:i/>
          <w:iCs/>
          <w:color w:val="auto"/>
          <w:sz w:val="24"/>
          <w:szCs w:val="24"/>
          <w:vertAlign w:val="subscript"/>
        </w:rPr>
        <w:t>s</w:t>
      </w:r>
      <w:r>
        <w:rPr>
          <w:rFonts w:hint="default" w:ascii="Times New Roman" w:hAnsi="Times New Roman" w:cs="Times New Roman"/>
          <w:color w:val="auto"/>
          <w:sz w:val="24"/>
          <w:szCs w:val="24"/>
        </w:rPr>
        <w:t>——完全无植被覆盖像元的NDVI值。</w:t>
      </w:r>
    </w:p>
    <w:p w14:paraId="0596EAF7">
      <w:pPr>
        <w:keepNext w:val="0"/>
        <w:keepLines w:val="0"/>
        <w:pageBreakBefore w:val="0"/>
        <w:widowControl w:val="0"/>
        <w:kinsoku/>
        <w:wordWrap/>
        <w:overflowPunct/>
        <w:topLinePunct/>
        <w:autoSpaceDE w:val="0"/>
        <w:autoSpaceDN/>
        <w:bidi w:val="0"/>
        <w:adjustRightInd w:val="0"/>
        <w:snapToGrid w:val="0"/>
        <w:spacing w:line="360" w:lineRule="auto"/>
        <w:ind w:left="0" w:leftChars="0" w:firstLine="480"/>
        <w:jc w:val="both"/>
        <w:outlineLvl w:val="9"/>
        <w:rPr>
          <w:rFonts w:hint="default" w:ascii="Times New Roman" w:hAnsi="Times New Roman" w:cs="Times New Roman"/>
          <w:b w:val="0"/>
          <w:color w:val="auto"/>
          <w:sz w:val="24"/>
          <w:szCs w:val="24"/>
        </w:rPr>
      </w:pPr>
      <w:r>
        <w:rPr>
          <w:rFonts w:hint="default" w:ascii="Times New Roman" w:hAnsi="Times New Roman" w:cs="Times New Roman"/>
          <w:b w:val="0"/>
          <w:i/>
          <w:iCs/>
          <w:color w:val="auto"/>
          <w:sz w:val="24"/>
          <w:szCs w:val="24"/>
        </w:rPr>
        <w:t>NDVI</w:t>
      </w:r>
      <w:r>
        <w:rPr>
          <w:rFonts w:hint="default" w:ascii="Times New Roman" w:hAnsi="Times New Roman" w:cs="Times New Roman"/>
          <w:b w:val="0"/>
          <w:color w:val="auto"/>
          <w:sz w:val="24"/>
          <w:szCs w:val="24"/>
        </w:rPr>
        <w:t>指数越接近1，植被覆盖面积越大、植被生长状况越好（即绿色树叶面积越多）；数值是0的时候，可能是裸地或者建设用地。</w:t>
      </w:r>
    </w:p>
    <w:p w14:paraId="0A3A5BA4">
      <w:pPr>
        <w:keepNext w:val="0"/>
        <w:keepLines w:val="0"/>
        <w:pageBreakBefore w:val="0"/>
        <w:widowControl w:val="0"/>
        <w:kinsoku/>
        <w:wordWrap/>
        <w:overflowPunct/>
        <w:topLinePunct/>
        <w:autoSpaceDE w:val="0"/>
        <w:autoSpaceDN/>
        <w:bidi w:val="0"/>
        <w:adjustRightInd w:val="0"/>
        <w:snapToGrid w:val="0"/>
        <w:spacing w:line="360" w:lineRule="auto"/>
        <w:ind w:left="0" w:leftChars="0" w:firstLine="480"/>
        <w:jc w:val="both"/>
        <w:outlineLvl w:val="9"/>
        <w:rPr>
          <w:rFonts w:hint="default" w:ascii="Times New Roman" w:hAnsi="Times New Roman" w:cs="Times New Roman"/>
          <w:b w:val="0"/>
          <w:color w:val="auto"/>
          <w:sz w:val="24"/>
          <w:szCs w:val="24"/>
        </w:rPr>
      </w:pPr>
      <w:r>
        <w:rPr>
          <w:rFonts w:hint="default" w:ascii="Times New Roman" w:hAnsi="Times New Roman" w:cs="Times New Roman"/>
          <w:b w:val="0"/>
          <w:color w:val="auto"/>
          <w:sz w:val="24"/>
          <w:szCs w:val="24"/>
        </w:rPr>
        <w:t>可以看出，评价范围内的植被覆盖度整体较高，评价范围内植被覆盖度现状较好。</w:t>
      </w:r>
    </w:p>
    <w:p w14:paraId="59361745">
      <w:pPr>
        <w:pStyle w:val="11"/>
        <w:bidi w:val="0"/>
        <w:rPr>
          <w:rFonts w:hint="default"/>
        </w:rPr>
      </w:pPr>
      <w:r>
        <w:rPr>
          <w:rFonts w:hint="default"/>
        </w:rPr>
        <w:t>表</w:t>
      </w:r>
      <w:r>
        <w:fldChar w:fldCharType="begin"/>
      </w:r>
      <w:r>
        <w:instrText xml:space="preserve"> STYLEREF 2 \s </w:instrText>
      </w:r>
      <w:r>
        <w:fldChar w:fldCharType="separate"/>
      </w:r>
      <w:r>
        <w:t>4.3</w:t>
      </w:r>
      <w:r>
        <w:fldChar w:fldCharType="end"/>
      </w:r>
      <w:r>
        <w:rPr>
          <w:rFonts w:hint="eastAsia"/>
          <w:lang w:eastAsia="zh-CN"/>
        </w:rPr>
        <w:t>-</w:t>
      </w:r>
      <w:r>
        <w:fldChar w:fldCharType="begin"/>
      </w:r>
      <w:r>
        <w:instrText xml:space="preserve"> SEQ 表 \* ARABIC \s 2 </w:instrText>
      </w:r>
      <w:r>
        <w:fldChar w:fldCharType="separate"/>
      </w:r>
      <w:r>
        <w:t>7</w:t>
      </w:r>
      <w:r>
        <w:fldChar w:fldCharType="end"/>
      </w:r>
      <w:r>
        <w:rPr>
          <w:rFonts w:hint="default"/>
        </w:rPr>
        <w:t>评价范围植被覆盖度现状</w:t>
      </w:r>
    </w:p>
    <w:tbl>
      <w:tblPr>
        <w:tblStyle w:val="24"/>
        <w:tblW w:w="9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57"/>
        <w:gridCol w:w="1192"/>
        <w:gridCol w:w="1404"/>
        <w:gridCol w:w="1155"/>
        <w:gridCol w:w="1500"/>
        <w:gridCol w:w="1485"/>
        <w:gridCol w:w="1195"/>
      </w:tblGrid>
      <w:tr w14:paraId="63E62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3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B694">
            <w:pPr>
              <w:pStyle w:val="31"/>
              <w:bidi w:val="0"/>
              <w:jc w:val="center"/>
              <w:rPr>
                <w:rFonts w:hint="eastAsia"/>
                <w:color w:val="auto"/>
              </w:rPr>
            </w:pPr>
            <w:r>
              <w:rPr>
                <w:rFonts w:hint="eastAsia"/>
                <w:color w:val="auto"/>
                <w:lang w:val="en-US" w:eastAsia="zh-CN"/>
              </w:rPr>
              <w:t>植被覆盖度</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B80D">
            <w:pPr>
              <w:pStyle w:val="31"/>
              <w:bidi w:val="0"/>
              <w:jc w:val="center"/>
              <w:rPr>
                <w:rFonts w:hint="eastAsia"/>
                <w:color w:val="auto"/>
              </w:rPr>
            </w:pPr>
            <w:r>
              <w:rPr>
                <w:rFonts w:hint="eastAsia"/>
                <w:color w:val="auto"/>
                <w:lang w:val="en-US" w:eastAsia="zh-CN"/>
              </w:rPr>
              <w:t>低覆盖度</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A724">
            <w:pPr>
              <w:pStyle w:val="31"/>
              <w:bidi w:val="0"/>
              <w:jc w:val="center"/>
              <w:rPr>
                <w:rFonts w:hint="eastAsia"/>
                <w:color w:val="auto"/>
              </w:rPr>
            </w:pPr>
            <w:r>
              <w:rPr>
                <w:rFonts w:hint="eastAsia"/>
                <w:color w:val="auto"/>
                <w:lang w:val="en-US" w:eastAsia="zh-CN"/>
              </w:rPr>
              <w:t>中低覆盖度</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4520">
            <w:pPr>
              <w:pStyle w:val="31"/>
              <w:bidi w:val="0"/>
              <w:jc w:val="center"/>
              <w:rPr>
                <w:rFonts w:hint="eastAsia"/>
                <w:color w:val="auto"/>
              </w:rPr>
            </w:pPr>
            <w:r>
              <w:rPr>
                <w:rFonts w:hint="eastAsia"/>
                <w:color w:val="auto"/>
                <w:lang w:val="en-US" w:eastAsia="zh-CN"/>
              </w:rPr>
              <w:t>中覆盖度</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4FC3">
            <w:pPr>
              <w:pStyle w:val="31"/>
              <w:bidi w:val="0"/>
              <w:jc w:val="center"/>
              <w:rPr>
                <w:rFonts w:hint="eastAsia"/>
                <w:color w:val="auto"/>
              </w:rPr>
            </w:pPr>
            <w:r>
              <w:rPr>
                <w:rFonts w:hint="eastAsia"/>
                <w:color w:val="auto"/>
                <w:lang w:val="en-US" w:eastAsia="zh-CN"/>
              </w:rPr>
              <w:t>中高覆盖度</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CF63">
            <w:pPr>
              <w:pStyle w:val="31"/>
              <w:bidi w:val="0"/>
              <w:jc w:val="center"/>
              <w:rPr>
                <w:rFonts w:hint="eastAsia"/>
                <w:color w:val="auto"/>
              </w:rPr>
            </w:pPr>
            <w:r>
              <w:rPr>
                <w:rFonts w:hint="eastAsia"/>
                <w:color w:val="auto"/>
                <w:lang w:val="en-US" w:eastAsia="zh-CN"/>
              </w:rPr>
              <w:t>高度覆盖度</w:t>
            </w:r>
          </w:p>
        </w:tc>
        <w:tc>
          <w:tcPr>
            <w:tcW w:w="1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7538">
            <w:pPr>
              <w:pStyle w:val="31"/>
              <w:bidi w:val="0"/>
              <w:jc w:val="center"/>
              <w:rPr>
                <w:rFonts w:hint="eastAsia"/>
                <w:color w:val="auto"/>
              </w:rPr>
            </w:pPr>
            <w:r>
              <w:rPr>
                <w:rFonts w:hint="eastAsia"/>
                <w:color w:val="auto"/>
                <w:lang w:val="en-US" w:eastAsia="zh-CN"/>
              </w:rPr>
              <w:t>总和</w:t>
            </w:r>
          </w:p>
        </w:tc>
      </w:tr>
      <w:tr w14:paraId="7AF88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3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D9B5">
            <w:pPr>
              <w:pStyle w:val="31"/>
              <w:bidi w:val="0"/>
              <w:jc w:val="center"/>
              <w:rPr>
                <w:rFonts w:hint="eastAsia"/>
                <w:color w:val="auto"/>
              </w:rPr>
            </w:pPr>
            <w:r>
              <w:rPr>
                <w:rFonts w:hint="eastAsia"/>
                <w:color w:val="auto"/>
                <w:lang w:val="en-US" w:eastAsia="zh-CN"/>
              </w:rPr>
              <w:t>面积（公顷）</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FEE2">
            <w:pPr>
              <w:pStyle w:val="31"/>
              <w:bidi w:val="0"/>
              <w:jc w:val="center"/>
              <w:rPr>
                <w:rFonts w:hint="eastAsia"/>
                <w:color w:val="auto"/>
              </w:rPr>
            </w:pPr>
            <w:r>
              <w:rPr>
                <w:rFonts w:hint="eastAsia"/>
                <w:color w:val="auto"/>
                <w:lang w:val="en-US" w:eastAsia="zh-CN"/>
              </w:rPr>
              <w:t>203.14</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51BA">
            <w:pPr>
              <w:pStyle w:val="31"/>
              <w:bidi w:val="0"/>
              <w:jc w:val="center"/>
              <w:rPr>
                <w:rFonts w:hint="eastAsia"/>
                <w:color w:val="auto"/>
              </w:rPr>
            </w:pPr>
            <w:r>
              <w:rPr>
                <w:rFonts w:hint="eastAsia"/>
                <w:color w:val="auto"/>
                <w:lang w:val="en-US" w:eastAsia="zh-CN"/>
              </w:rPr>
              <w:t>268.37</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50C07">
            <w:pPr>
              <w:pStyle w:val="31"/>
              <w:bidi w:val="0"/>
              <w:jc w:val="center"/>
              <w:rPr>
                <w:rFonts w:hint="eastAsia"/>
                <w:color w:val="auto"/>
              </w:rPr>
            </w:pPr>
            <w:r>
              <w:rPr>
                <w:rFonts w:hint="eastAsia"/>
                <w:color w:val="auto"/>
                <w:lang w:val="en-US" w:eastAsia="zh-CN"/>
              </w:rPr>
              <w:t>339.34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11896">
            <w:pPr>
              <w:pStyle w:val="31"/>
              <w:bidi w:val="0"/>
              <w:jc w:val="center"/>
              <w:rPr>
                <w:rFonts w:hint="eastAsia"/>
                <w:color w:val="auto"/>
              </w:rPr>
            </w:pPr>
            <w:r>
              <w:rPr>
                <w:rFonts w:hint="eastAsia"/>
                <w:color w:val="auto"/>
                <w:lang w:val="en-US" w:eastAsia="zh-CN"/>
              </w:rPr>
              <w:t>308.79</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D69D">
            <w:pPr>
              <w:pStyle w:val="31"/>
              <w:bidi w:val="0"/>
              <w:jc w:val="center"/>
              <w:rPr>
                <w:rFonts w:hint="eastAsia"/>
                <w:color w:val="auto"/>
              </w:rPr>
            </w:pPr>
            <w:r>
              <w:rPr>
                <w:rFonts w:hint="eastAsia"/>
                <w:color w:val="auto"/>
                <w:lang w:val="en-US" w:eastAsia="zh-CN"/>
              </w:rPr>
              <w:t>880.11</w:t>
            </w:r>
          </w:p>
        </w:tc>
        <w:tc>
          <w:tcPr>
            <w:tcW w:w="1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9FFE">
            <w:pPr>
              <w:pStyle w:val="31"/>
              <w:bidi w:val="0"/>
              <w:jc w:val="center"/>
              <w:rPr>
                <w:rFonts w:hint="eastAsia"/>
                <w:color w:val="auto"/>
              </w:rPr>
            </w:pPr>
            <w:r>
              <w:rPr>
                <w:rFonts w:hint="eastAsia"/>
                <w:color w:val="auto"/>
                <w:lang w:val="en-US" w:eastAsia="zh-CN"/>
              </w:rPr>
              <w:t>1999.75</w:t>
            </w:r>
          </w:p>
        </w:tc>
      </w:tr>
      <w:tr w14:paraId="0C53A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3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A73D">
            <w:pPr>
              <w:pStyle w:val="31"/>
              <w:bidi w:val="0"/>
              <w:jc w:val="center"/>
              <w:rPr>
                <w:rFonts w:hint="eastAsia"/>
                <w:color w:val="auto"/>
              </w:rPr>
            </w:pPr>
            <w:r>
              <w:rPr>
                <w:rFonts w:hint="eastAsia"/>
                <w:color w:val="auto"/>
                <w:lang w:val="en-US" w:eastAsia="zh-CN"/>
              </w:rPr>
              <w:t>占比（%）</w:t>
            </w:r>
          </w:p>
        </w:tc>
        <w:tc>
          <w:tcPr>
            <w:tcW w:w="11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E11CD">
            <w:pPr>
              <w:pStyle w:val="31"/>
              <w:bidi w:val="0"/>
              <w:jc w:val="center"/>
              <w:rPr>
                <w:rFonts w:hint="eastAsia"/>
                <w:color w:val="auto"/>
              </w:rPr>
            </w:pPr>
            <w:r>
              <w:rPr>
                <w:rFonts w:hint="eastAsia"/>
                <w:color w:val="auto"/>
                <w:lang w:val="en-US" w:eastAsia="zh-CN"/>
              </w:rPr>
              <w:t>10.16</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B1640">
            <w:pPr>
              <w:pStyle w:val="31"/>
              <w:bidi w:val="0"/>
              <w:jc w:val="center"/>
              <w:rPr>
                <w:rFonts w:hint="eastAsia"/>
                <w:color w:val="auto"/>
              </w:rPr>
            </w:pPr>
            <w:r>
              <w:rPr>
                <w:rFonts w:hint="eastAsia"/>
                <w:color w:val="auto"/>
                <w:lang w:val="en-US" w:eastAsia="zh-CN"/>
              </w:rPr>
              <w:t>13.42</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A176">
            <w:pPr>
              <w:pStyle w:val="31"/>
              <w:bidi w:val="0"/>
              <w:jc w:val="center"/>
              <w:rPr>
                <w:rFonts w:hint="eastAsia"/>
                <w:color w:val="auto"/>
              </w:rPr>
            </w:pPr>
            <w:r>
              <w:rPr>
                <w:rFonts w:hint="eastAsia"/>
                <w:color w:val="auto"/>
                <w:lang w:val="en-US" w:eastAsia="zh-CN"/>
              </w:rPr>
              <w:t>16.97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2D66">
            <w:pPr>
              <w:pStyle w:val="31"/>
              <w:bidi w:val="0"/>
              <w:jc w:val="center"/>
              <w:rPr>
                <w:rFonts w:hint="eastAsia"/>
                <w:color w:val="auto"/>
              </w:rPr>
            </w:pPr>
            <w:r>
              <w:rPr>
                <w:rFonts w:hint="eastAsia"/>
                <w:color w:val="auto"/>
                <w:lang w:val="en-US" w:eastAsia="zh-CN"/>
              </w:rPr>
              <w:t>15.44</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01E9">
            <w:pPr>
              <w:pStyle w:val="31"/>
              <w:bidi w:val="0"/>
              <w:jc w:val="center"/>
              <w:rPr>
                <w:rFonts w:hint="eastAsia"/>
                <w:color w:val="auto"/>
              </w:rPr>
            </w:pPr>
            <w:r>
              <w:rPr>
                <w:rFonts w:hint="eastAsia"/>
                <w:color w:val="auto"/>
                <w:lang w:val="en-US" w:eastAsia="zh-CN"/>
              </w:rPr>
              <w:t>44.01</w:t>
            </w:r>
          </w:p>
        </w:tc>
        <w:tc>
          <w:tcPr>
            <w:tcW w:w="1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B3D8">
            <w:pPr>
              <w:pStyle w:val="31"/>
              <w:bidi w:val="0"/>
              <w:jc w:val="center"/>
              <w:rPr>
                <w:rFonts w:hint="eastAsia"/>
                <w:color w:val="auto"/>
              </w:rPr>
            </w:pPr>
            <w:r>
              <w:rPr>
                <w:rFonts w:hint="eastAsia"/>
                <w:color w:val="auto"/>
                <w:lang w:val="en-US" w:eastAsia="zh-CN"/>
              </w:rPr>
              <w:t>100.00</w:t>
            </w:r>
          </w:p>
        </w:tc>
      </w:tr>
      <w:tr w14:paraId="6CF08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28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7F4C1">
            <w:pPr>
              <w:pStyle w:val="31"/>
              <w:bidi w:val="0"/>
              <w:jc w:val="center"/>
              <w:rPr>
                <w:rFonts w:hint="eastAsia"/>
                <w:color w:val="auto"/>
                <w:lang w:val="en-US" w:eastAsia="zh-CN"/>
              </w:rPr>
            </w:pPr>
            <w:r>
              <w:rPr>
                <w:color w:val="auto"/>
              </w:rPr>
              <w:drawing>
                <wp:inline distT="0" distB="0" distL="114300" distR="114300">
                  <wp:extent cx="5675630" cy="3027680"/>
                  <wp:effectExtent l="4445" t="4445" r="15875" b="15875"/>
                  <wp:docPr id="78"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tc>
      </w:tr>
    </w:tbl>
    <w:p w14:paraId="629EB23F">
      <w:pPr>
        <w:pStyle w:val="11"/>
        <w:bidi w:val="0"/>
        <w:rPr>
          <w:rFonts w:hint="default"/>
          <w:color w:val="auto"/>
          <w:lang w:val="en-US" w:eastAsia="zh-CN"/>
        </w:rPr>
      </w:pPr>
      <w:r>
        <w:rPr>
          <w:rFonts w:hint="default"/>
          <w:color w:val="auto"/>
          <w:lang w:val="en-US" w:eastAsia="zh-CN"/>
        </w:rPr>
        <w:drawing>
          <wp:inline distT="0" distB="0" distL="114300" distR="114300">
            <wp:extent cx="5755005" cy="8134985"/>
            <wp:effectExtent l="0" t="0" r="17145" b="18415"/>
            <wp:docPr id="79" name="图片 79" descr="植被覆盖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植被覆盖度"/>
                    <pic:cNvPicPr>
                      <a:picLocks noChangeAspect="1"/>
                    </pic:cNvPicPr>
                  </pic:nvPicPr>
                  <pic:blipFill>
                    <a:blip r:embed="rId75"/>
                    <a:stretch>
                      <a:fillRect/>
                    </a:stretch>
                  </pic:blipFill>
                  <pic:spPr>
                    <a:xfrm>
                      <a:off x="0" y="0"/>
                      <a:ext cx="5755005" cy="8134985"/>
                    </a:xfrm>
                    <a:prstGeom prst="rect">
                      <a:avLst/>
                    </a:prstGeom>
                  </pic:spPr>
                </pic:pic>
              </a:graphicData>
            </a:graphic>
          </wp:inline>
        </w:drawing>
      </w:r>
    </w:p>
    <w:p w14:paraId="1A471856">
      <w:pPr>
        <w:pStyle w:val="11"/>
        <w:bidi w:val="0"/>
        <w:rPr>
          <w:rFonts w:hint="eastAsia"/>
          <w:color w:val="auto"/>
        </w:rPr>
        <w:sectPr>
          <w:pgSz w:w="11906" w:h="16838"/>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6</w:t>
      </w:r>
      <w:r>
        <w:rPr>
          <w:color w:val="auto"/>
        </w:rPr>
        <w:fldChar w:fldCharType="end"/>
      </w:r>
      <w:r>
        <w:rPr>
          <w:rFonts w:hint="eastAsia"/>
          <w:color w:val="auto"/>
        </w:rPr>
        <w:t>评价范围植被覆盖度空间分布图</w:t>
      </w:r>
    </w:p>
    <w:p w14:paraId="18F264D7">
      <w:pPr>
        <w:pStyle w:val="5"/>
        <w:bidi w:val="0"/>
        <w:rPr>
          <w:rFonts w:hint="default"/>
          <w:color w:val="auto"/>
          <w:lang w:val="en-US" w:eastAsia="zh-CN"/>
        </w:rPr>
      </w:pPr>
      <w:r>
        <w:rPr>
          <w:rFonts w:hint="default"/>
          <w:color w:val="auto"/>
          <w:lang w:val="en-US" w:eastAsia="zh-CN"/>
        </w:rPr>
        <w:t>珍稀濒危植物</w:t>
      </w:r>
      <w:bookmarkEnd w:id="150"/>
      <w:bookmarkEnd w:id="151"/>
    </w:p>
    <w:p w14:paraId="208E8527">
      <w:pPr>
        <w:bidi w:val="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2021年国家公布的《国家重点保护野生植物名录》，本次调查发现评价区内现有国家Ⅱ级野生保护植物仅1种:野大豆(Gbrcinesoja)，为豆科大豆属一年生缠绕草本，分布于离5#抛泥区大约50米外的堤坝上，因基本枯萎，估算总面积约8m</w:t>
      </w:r>
      <w:r>
        <w:rPr>
          <w:rFonts w:hint="eastAsia" w:ascii="Times New Roman" w:hAnsi="Times New Roman" w:eastAsia="宋体"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w:t>
      </w:r>
    </w:p>
    <w:p w14:paraId="47408AE4">
      <w:pPr>
        <w:bidi w:val="0"/>
        <w:rPr>
          <w:rFonts w:hint="eastAsia"/>
          <w:color w:val="auto"/>
          <w:lang w:val="en-US" w:eastAsia="zh-CN"/>
        </w:rPr>
      </w:pPr>
      <w:r>
        <w:rPr>
          <w:rFonts w:hint="eastAsia"/>
          <w:color w:val="auto"/>
          <w:lang w:val="en-US" w:eastAsia="zh-CN"/>
        </w:rPr>
        <w:t>经查阅资料和访问调查，本项目沿线乡镇森林资源总量比例较小，林地呈小面积斑块分布，评价范围内未发现挂牌的古树名木和列入重点保护的野生植物分布，但项目在施工时，如遇到珍稀濒危植物，仍应采取措施进行保护。</w:t>
      </w:r>
    </w:p>
    <w:p w14:paraId="44D2D0DB">
      <w:pPr>
        <w:bidi w:val="0"/>
        <w:ind w:left="0" w:leftChars="0" w:firstLine="0" w:firstLineChars="0"/>
        <w:rPr>
          <w:color w:val="auto"/>
        </w:rPr>
      </w:pPr>
      <w:r>
        <w:rPr>
          <w:color w:val="auto"/>
        </w:rPr>
        <w:drawing>
          <wp:inline distT="0" distB="0" distL="114300" distR="114300">
            <wp:extent cx="5756275" cy="3395345"/>
            <wp:effectExtent l="0" t="0" r="15875" b="14605"/>
            <wp:docPr id="7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7"/>
                    <pic:cNvPicPr>
                      <a:picLocks noChangeAspect="1"/>
                    </pic:cNvPicPr>
                  </pic:nvPicPr>
                  <pic:blipFill>
                    <a:blip r:embed="rId76"/>
                    <a:stretch>
                      <a:fillRect/>
                    </a:stretch>
                  </pic:blipFill>
                  <pic:spPr>
                    <a:xfrm>
                      <a:off x="0" y="0"/>
                      <a:ext cx="5756275" cy="3395345"/>
                    </a:xfrm>
                    <a:prstGeom prst="rect">
                      <a:avLst/>
                    </a:prstGeom>
                    <a:noFill/>
                    <a:ln>
                      <a:noFill/>
                    </a:ln>
                  </pic:spPr>
                </pic:pic>
              </a:graphicData>
            </a:graphic>
          </wp:inline>
        </w:drawing>
      </w:r>
    </w:p>
    <w:p w14:paraId="44D9302D">
      <w:pPr>
        <w:pStyle w:val="11"/>
        <w:bidi w:val="0"/>
        <w:rPr>
          <w:rFonts w:hint="default"/>
          <w:color w:val="auto"/>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7</w:t>
      </w:r>
      <w:r>
        <w:rPr>
          <w:color w:val="auto"/>
        </w:rPr>
        <w:fldChar w:fldCharType="end"/>
      </w:r>
      <w:r>
        <w:rPr>
          <w:rFonts w:hint="eastAsia"/>
          <w:color w:val="auto"/>
          <w:lang w:val="en-US" w:eastAsia="zh-CN"/>
        </w:rPr>
        <w:t>评价区内野大豆生长现状图</w:t>
      </w:r>
    </w:p>
    <w:p w14:paraId="0C79AD38">
      <w:pPr>
        <w:pStyle w:val="5"/>
        <w:bidi w:val="0"/>
        <w:rPr>
          <w:rFonts w:hint="default"/>
          <w:color w:val="auto"/>
          <w:lang w:val="en-US" w:eastAsia="zh-CN"/>
        </w:rPr>
      </w:pPr>
      <w:r>
        <w:rPr>
          <w:rFonts w:hint="eastAsia"/>
          <w:color w:val="auto"/>
          <w:lang w:val="en-US" w:eastAsia="zh-CN"/>
        </w:rPr>
        <w:t>外来入侵</w:t>
      </w:r>
      <w:r>
        <w:rPr>
          <w:rFonts w:hint="default"/>
          <w:color w:val="auto"/>
          <w:lang w:val="en-US" w:eastAsia="zh-CN"/>
        </w:rPr>
        <w:t>植物</w:t>
      </w:r>
    </w:p>
    <w:p w14:paraId="0EAA833C">
      <w:pPr>
        <w:bidi w:val="0"/>
        <w:rPr>
          <w:rFonts w:hint="eastAsia"/>
          <w:color w:val="auto"/>
          <w:lang w:val="en-US" w:eastAsia="zh-CN"/>
        </w:rPr>
      </w:pPr>
      <w:r>
        <w:rPr>
          <w:rFonts w:hint="eastAsia"/>
          <w:color w:val="auto"/>
          <w:lang w:val="en-US" w:eastAsia="zh-CN"/>
        </w:rPr>
        <w:t>据《中国外来入侵物种名单》（第一批，2003年）、《中国外来入侵物种名单》（第二批，2010年）、《中国外来入侵物种名单》（第三批，2014年）、《中国自然生态系统外来入侵物种名单》（第四批，2016年），通过现场实地调查，评价区内的外来入侵物种有5种，分别为小蓬草（Conyzacanadensis）、一年蓬（Erigeronannuus）、土荆芥（Chenopodiumambrosioides）、加拿大一枝黄花（SolidagocanadensisL.）及喜旱莲子草（Alternantheraphiloxeroides）。生态入侵植物如小飞蓬、一年蓬、加拿大一枝黄花等生长较为迅速，将会对公园内的湿地植物多样性构成较大威胁。</w:t>
      </w:r>
    </w:p>
    <w:p w14:paraId="646489CA">
      <w:pPr>
        <w:pStyle w:val="11"/>
        <w:rPr>
          <w:color w:val="auto"/>
        </w:rPr>
      </w:pPr>
      <w:r>
        <w:rPr>
          <w:color w:val="auto"/>
        </w:rPr>
        <w:t>表</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8</w:t>
      </w:r>
      <w:r>
        <w:rPr>
          <w:color w:val="auto"/>
        </w:rPr>
        <w:fldChar w:fldCharType="end"/>
      </w:r>
      <w:r>
        <w:rPr>
          <w:rFonts w:hint="eastAsia"/>
          <w:color w:val="auto"/>
        </w:rPr>
        <w:t>评级区外来入侵植物</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9" w:type="dxa"/>
          <w:left w:w="113" w:type="dxa"/>
          <w:bottom w:w="0" w:type="dxa"/>
          <w:right w:w="62" w:type="dxa"/>
        </w:tblCellMar>
      </w:tblPr>
      <w:tblGrid>
        <w:gridCol w:w="1726"/>
        <w:gridCol w:w="2125"/>
        <w:gridCol w:w="1356"/>
        <w:gridCol w:w="2843"/>
        <w:gridCol w:w="1197"/>
      </w:tblGrid>
      <w:tr w14:paraId="51B7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9" w:type="dxa"/>
            <w:left w:w="113" w:type="dxa"/>
            <w:bottom w:w="0" w:type="dxa"/>
            <w:right w:w="62" w:type="dxa"/>
          </w:tblCellMar>
        </w:tblPrEx>
        <w:trPr>
          <w:trHeight w:val="501" w:hRule="atLeast"/>
        </w:trPr>
        <w:tc>
          <w:tcPr>
            <w:tcW w:w="933" w:type="pct"/>
            <w:vAlign w:val="center"/>
          </w:tcPr>
          <w:p w14:paraId="605A7C3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zh-CN" w:eastAsia="zh-CN" w:bidi="zh-CN"/>
              </w:rPr>
            </w:pPr>
            <w:r>
              <w:rPr>
                <w:rFonts w:hint="default" w:ascii="Times New Roman" w:hAnsi="Times New Roman" w:eastAsia="宋体" w:cs="Times New Roman"/>
                <w:b/>
                <w:bCs/>
                <w:color w:val="auto"/>
                <w:kern w:val="2"/>
                <w:sz w:val="21"/>
                <w:szCs w:val="21"/>
                <w:lang w:val="zh-CN" w:eastAsia="zh-CN" w:bidi="zh-CN"/>
              </w:rPr>
              <w:t>植物名称</w:t>
            </w:r>
          </w:p>
        </w:tc>
        <w:tc>
          <w:tcPr>
            <w:tcW w:w="1149" w:type="pct"/>
            <w:vAlign w:val="center"/>
          </w:tcPr>
          <w:p w14:paraId="41502D1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eastAsia="zh-CN" w:bidi="zh-CN"/>
              </w:rPr>
            </w:pPr>
            <w:r>
              <w:rPr>
                <w:rFonts w:hint="eastAsia" w:ascii="Times New Roman" w:hAnsi="Times New Roman" w:eastAsia="宋体" w:cs="Times New Roman"/>
                <w:b/>
                <w:bCs/>
                <w:color w:val="auto"/>
                <w:kern w:val="2"/>
                <w:sz w:val="21"/>
                <w:szCs w:val="21"/>
                <w:lang w:val="en-US" w:eastAsia="zh-CN" w:bidi="zh-CN"/>
              </w:rPr>
              <w:t>学名</w:t>
            </w:r>
          </w:p>
        </w:tc>
        <w:tc>
          <w:tcPr>
            <w:tcW w:w="733" w:type="pct"/>
            <w:vAlign w:val="center"/>
          </w:tcPr>
          <w:p w14:paraId="4035654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eastAsia="zh-CN" w:bidi="zh-CN"/>
              </w:rPr>
            </w:pPr>
            <w:r>
              <w:rPr>
                <w:rFonts w:hint="eastAsia" w:cs="Times New Roman"/>
                <w:b/>
                <w:bCs/>
                <w:color w:val="auto"/>
                <w:kern w:val="2"/>
                <w:sz w:val="21"/>
                <w:szCs w:val="21"/>
                <w:lang w:val="en-US" w:eastAsia="zh-CN" w:bidi="zh-CN"/>
              </w:rPr>
              <w:t>原产地</w:t>
            </w:r>
          </w:p>
        </w:tc>
        <w:tc>
          <w:tcPr>
            <w:tcW w:w="1537" w:type="pct"/>
            <w:vAlign w:val="center"/>
          </w:tcPr>
          <w:p w14:paraId="19E3C0F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eastAsia="zh-CN" w:bidi="zh-CN"/>
              </w:rPr>
            </w:pPr>
            <w:r>
              <w:rPr>
                <w:rFonts w:hint="eastAsia" w:ascii="Times New Roman" w:hAnsi="Times New Roman" w:eastAsia="宋体" w:cs="Times New Roman"/>
                <w:b/>
                <w:bCs/>
                <w:color w:val="auto"/>
                <w:kern w:val="2"/>
                <w:sz w:val="21"/>
                <w:szCs w:val="21"/>
                <w:lang w:val="en-US" w:eastAsia="zh-CN" w:bidi="zh-CN"/>
              </w:rPr>
              <w:t>调查照片</w:t>
            </w:r>
          </w:p>
        </w:tc>
        <w:tc>
          <w:tcPr>
            <w:tcW w:w="647" w:type="pct"/>
            <w:vAlign w:val="center"/>
          </w:tcPr>
          <w:p w14:paraId="5AF449C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zh-CN" w:eastAsia="zh-CN" w:bidi="zh-CN"/>
              </w:rPr>
            </w:pPr>
            <w:r>
              <w:rPr>
                <w:rFonts w:hint="default" w:ascii="Times New Roman" w:hAnsi="Times New Roman" w:eastAsia="宋体" w:cs="Times New Roman"/>
                <w:b/>
                <w:bCs/>
                <w:color w:val="auto"/>
                <w:kern w:val="2"/>
                <w:sz w:val="21"/>
                <w:szCs w:val="21"/>
                <w:lang w:val="zh-CN" w:eastAsia="zh-CN" w:bidi="zh-CN"/>
              </w:rPr>
              <w:t>分布情况</w:t>
            </w:r>
          </w:p>
        </w:tc>
      </w:tr>
      <w:tr w14:paraId="6A759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9" w:type="dxa"/>
            <w:left w:w="113" w:type="dxa"/>
            <w:bottom w:w="0" w:type="dxa"/>
            <w:right w:w="62" w:type="dxa"/>
          </w:tblCellMar>
        </w:tblPrEx>
        <w:trPr>
          <w:trHeight w:val="2608" w:hRule="exact"/>
        </w:trPr>
        <w:tc>
          <w:tcPr>
            <w:tcW w:w="933" w:type="pct"/>
            <w:vAlign w:val="center"/>
          </w:tcPr>
          <w:p w14:paraId="47C58E0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eastAsia" w:ascii="Times New Roman" w:hAnsi="Times New Roman" w:eastAsia="宋体" w:cs="Times New Roman"/>
                <w:b w:val="0"/>
                <w:bCs w:val="0"/>
                <w:color w:val="auto"/>
                <w:kern w:val="2"/>
                <w:sz w:val="21"/>
                <w:szCs w:val="21"/>
                <w:lang w:val="en-US" w:eastAsia="zh-CN" w:bidi="zh-CN"/>
              </w:rPr>
              <w:t>加拿大一枝黄花</w:t>
            </w:r>
          </w:p>
        </w:tc>
        <w:tc>
          <w:tcPr>
            <w:tcW w:w="1149" w:type="pct"/>
            <w:vAlign w:val="center"/>
          </w:tcPr>
          <w:p w14:paraId="0C02F2F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val="0"/>
                <w:bCs w:val="0"/>
                <w:color w:val="auto"/>
                <w:kern w:val="2"/>
                <w:sz w:val="21"/>
                <w:szCs w:val="21"/>
                <w:lang w:val="en-US" w:eastAsia="zh-CN" w:bidi="zh-CN"/>
              </w:rPr>
            </w:pPr>
            <w:r>
              <w:rPr>
                <w:rFonts w:hint="default" w:ascii="Times New Roman" w:hAnsi="Times New Roman" w:eastAsia="宋体" w:cs="Times New Roman"/>
                <w:b w:val="0"/>
                <w:bCs w:val="0"/>
                <w:i/>
                <w:iCs/>
                <w:color w:val="auto"/>
                <w:kern w:val="2"/>
                <w:sz w:val="21"/>
                <w:szCs w:val="21"/>
                <w:lang w:val="zh-CN" w:eastAsia="zh-CN" w:bidi="zh-CN"/>
              </w:rPr>
              <w:t>Solidagocanadensis</w:t>
            </w:r>
          </w:p>
        </w:tc>
        <w:tc>
          <w:tcPr>
            <w:tcW w:w="733" w:type="pct"/>
            <w:vAlign w:val="center"/>
          </w:tcPr>
          <w:p w14:paraId="51D6F4A4">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en-US" w:eastAsia="zh-CN" w:bidi="zh-CN"/>
              </w:rPr>
            </w:pPr>
            <w:r>
              <w:rPr>
                <w:rFonts w:hint="default" w:ascii="Times New Roman" w:hAnsi="Times New Roman" w:eastAsia="宋体" w:cs="Times New Roman"/>
                <w:b w:val="0"/>
                <w:bCs w:val="0"/>
                <w:color w:val="auto"/>
                <w:kern w:val="2"/>
                <w:sz w:val="21"/>
                <w:szCs w:val="21"/>
                <w:lang w:val="en-US" w:eastAsia="zh-CN" w:bidi="zh-CN"/>
              </w:rPr>
              <w:t>北美洲</w:t>
            </w:r>
          </w:p>
        </w:tc>
        <w:tc>
          <w:tcPr>
            <w:tcW w:w="1537" w:type="pct"/>
            <w:vAlign w:val="center"/>
          </w:tcPr>
          <w:p w14:paraId="1CE8CA5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val="0"/>
                <w:bCs w:val="0"/>
                <w:color w:val="auto"/>
                <w:kern w:val="2"/>
                <w:sz w:val="21"/>
                <w:szCs w:val="21"/>
                <w:lang w:val="en-US" w:eastAsia="zh-CN" w:bidi="zh-CN"/>
              </w:rPr>
            </w:pPr>
            <w:r>
              <w:rPr>
                <w:rFonts w:hint="eastAsia" w:ascii="Times New Roman" w:hAnsi="Times New Roman" w:eastAsia="宋体" w:cs="Times New Roman"/>
                <w:b w:val="0"/>
                <w:bCs w:val="0"/>
                <w:color w:val="auto"/>
                <w:kern w:val="2"/>
                <w:sz w:val="21"/>
                <w:szCs w:val="21"/>
                <w:lang w:val="en-US" w:eastAsia="zh-CN" w:bidi="zh-CN"/>
              </w:rPr>
              <w:drawing>
                <wp:inline distT="0" distB="0" distL="114300" distR="114300">
                  <wp:extent cx="1367790" cy="1531620"/>
                  <wp:effectExtent l="0" t="0" r="3810" b="5080"/>
                  <wp:docPr id="265" name="图片 265" descr="IMG2021121210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65" descr="IMG20211212101619"/>
                          <pic:cNvPicPr>
                            <a:picLocks noChangeAspect="1"/>
                          </pic:cNvPicPr>
                        </pic:nvPicPr>
                        <pic:blipFill>
                          <a:blip r:embed="rId77"/>
                          <a:srcRect t="16006"/>
                          <a:stretch>
                            <a:fillRect/>
                          </a:stretch>
                        </pic:blipFill>
                        <pic:spPr>
                          <a:xfrm>
                            <a:off x="0" y="0"/>
                            <a:ext cx="1367790" cy="1531620"/>
                          </a:xfrm>
                          <a:prstGeom prst="rect">
                            <a:avLst/>
                          </a:prstGeom>
                        </pic:spPr>
                      </pic:pic>
                    </a:graphicData>
                  </a:graphic>
                </wp:inline>
              </w:drawing>
            </w:r>
          </w:p>
        </w:tc>
        <w:tc>
          <w:tcPr>
            <w:tcW w:w="647" w:type="pct"/>
            <w:vMerge w:val="restart"/>
            <w:vAlign w:val="center"/>
          </w:tcPr>
          <w:p w14:paraId="54A95DB3">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b w:val="0"/>
                <w:bCs w:val="0"/>
                <w:color w:val="auto"/>
                <w:kern w:val="2"/>
                <w:sz w:val="21"/>
                <w:szCs w:val="21"/>
                <w:lang w:val="en-US" w:eastAsia="zh-CN" w:bidi="zh-CN"/>
              </w:rPr>
            </w:pPr>
            <w:r>
              <w:rPr>
                <w:rFonts w:hint="eastAsia" w:ascii="Times New Roman" w:hAnsi="Times New Roman" w:eastAsia="宋体" w:cs="Times New Roman"/>
                <w:b w:val="0"/>
                <w:bCs w:val="0"/>
                <w:color w:val="auto"/>
                <w:kern w:val="2"/>
                <w:sz w:val="21"/>
                <w:szCs w:val="21"/>
                <w:lang w:val="en-US" w:eastAsia="zh-CN" w:bidi="zh-CN"/>
              </w:rPr>
              <w:t>评价区</w:t>
            </w:r>
            <w:r>
              <w:rPr>
                <w:rFonts w:hint="default" w:ascii="Times New Roman" w:hAnsi="Times New Roman" w:eastAsia="宋体" w:cs="Times New Roman"/>
                <w:b w:val="0"/>
                <w:bCs w:val="0"/>
                <w:color w:val="auto"/>
                <w:kern w:val="2"/>
                <w:sz w:val="21"/>
                <w:szCs w:val="21"/>
                <w:lang w:val="zh-CN" w:eastAsia="zh-CN" w:bidi="zh-CN"/>
              </w:rPr>
              <w:t>村庄</w:t>
            </w:r>
            <w:r>
              <w:rPr>
                <w:rFonts w:hint="eastAsia" w:ascii="Times New Roman" w:hAnsi="Times New Roman" w:eastAsia="宋体" w:cs="Times New Roman"/>
                <w:b w:val="0"/>
                <w:bCs w:val="0"/>
                <w:color w:val="auto"/>
                <w:kern w:val="2"/>
                <w:sz w:val="21"/>
                <w:szCs w:val="21"/>
                <w:lang w:val="zh-CN" w:eastAsia="zh-CN" w:bidi="zh-CN"/>
              </w:rPr>
              <w:t>、</w:t>
            </w:r>
            <w:r>
              <w:rPr>
                <w:rFonts w:hint="default" w:ascii="Times New Roman" w:hAnsi="Times New Roman" w:eastAsia="宋体" w:cs="Times New Roman"/>
                <w:b w:val="0"/>
                <w:bCs w:val="0"/>
                <w:color w:val="auto"/>
                <w:kern w:val="2"/>
                <w:sz w:val="21"/>
                <w:szCs w:val="21"/>
                <w:lang w:val="zh-CN" w:eastAsia="zh-CN" w:bidi="zh-CN"/>
              </w:rPr>
              <w:t>公路</w:t>
            </w:r>
            <w:r>
              <w:rPr>
                <w:rFonts w:hint="eastAsia" w:ascii="Times New Roman" w:hAnsi="Times New Roman" w:eastAsia="宋体" w:cs="Times New Roman"/>
                <w:b w:val="0"/>
                <w:bCs w:val="0"/>
                <w:color w:val="auto"/>
                <w:kern w:val="2"/>
                <w:sz w:val="21"/>
                <w:szCs w:val="21"/>
                <w:lang w:val="en-US" w:eastAsia="zh-CN" w:bidi="zh-CN"/>
              </w:rPr>
              <w:t>沿线可</w:t>
            </w:r>
            <w:r>
              <w:rPr>
                <w:rFonts w:hint="default" w:ascii="Times New Roman" w:hAnsi="Times New Roman" w:eastAsia="宋体" w:cs="Times New Roman"/>
                <w:b w:val="0"/>
                <w:bCs w:val="0"/>
                <w:color w:val="auto"/>
                <w:kern w:val="2"/>
                <w:sz w:val="21"/>
                <w:szCs w:val="21"/>
                <w:lang w:val="zh-CN" w:eastAsia="zh-CN" w:bidi="zh-CN"/>
              </w:rPr>
              <w:t>见</w:t>
            </w:r>
          </w:p>
        </w:tc>
      </w:tr>
      <w:tr w14:paraId="5B99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9" w:type="dxa"/>
            <w:left w:w="113" w:type="dxa"/>
            <w:bottom w:w="0" w:type="dxa"/>
            <w:right w:w="62" w:type="dxa"/>
          </w:tblCellMar>
        </w:tblPrEx>
        <w:trPr>
          <w:trHeight w:val="2608" w:hRule="exact"/>
        </w:trPr>
        <w:tc>
          <w:tcPr>
            <w:tcW w:w="933" w:type="pct"/>
            <w:vAlign w:val="center"/>
          </w:tcPr>
          <w:p w14:paraId="5D39DD1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小飞蓬</w:t>
            </w:r>
          </w:p>
        </w:tc>
        <w:tc>
          <w:tcPr>
            <w:tcW w:w="1149" w:type="pct"/>
            <w:vAlign w:val="center"/>
          </w:tcPr>
          <w:p w14:paraId="5EDD3D0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i/>
                <w:iCs/>
                <w:color w:val="auto"/>
                <w:kern w:val="2"/>
                <w:sz w:val="21"/>
                <w:szCs w:val="21"/>
                <w:lang w:val="zh-CN" w:eastAsia="zh-CN" w:bidi="zh-CN"/>
              </w:rPr>
            </w:pPr>
            <w:r>
              <w:rPr>
                <w:rFonts w:hint="default" w:ascii="Times New Roman" w:hAnsi="Times New Roman" w:eastAsia="宋体" w:cs="Times New Roman"/>
                <w:b w:val="0"/>
                <w:bCs w:val="0"/>
                <w:i/>
                <w:iCs/>
                <w:color w:val="auto"/>
                <w:kern w:val="2"/>
                <w:sz w:val="21"/>
                <w:szCs w:val="21"/>
                <w:lang w:val="zh-CN" w:eastAsia="zh-CN" w:bidi="zh-CN"/>
              </w:rPr>
              <w:t>Conyzacanadensis</w:t>
            </w:r>
          </w:p>
        </w:tc>
        <w:tc>
          <w:tcPr>
            <w:tcW w:w="733" w:type="pct"/>
            <w:vAlign w:val="center"/>
          </w:tcPr>
          <w:p w14:paraId="19900C9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北美洲</w:t>
            </w:r>
          </w:p>
        </w:tc>
        <w:tc>
          <w:tcPr>
            <w:tcW w:w="1537" w:type="pct"/>
            <w:vAlign w:val="center"/>
          </w:tcPr>
          <w:p w14:paraId="1A219EF4">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ascii="宋体" w:hAnsi="宋体" w:eastAsia="宋体" w:cs="宋体"/>
                <w:color w:val="auto"/>
                <w:kern w:val="2"/>
                <w:sz w:val="24"/>
                <w:szCs w:val="24"/>
              </w:rPr>
              <w:drawing>
                <wp:inline distT="0" distB="0" distL="114300" distR="114300">
                  <wp:extent cx="1367790" cy="1557655"/>
                  <wp:effectExtent l="0" t="0" r="3810" b="4445"/>
                  <wp:docPr id="26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1" descr="IMG_256"/>
                          <pic:cNvPicPr>
                            <a:picLocks noChangeAspect="1"/>
                          </pic:cNvPicPr>
                        </pic:nvPicPr>
                        <pic:blipFill>
                          <a:blip r:embed="rId78"/>
                          <a:srcRect t="4223" b="19963"/>
                          <a:stretch>
                            <a:fillRect/>
                          </a:stretch>
                        </pic:blipFill>
                        <pic:spPr>
                          <a:xfrm>
                            <a:off x="0" y="0"/>
                            <a:ext cx="1367790" cy="1557655"/>
                          </a:xfrm>
                          <a:prstGeom prst="rect">
                            <a:avLst/>
                          </a:prstGeom>
                          <a:noFill/>
                          <a:ln w="9525">
                            <a:noFill/>
                          </a:ln>
                        </pic:spPr>
                      </pic:pic>
                    </a:graphicData>
                  </a:graphic>
                </wp:inline>
              </w:drawing>
            </w:r>
          </w:p>
        </w:tc>
        <w:tc>
          <w:tcPr>
            <w:tcW w:w="647" w:type="pct"/>
            <w:vMerge w:val="continue"/>
            <w:vAlign w:val="center"/>
          </w:tcPr>
          <w:p w14:paraId="4EDE125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p>
        </w:tc>
      </w:tr>
      <w:tr w14:paraId="14AF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9" w:type="dxa"/>
            <w:left w:w="113" w:type="dxa"/>
            <w:bottom w:w="0" w:type="dxa"/>
            <w:right w:w="62" w:type="dxa"/>
          </w:tblCellMar>
        </w:tblPrEx>
        <w:trPr>
          <w:trHeight w:val="2608" w:hRule="exact"/>
        </w:trPr>
        <w:tc>
          <w:tcPr>
            <w:tcW w:w="933" w:type="pct"/>
            <w:vAlign w:val="center"/>
          </w:tcPr>
          <w:p w14:paraId="5C7BF46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一年蓬</w:t>
            </w:r>
          </w:p>
        </w:tc>
        <w:tc>
          <w:tcPr>
            <w:tcW w:w="1149" w:type="pct"/>
            <w:vAlign w:val="center"/>
          </w:tcPr>
          <w:p w14:paraId="28DA280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i/>
                <w:iCs/>
                <w:color w:val="auto"/>
                <w:kern w:val="2"/>
                <w:sz w:val="21"/>
                <w:szCs w:val="21"/>
                <w:lang w:val="zh-CN" w:eastAsia="zh-CN" w:bidi="zh-CN"/>
              </w:rPr>
            </w:pPr>
            <w:r>
              <w:rPr>
                <w:rFonts w:hint="default" w:ascii="Times New Roman" w:hAnsi="Times New Roman" w:eastAsia="宋体" w:cs="Times New Roman"/>
                <w:b w:val="0"/>
                <w:bCs w:val="0"/>
                <w:i/>
                <w:iCs/>
                <w:color w:val="auto"/>
                <w:kern w:val="2"/>
                <w:sz w:val="21"/>
                <w:szCs w:val="21"/>
                <w:lang w:val="zh-CN" w:eastAsia="zh-CN" w:bidi="zh-CN"/>
              </w:rPr>
              <w:t>Erigeronannuus</w:t>
            </w:r>
          </w:p>
        </w:tc>
        <w:tc>
          <w:tcPr>
            <w:tcW w:w="733" w:type="pct"/>
            <w:vAlign w:val="center"/>
          </w:tcPr>
          <w:p w14:paraId="07E38B9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北美洲</w:t>
            </w:r>
          </w:p>
        </w:tc>
        <w:tc>
          <w:tcPr>
            <w:tcW w:w="1537" w:type="pct"/>
            <w:vAlign w:val="center"/>
          </w:tcPr>
          <w:p w14:paraId="2E564D4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ascii="宋体" w:hAnsi="宋体" w:eastAsia="宋体" w:cs="宋体"/>
                <w:color w:val="auto"/>
                <w:kern w:val="2"/>
                <w:sz w:val="24"/>
                <w:szCs w:val="24"/>
              </w:rPr>
              <w:drawing>
                <wp:inline distT="0" distB="0" distL="114300" distR="114300">
                  <wp:extent cx="1367790" cy="1540510"/>
                  <wp:effectExtent l="0" t="0" r="3810" b="8890"/>
                  <wp:docPr id="26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5" descr="IMG_256"/>
                          <pic:cNvPicPr>
                            <a:picLocks noChangeAspect="1"/>
                          </pic:cNvPicPr>
                        </pic:nvPicPr>
                        <pic:blipFill>
                          <a:blip r:embed="rId79"/>
                          <a:srcRect t="5620" b="9942"/>
                          <a:stretch>
                            <a:fillRect/>
                          </a:stretch>
                        </pic:blipFill>
                        <pic:spPr>
                          <a:xfrm>
                            <a:off x="0" y="0"/>
                            <a:ext cx="1367790" cy="1540510"/>
                          </a:xfrm>
                          <a:prstGeom prst="rect">
                            <a:avLst/>
                          </a:prstGeom>
                          <a:noFill/>
                          <a:ln w="9525">
                            <a:noFill/>
                          </a:ln>
                        </pic:spPr>
                      </pic:pic>
                    </a:graphicData>
                  </a:graphic>
                </wp:inline>
              </w:drawing>
            </w:r>
          </w:p>
        </w:tc>
        <w:tc>
          <w:tcPr>
            <w:tcW w:w="647" w:type="pct"/>
            <w:vMerge w:val="continue"/>
            <w:vAlign w:val="center"/>
          </w:tcPr>
          <w:p w14:paraId="630C4A9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p>
        </w:tc>
      </w:tr>
      <w:tr w14:paraId="3550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9" w:type="dxa"/>
            <w:left w:w="113" w:type="dxa"/>
            <w:bottom w:w="0" w:type="dxa"/>
            <w:right w:w="62" w:type="dxa"/>
          </w:tblCellMar>
        </w:tblPrEx>
        <w:trPr>
          <w:trHeight w:val="2608" w:hRule="exact"/>
        </w:trPr>
        <w:tc>
          <w:tcPr>
            <w:tcW w:w="933" w:type="pct"/>
            <w:vAlign w:val="center"/>
          </w:tcPr>
          <w:p w14:paraId="7850B69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bookmarkStart w:id="152" w:name="_Toc522804867"/>
            <w:bookmarkStart w:id="153" w:name="_Toc30419"/>
            <w:bookmarkStart w:id="154" w:name="_Toc510813715"/>
            <w:bookmarkStart w:id="155" w:name="_Toc16234"/>
            <w:bookmarkStart w:id="156" w:name="_Toc9209"/>
            <w:r>
              <w:rPr>
                <w:rFonts w:hint="default" w:ascii="Times New Roman" w:hAnsi="Times New Roman" w:eastAsia="宋体" w:cs="Times New Roman"/>
                <w:b w:val="0"/>
                <w:bCs w:val="0"/>
                <w:color w:val="auto"/>
                <w:kern w:val="2"/>
                <w:sz w:val="21"/>
                <w:szCs w:val="21"/>
                <w:lang w:val="zh-CN" w:eastAsia="zh-CN" w:bidi="zh-CN"/>
              </w:rPr>
              <w:t>喜旱莲子草</w:t>
            </w:r>
          </w:p>
        </w:tc>
        <w:tc>
          <w:tcPr>
            <w:tcW w:w="1149" w:type="pct"/>
            <w:vAlign w:val="center"/>
          </w:tcPr>
          <w:p w14:paraId="40185673">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i/>
                <w:iCs/>
                <w:color w:val="auto"/>
                <w:kern w:val="2"/>
                <w:sz w:val="21"/>
                <w:szCs w:val="21"/>
                <w:lang w:val="zh-CN" w:eastAsia="zh-CN" w:bidi="zh-CN"/>
              </w:rPr>
            </w:pPr>
            <w:r>
              <w:rPr>
                <w:rFonts w:hint="default" w:ascii="Times New Roman" w:hAnsi="Times New Roman" w:eastAsia="宋体" w:cs="Times New Roman"/>
                <w:b w:val="0"/>
                <w:bCs w:val="0"/>
                <w:i/>
                <w:iCs/>
                <w:color w:val="auto"/>
                <w:kern w:val="2"/>
                <w:sz w:val="21"/>
                <w:szCs w:val="21"/>
                <w:lang w:val="zh-CN" w:eastAsia="zh-CN" w:bidi="zh-CN"/>
              </w:rPr>
              <w:t>Alternantherasessilis(Linn.)DC.</w:t>
            </w:r>
          </w:p>
        </w:tc>
        <w:tc>
          <w:tcPr>
            <w:tcW w:w="733" w:type="pct"/>
            <w:vAlign w:val="center"/>
          </w:tcPr>
          <w:p w14:paraId="4622617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南美洲</w:t>
            </w:r>
          </w:p>
        </w:tc>
        <w:tc>
          <w:tcPr>
            <w:tcW w:w="1537" w:type="pct"/>
            <w:vAlign w:val="center"/>
          </w:tcPr>
          <w:p w14:paraId="13E2498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ascii="宋体" w:hAnsi="宋体" w:eastAsia="宋体" w:cs="宋体"/>
                <w:color w:val="auto"/>
                <w:kern w:val="2"/>
                <w:sz w:val="24"/>
                <w:szCs w:val="24"/>
              </w:rPr>
            </w:pPr>
            <w:r>
              <w:rPr>
                <w:rFonts w:ascii="宋体" w:hAnsi="宋体" w:eastAsia="宋体" w:cs="宋体"/>
                <w:color w:val="auto"/>
                <w:kern w:val="2"/>
                <w:sz w:val="24"/>
                <w:szCs w:val="24"/>
              </w:rPr>
              <w:drawing>
                <wp:inline distT="0" distB="0" distL="114300" distR="114300">
                  <wp:extent cx="1682750" cy="1261745"/>
                  <wp:effectExtent l="0" t="0" r="12700" b="14605"/>
                  <wp:docPr id="76"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8" descr="IMG_256"/>
                          <pic:cNvPicPr>
                            <a:picLocks noChangeAspect="1"/>
                          </pic:cNvPicPr>
                        </pic:nvPicPr>
                        <pic:blipFill>
                          <a:blip r:embed="rId80"/>
                          <a:stretch>
                            <a:fillRect/>
                          </a:stretch>
                        </pic:blipFill>
                        <pic:spPr>
                          <a:xfrm>
                            <a:off x="0" y="0"/>
                            <a:ext cx="1682750" cy="1261745"/>
                          </a:xfrm>
                          <a:prstGeom prst="rect">
                            <a:avLst/>
                          </a:prstGeom>
                          <a:noFill/>
                          <a:ln w="9525">
                            <a:noFill/>
                          </a:ln>
                        </pic:spPr>
                      </pic:pic>
                    </a:graphicData>
                  </a:graphic>
                </wp:inline>
              </w:drawing>
            </w:r>
          </w:p>
        </w:tc>
        <w:tc>
          <w:tcPr>
            <w:tcW w:w="647" w:type="pct"/>
            <w:vMerge w:val="continue"/>
            <w:vAlign w:val="center"/>
          </w:tcPr>
          <w:p w14:paraId="6DE1684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p>
        </w:tc>
      </w:tr>
      <w:tr w14:paraId="7092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9" w:type="dxa"/>
            <w:left w:w="113" w:type="dxa"/>
            <w:bottom w:w="0" w:type="dxa"/>
            <w:right w:w="62" w:type="dxa"/>
          </w:tblCellMar>
        </w:tblPrEx>
        <w:trPr>
          <w:trHeight w:val="2608" w:hRule="exact"/>
        </w:trPr>
        <w:tc>
          <w:tcPr>
            <w:tcW w:w="933" w:type="pct"/>
            <w:vAlign w:val="center"/>
          </w:tcPr>
          <w:p w14:paraId="0687D13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土荆芥</w:t>
            </w:r>
          </w:p>
        </w:tc>
        <w:tc>
          <w:tcPr>
            <w:tcW w:w="1149" w:type="pct"/>
            <w:vAlign w:val="center"/>
          </w:tcPr>
          <w:p w14:paraId="4C1994A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i/>
                <w:iCs/>
                <w:color w:val="auto"/>
                <w:kern w:val="2"/>
                <w:sz w:val="21"/>
                <w:szCs w:val="21"/>
                <w:lang w:val="zh-CN" w:eastAsia="zh-CN" w:bidi="zh-CN"/>
              </w:rPr>
            </w:pPr>
            <w:r>
              <w:rPr>
                <w:rFonts w:hint="default" w:ascii="Times New Roman" w:hAnsi="Times New Roman" w:eastAsia="宋体" w:cs="Times New Roman"/>
                <w:b w:val="0"/>
                <w:bCs w:val="0"/>
                <w:i/>
                <w:iCs/>
                <w:color w:val="auto"/>
                <w:kern w:val="2"/>
                <w:sz w:val="21"/>
                <w:szCs w:val="21"/>
                <w:lang w:val="zh-CN" w:eastAsia="zh-CN" w:bidi="zh-CN"/>
              </w:rPr>
              <w:t>ChenopodiumambrosioidesL.</w:t>
            </w:r>
          </w:p>
        </w:tc>
        <w:tc>
          <w:tcPr>
            <w:tcW w:w="733" w:type="pct"/>
            <w:vAlign w:val="center"/>
          </w:tcPr>
          <w:p w14:paraId="71EBA17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r>
              <w:rPr>
                <w:rFonts w:hint="default" w:ascii="Times New Roman" w:hAnsi="Times New Roman" w:eastAsia="宋体" w:cs="Times New Roman"/>
                <w:b w:val="0"/>
                <w:bCs w:val="0"/>
                <w:color w:val="auto"/>
                <w:kern w:val="2"/>
                <w:sz w:val="21"/>
                <w:szCs w:val="21"/>
                <w:lang w:val="zh-CN" w:eastAsia="zh-CN" w:bidi="zh-CN"/>
              </w:rPr>
              <w:t>中、南美洲</w:t>
            </w:r>
          </w:p>
        </w:tc>
        <w:tc>
          <w:tcPr>
            <w:tcW w:w="1537" w:type="pct"/>
            <w:vAlign w:val="center"/>
          </w:tcPr>
          <w:p w14:paraId="52EFC50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ascii="宋体" w:hAnsi="宋体" w:eastAsia="宋体" w:cs="宋体"/>
                <w:color w:val="auto"/>
                <w:kern w:val="2"/>
                <w:sz w:val="24"/>
                <w:szCs w:val="24"/>
              </w:rPr>
            </w:pPr>
            <w:r>
              <w:rPr>
                <w:rFonts w:ascii="宋体" w:hAnsi="宋体" w:eastAsia="宋体" w:cs="宋体"/>
                <w:color w:val="auto"/>
                <w:kern w:val="2"/>
                <w:sz w:val="24"/>
                <w:szCs w:val="24"/>
              </w:rPr>
              <w:drawing>
                <wp:inline distT="0" distB="0" distL="114300" distR="114300">
                  <wp:extent cx="1691640" cy="2256155"/>
                  <wp:effectExtent l="0" t="0" r="3810" b="10795"/>
                  <wp:docPr id="77"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9" descr="IMG_256"/>
                          <pic:cNvPicPr>
                            <a:picLocks noChangeAspect="1"/>
                          </pic:cNvPicPr>
                        </pic:nvPicPr>
                        <pic:blipFill>
                          <a:blip r:embed="rId81"/>
                          <a:stretch>
                            <a:fillRect/>
                          </a:stretch>
                        </pic:blipFill>
                        <pic:spPr>
                          <a:xfrm>
                            <a:off x="0" y="0"/>
                            <a:ext cx="1691640" cy="2256155"/>
                          </a:xfrm>
                          <a:prstGeom prst="rect">
                            <a:avLst/>
                          </a:prstGeom>
                          <a:noFill/>
                          <a:ln w="9525">
                            <a:noFill/>
                          </a:ln>
                        </pic:spPr>
                      </pic:pic>
                    </a:graphicData>
                  </a:graphic>
                </wp:inline>
              </w:drawing>
            </w:r>
          </w:p>
        </w:tc>
        <w:tc>
          <w:tcPr>
            <w:tcW w:w="647" w:type="pct"/>
            <w:vMerge w:val="continue"/>
            <w:vAlign w:val="center"/>
          </w:tcPr>
          <w:p w14:paraId="6CB9983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kern w:val="2"/>
                <w:sz w:val="21"/>
                <w:szCs w:val="21"/>
                <w:lang w:val="zh-CN" w:eastAsia="zh-CN" w:bidi="zh-CN"/>
              </w:rPr>
            </w:pPr>
          </w:p>
        </w:tc>
      </w:tr>
    </w:tbl>
    <w:p w14:paraId="3978A05A">
      <w:pPr>
        <w:pStyle w:val="4"/>
        <w:bidi w:val="0"/>
        <w:rPr>
          <w:rFonts w:hint="default"/>
          <w:color w:val="auto"/>
          <w:lang w:val="en-US" w:eastAsia="zh-CN"/>
        </w:rPr>
      </w:pPr>
      <w:bookmarkStart w:id="157" w:name="_Toc716"/>
      <w:r>
        <w:rPr>
          <w:rFonts w:hint="eastAsia"/>
          <w:color w:val="auto"/>
          <w:lang w:val="en-US" w:eastAsia="zh-CN"/>
        </w:rPr>
        <w:t>野生</w:t>
      </w:r>
      <w:r>
        <w:rPr>
          <w:rFonts w:hint="default"/>
          <w:color w:val="auto"/>
          <w:lang w:val="en-US" w:eastAsia="zh-CN"/>
        </w:rPr>
        <w:t>动物</w:t>
      </w:r>
      <w:bookmarkEnd w:id="152"/>
      <w:bookmarkEnd w:id="153"/>
      <w:bookmarkEnd w:id="154"/>
      <w:r>
        <w:rPr>
          <w:rFonts w:hint="eastAsia"/>
          <w:color w:val="auto"/>
          <w:lang w:val="en-US" w:eastAsia="zh-CN"/>
        </w:rPr>
        <w:t>资源现状</w:t>
      </w:r>
      <w:bookmarkEnd w:id="155"/>
      <w:bookmarkEnd w:id="156"/>
      <w:bookmarkEnd w:id="157"/>
    </w:p>
    <w:p w14:paraId="634A8420">
      <w:pPr>
        <w:pStyle w:val="5"/>
        <w:bidi w:val="0"/>
        <w:rPr>
          <w:rFonts w:hint="default"/>
          <w:color w:val="auto"/>
          <w:lang w:val="en-US" w:eastAsia="zh-CN"/>
        </w:rPr>
      </w:pPr>
      <w:r>
        <w:rPr>
          <w:rFonts w:hint="eastAsia"/>
          <w:color w:val="auto"/>
          <w:lang w:val="en-US" w:eastAsia="zh-CN"/>
        </w:rPr>
        <w:t>调查方法</w:t>
      </w:r>
    </w:p>
    <w:p w14:paraId="30DDDEF5">
      <w:pPr>
        <w:bidi w:val="0"/>
        <w:rPr>
          <w:rFonts w:hint="default"/>
          <w:color w:val="auto"/>
        </w:rPr>
      </w:pPr>
      <w:r>
        <w:rPr>
          <w:rFonts w:hint="default"/>
          <w:color w:val="auto"/>
        </w:rPr>
        <w:t>对评价区野生动物资源现状</w:t>
      </w:r>
      <w:r>
        <w:rPr>
          <w:rFonts w:hint="eastAsia"/>
          <w:color w:val="auto"/>
          <w:lang w:val="en-US" w:eastAsia="zh-CN"/>
        </w:rPr>
        <w:t>的调查</w:t>
      </w:r>
      <w:r>
        <w:rPr>
          <w:rFonts w:hint="default"/>
          <w:color w:val="auto"/>
        </w:rPr>
        <w:t>采用</w:t>
      </w:r>
      <w:r>
        <w:rPr>
          <w:rFonts w:hint="eastAsia"/>
          <w:color w:val="auto"/>
          <w:lang w:val="en-US" w:eastAsia="zh-CN"/>
        </w:rPr>
        <w:t>收集有效</w:t>
      </w:r>
      <w:r>
        <w:rPr>
          <w:rFonts w:hint="default"/>
          <w:color w:val="auto"/>
        </w:rPr>
        <w:t>资料与野外实地调查相结合的</w:t>
      </w:r>
      <w:r>
        <w:rPr>
          <w:rFonts w:hint="eastAsia"/>
          <w:color w:val="auto"/>
          <w:lang w:val="en-US" w:eastAsia="zh-CN"/>
        </w:rPr>
        <w:t>方法</w:t>
      </w:r>
      <w:r>
        <w:rPr>
          <w:rFonts w:hint="default"/>
          <w:color w:val="auto"/>
        </w:rPr>
        <w:t>。</w:t>
      </w:r>
      <w:r>
        <w:rPr>
          <w:rFonts w:hint="eastAsia"/>
          <w:color w:val="auto"/>
          <w:lang w:val="en-US" w:eastAsia="zh-CN"/>
        </w:rPr>
        <w:t>二级评价区内的野生动物资源现状以实地调查为主</w:t>
      </w:r>
      <w:r>
        <w:rPr>
          <w:rFonts w:hint="default"/>
          <w:color w:val="auto"/>
        </w:rPr>
        <w:t>。同时，通过对周边居民和保护区工作人员的询问，了解珍稀动物的分布和数量等。</w:t>
      </w:r>
    </w:p>
    <w:p w14:paraId="1BEE650A">
      <w:pPr>
        <w:bidi w:val="0"/>
        <w:rPr>
          <w:rFonts w:hint="eastAsia"/>
          <w:color w:val="auto"/>
          <w:lang w:val="en-US" w:eastAsia="zh-CN"/>
        </w:rPr>
      </w:pPr>
      <w:r>
        <w:rPr>
          <w:rFonts w:hint="eastAsia" w:ascii="Times New Roman" w:hAnsi="Times New Roman" w:cs="Times New Roman"/>
          <w:color w:val="auto"/>
          <w:kern w:val="0"/>
          <w:sz w:val="24"/>
          <w:szCs w:val="24"/>
          <w:lang w:val="en-US" w:eastAsia="zh-CN"/>
        </w:rPr>
        <w:t>根据</w:t>
      </w:r>
      <w:r>
        <w:rPr>
          <w:rFonts w:hint="default" w:ascii="Times New Roman" w:hAnsi="Times New Roman" w:cs="Times New Roman"/>
          <w:color w:val="auto"/>
          <w:kern w:val="0"/>
          <w:sz w:val="24"/>
          <w:szCs w:val="24"/>
        </w:rPr>
        <w:t>《生物多样性观测技术导则陆生哺乳动物》（HJ710.3-2014）</w:t>
      </w:r>
      <w:r>
        <w:rPr>
          <w:rFonts w:hint="eastAsia" w:ascii="Times New Roman" w:hAnsi="Times New Roman" w:cs="Times New Roman"/>
          <w:color w:val="auto"/>
          <w:kern w:val="0"/>
          <w:sz w:val="24"/>
          <w:szCs w:val="24"/>
          <w:lang w:eastAsia="zh-CN"/>
        </w:rPr>
        <w:t>、《生物多样性观测技术导则爬行动物》（HJ710.5-2014）、《生物多样性观测技术导则两栖动物》（HJ710.6-2014）</w:t>
      </w:r>
      <w:r>
        <w:rPr>
          <w:rFonts w:hint="eastAsia" w:ascii="Times New Roman" w:hAnsi="Times New Roman" w:cs="Times New Roman"/>
          <w:color w:val="auto"/>
          <w:kern w:val="0"/>
          <w:sz w:val="24"/>
          <w:szCs w:val="24"/>
          <w:lang w:val="en-US" w:eastAsia="zh-CN"/>
        </w:rPr>
        <w:t>及</w:t>
      </w:r>
      <w:r>
        <w:rPr>
          <w:rFonts w:hint="default" w:ascii="Times New Roman" w:hAnsi="Times New Roman" w:cs="Times New Roman"/>
          <w:color w:val="auto"/>
          <w:kern w:val="0"/>
          <w:sz w:val="24"/>
          <w:szCs w:val="24"/>
          <w:lang w:val="en-US" w:eastAsia="zh-CN"/>
        </w:rPr>
        <w:t>《生物多样性观测技术导则鸟类》（HJ710.4-2014）</w:t>
      </w:r>
      <w:r>
        <w:rPr>
          <w:rFonts w:hint="eastAsia" w:ascii="Times New Roman" w:hAnsi="Times New Roman" w:cs="Times New Roman"/>
          <w:color w:val="auto"/>
          <w:kern w:val="0"/>
          <w:sz w:val="24"/>
          <w:szCs w:val="24"/>
          <w:lang w:val="en-US" w:eastAsia="zh-CN"/>
        </w:rPr>
        <w:t>中调查方法对哺乳类、爬行类、两栖类动物及鸟类进行调查。</w:t>
      </w:r>
    </w:p>
    <w:p w14:paraId="54343A15">
      <w:pPr>
        <w:keepNext w:val="0"/>
        <w:keepLines w:val="0"/>
        <w:pageBreakBefore w:val="0"/>
        <w:widowControl w:val="0"/>
        <w:kinsoku/>
        <w:wordWrap/>
        <w:overflowPunct/>
        <w:topLinePunct/>
        <w:autoSpaceDE w:val="0"/>
        <w:autoSpaceDN/>
        <w:bidi w:val="0"/>
        <w:adjustRightInd w:val="0"/>
        <w:snapToGrid w:val="0"/>
        <w:ind w:left="0" w:leftChars="0" w:firstLine="480"/>
        <w:outlineLvl w:val="9"/>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A.调查原则</w:t>
      </w:r>
    </w:p>
    <w:p w14:paraId="224E2314">
      <w:pPr>
        <w:keepNext w:val="0"/>
        <w:keepLines w:val="0"/>
        <w:pageBreakBefore w:val="0"/>
        <w:widowControl w:val="0"/>
        <w:kinsoku/>
        <w:wordWrap/>
        <w:overflowPunct/>
        <w:topLinePunct/>
        <w:autoSpaceDE w:val="0"/>
        <w:autoSpaceDN/>
        <w:bidi w:val="0"/>
        <w:adjustRightInd w:val="0"/>
        <w:snapToGrid w:val="0"/>
        <w:ind w:left="0" w:leftChars="0" w:firstLine="480"/>
        <w:outlineLvl w:val="9"/>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rPr>
        <w:t>根据本项目工程特征，为充分了解两栖和爬行类、哺乳类</w:t>
      </w:r>
      <w:r>
        <w:rPr>
          <w:rFonts w:hint="eastAsia" w:ascii="Times New Roman" w:hAnsi="Times New Roman" w:cs="Times New Roman"/>
          <w:color w:val="auto"/>
          <w:kern w:val="0"/>
          <w:sz w:val="24"/>
          <w:szCs w:val="24"/>
          <w:lang w:val="en-US" w:eastAsia="zh-CN"/>
        </w:rPr>
        <w:t>及鸟类</w:t>
      </w:r>
      <w:r>
        <w:rPr>
          <w:rFonts w:hint="default" w:ascii="Times New Roman" w:hAnsi="Times New Roman" w:cs="Times New Roman"/>
          <w:color w:val="auto"/>
          <w:kern w:val="0"/>
          <w:sz w:val="24"/>
          <w:szCs w:val="24"/>
        </w:rPr>
        <w:t>等野生动物的区系特征、物种组成的分布特征，采用样线法</w:t>
      </w:r>
      <w:r>
        <w:rPr>
          <w:rFonts w:hint="default" w:ascii="Times New Roman" w:hAnsi="Times New Roman" w:cs="Times New Roman"/>
          <w:color w:val="auto"/>
          <w:kern w:val="0"/>
          <w:sz w:val="24"/>
          <w:szCs w:val="24"/>
          <w:lang w:val="en-US" w:eastAsia="zh-CN"/>
        </w:rPr>
        <w:t>并</w:t>
      </w:r>
      <w:r>
        <w:rPr>
          <w:rFonts w:hint="default" w:ascii="Times New Roman" w:hAnsi="Times New Roman" w:cs="Times New Roman"/>
          <w:color w:val="auto"/>
          <w:kern w:val="0"/>
          <w:sz w:val="24"/>
          <w:szCs w:val="24"/>
        </w:rPr>
        <w:t>结合资料收集对评价范围的野生动物现状进行调查。依据《环境影响评价技术导则生态影响》（HJ19-2022），每种生境类型设置的野生动物调查样线数量二级评价不少于3条。</w:t>
      </w:r>
      <w:r>
        <w:rPr>
          <w:rFonts w:hint="eastAsia" w:ascii="Times New Roman" w:hAnsi="Times New Roman" w:cs="Times New Roman"/>
          <w:color w:val="auto"/>
          <w:kern w:val="0"/>
          <w:sz w:val="24"/>
          <w:szCs w:val="24"/>
          <w:lang w:val="en-US" w:eastAsia="zh-CN"/>
        </w:rPr>
        <w:t>根据生态系统现状调查，项目区域以森林生态系统、湿地生态系统及农田生态系统为主，因此，农田生态系统、森林生态系统、湿地生态系统分别设置3条样线，共计9条样线。</w:t>
      </w:r>
    </w:p>
    <w:p w14:paraId="7A2EC16B">
      <w:pPr>
        <w:keepNext w:val="0"/>
        <w:keepLines w:val="0"/>
        <w:pageBreakBefore w:val="0"/>
        <w:widowControl w:val="0"/>
        <w:kinsoku/>
        <w:wordWrap/>
        <w:overflowPunct/>
        <w:topLinePunct/>
        <w:autoSpaceDE w:val="0"/>
        <w:autoSpaceDN/>
        <w:bidi w:val="0"/>
        <w:adjustRightInd w:val="0"/>
        <w:snapToGrid w:val="0"/>
        <w:ind w:left="0" w:leftChars="0" w:firstLine="480"/>
        <w:outlineLvl w:val="9"/>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B.样线调查</w:t>
      </w:r>
    </w:p>
    <w:p w14:paraId="0490197A">
      <w:pPr>
        <w:bidi w:val="0"/>
        <w:rPr>
          <w:rFonts w:hint="eastAsia"/>
          <w:color w:val="auto"/>
          <w:lang w:val="en-US" w:eastAsia="zh-CN"/>
        </w:rPr>
      </w:pPr>
      <w:r>
        <w:rPr>
          <w:rFonts w:hint="default" w:ascii="Times New Roman" w:hAnsi="Times New Roman" w:cs="Times New Roman"/>
          <w:color w:val="auto"/>
          <w:kern w:val="0"/>
          <w:sz w:val="24"/>
          <w:szCs w:val="24"/>
        </w:rPr>
        <w:t>本次调查共布设了</w:t>
      </w:r>
      <w:r>
        <w:rPr>
          <w:rFonts w:hint="eastAsia" w:ascii="Times New Roman" w:hAnsi="Times New Roman" w:cs="Times New Roman"/>
          <w:color w:val="auto"/>
          <w:kern w:val="0"/>
          <w:sz w:val="24"/>
          <w:szCs w:val="24"/>
          <w:lang w:val="en-US" w:eastAsia="zh-CN"/>
        </w:rPr>
        <w:t>9</w:t>
      </w:r>
      <w:r>
        <w:rPr>
          <w:rFonts w:hint="default" w:ascii="Times New Roman" w:hAnsi="Times New Roman" w:cs="Times New Roman"/>
          <w:color w:val="auto"/>
          <w:kern w:val="0"/>
          <w:sz w:val="24"/>
          <w:szCs w:val="24"/>
        </w:rPr>
        <w:t>条野生动物调查样线，布设数量符合导则要求，并能够涵盖</w:t>
      </w:r>
      <w:r>
        <w:rPr>
          <w:rFonts w:hint="default" w:ascii="Times New Roman" w:hAnsi="Times New Roman" w:cs="Times New Roman"/>
          <w:color w:val="auto"/>
          <w:kern w:val="0"/>
          <w:sz w:val="24"/>
          <w:szCs w:val="24"/>
          <w:lang w:val="en-US" w:eastAsia="zh-CN"/>
        </w:rPr>
        <w:t>森林</w:t>
      </w:r>
      <w:r>
        <w:rPr>
          <w:rFonts w:hint="default" w:ascii="Times New Roman" w:hAnsi="Times New Roman" w:cs="Times New Roman"/>
          <w:color w:val="auto"/>
          <w:kern w:val="0"/>
          <w:sz w:val="24"/>
          <w:szCs w:val="24"/>
          <w:lang w:eastAsia="zh-CN"/>
        </w:rPr>
        <w:t>、</w:t>
      </w:r>
      <w:r>
        <w:rPr>
          <w:rFonts w:hint="default" w:ascii="Times New Roman" w:hAnsi="Times New Roman" w:cs="Times New Roman"/>
          <w:color w:val="auto"/>
          <w:kern w:val="0"/>
          <w:sz w:val="24"/>
          <w:szCs w:val="24"/>
        </w:rPr>
        <w:t>湿地和农田等主要生境类型。</w:t>
      </w:r>
    </w:p>
    <w:p w14:paraId="7AB367A4">
      <w:pPr>
        <w:bidi w:val="0"/>
        <w:rPr>
          <w:rFonts w:hint="default"/>
          <w:color w:val="auto"/>
          <w:lang w:val="en-US" w:eastAsia="zh-CN"/>
        </w:rPr>
      </w:pPr>
      <w:r>
        <w:rPr>
          <w:rFonts w:hint="eastAsia"/>
          <w:color w:val="auto"/>
          <w:lang w:val="en-US" w:eastAsia="zh-CN"/>
        </w:rPr>
        <w:t>共设置了9条野生动物调查样线，</w:t>
      </w:r>
      <w:r>
        <w:rPr>
          <w:rFonts w:hint="default"/>
          <w:color w:val="auto"/>
        </w:rPr>
        <w:t>每条独立样线长度</w:t>
      </w:r>
      <w:r>
        <w:rPr>
          <w:rFonts w:hint="eastAsia"/>
          <w:color w:val="auto"/>
          <w:lang w:val="en-US" w:eastAsia="zh-CN"/>
        </w:rPr>
        <w:t>约1000</w:t>
      </w:r>
      <w:r>
        <w:rPr>
          <w:rFonts w:hint="default"/>
          <w:color w:val="auto"/>
        </w:rPr>
        <w:t>m</w:t>
      </w:r>
      <w:r>
        <w:rPr>
          <w:rFonts w:hint="eastAsia"/>
          <w:color w:val="auto"/>
          <w:lang w:val="en-US" w:eastAsia="zh-CN"/>
        </w:rPr>
        <w:t>，</w:t>
      </w:r>
      <w:r>
        <w:rPr>
          <w:rFonts w:hint="default"/>
          <w:color w:val="auto"/>
        </w:rPr>
        <w:t>样线互不重叠、随机分布在</w:t>
      </w:r>
      <w:r>
        <w:rPr>
          <w:rFonts w:hint="eastAsia"/>
          <w:color w:val="auto"/>
          <w:lang w:val="en-US" w:eastAsia="zh-CN"/>
        </w:rPr>
        <w:t>评价</w:t>
      </w:r>
      <w:r>
        <w:rPr>
          <w:rFonts w:hint="default"/>
          <w:color w:val="auto"/>
        </w:rPr>
        <w:t>区内</w:t>
      </w:r>
      <w:r>
        <w:rPr>
          <w:rFonts w:hint="eastAsia"/>
          <w:color w:val="auto"/>
          <w:lang w:eastAsia="zh-CN"/>
        </w:rPr>
        <w:t>，</w:t>
      </w:r>
      <w:r>
        <w:rPr>
          <w:rFonts w:hint="eastAsia"/>
          <w:color w:val="auto"/>
          <w:lang w:val="en-US" w:eastAsia="zh-CN"/>
        </w:rPr>
        <w:t>样线涵盖林地、河流、居民区、农田等各种生境。能够满足</w:t>
      </w:r>
      <w:r>
        <w:rPr>
          <w:rFonts w:hint="default"/>
          <w:color w:val="auto"/>
          <w:lang w:val="en-US" w:eastAsia="zh-CN"/>
        </w:rPr>
        <w:t>《环境影响评价技术导则生态影响》（HJ19</w:t>
      </w:r>
      <w:r>
        <w:rPr>
          <w:rFonts w:hint="eastAsia"/>
          <w:color w:val="auto"/>
          <w:lang w:val="en-US" w:eastAsia="zh-CN"/>
        </w:rPr>
        <w:t>-</w:t>
      </w:r>
      <w:r>
        <w:rPr>
          <w:rFonts w:hint="default"/>
          <w:color w:val="auto"/>
          <w:lang w:val="en-US" w:eastAsia="zh-CN"/>
        </w:rPr>
        <w:t>2022）</w:t>
      </w:r>
      <w:r>
        <w:rPr>
          <w:rFonts w:hint="eastAsia"/>
          <w:color w:val="auto"/>
          <w:lang w:val="en-US" w:eastAsia="zh-CN"/>
        </w:rPr>
        <w:t>对陆生生态现状调查中二级评价的</w:t>
      </w:r>
      <w:r>
        <w:rPr>
          <w:rFonts w:hint="default"/>
          <w:color w:val="auto"/>
          <w:lang w:val="en-US" w:eastAsia="zh-CN"/>
        </w:rPr>
        <w:t>相关要求</w:t>
      </w:r>
      <w:r>
        <w:rPr>
          <w:rFonts w:hint="eastAsia"/>
          <w:color w:val="auto"/>
          <w:lang w:val="en-US" w:eastAsia="zh-CN"/>
        </w:rPr>
        <w:t>。</w:t>
      </w:r>
    </w:p>
    <w:p w14:paraId="4A07AA0B">
      <w:pPr>
        <w:pStyle w:val="11"/>
        <w:bidi w:val="0"/>
        <w:rPr>
          <w:rFonts w:hint="default"/>
          <w:lang w:val="en-US" w:eastAsia="zh-CN"/>
        </w:rPr>
      </w:pPr>
      <w:r>
        <w:rPr>
          <w:rFonts w:hint="default"/>
          <w:lang w:val="en-US" w:eastAsia="zh-CN"/>
        </w:rPr>
        <w:t>表</w:t>
      </w:r>
      <w:r>
        <w:fldChar w:fldCharType="begin"/>
      </w:r>
      <w:r>
        <w:instrText xml:space="preserve"> STYLEREF 2 \s </w:instrText>
      </w:r>
      <w:r>
        <w:fldChar w:fldCharType="separate"/>
      </w:r>
      <w:r>
        <w:t>4.3</w:t>
      </w:r>
      <w:r>
        <w:fldChar w:fldCharType="end"/>
      </w:r>
      <w:r>
        <w:rPr>
          <w:rFonts w:hint="eastAsia"/>
          <w:lang w:eastAsia="zh-CN"/>
        </w:rPr>
        <w:t>-</w:t>
      </w:r>
      <w:r>
        <w:fldChar w:fldCharType="begin"/>
      </w:r>
      <w:r>
        <w:instrText xml:space="preserve"> SEQ 表 \* ARABIC \s 2 </w:instrText>
      </w:r>
      <w:r>
        <w:fldChar w:fldCharType="separate"/>
      </w:r>
      <w:r>
        <w:t>9</w:t>
      </w:r>
      <w:r>
        <w:fldChar w:fldCharType="end"/>
      </w:r>
      <w:r>
        <w:rPr>
          <w:rFonts w:hint="default"/>
          <w:lang w:val="en-US" w:eastAsia="zh-CN"/>
        </w:rPr>
        <w:t>样线布设情况</w:t>
      </w:r>
    </w:p>
    <w:tbl>
      <w:tblPr>
        <w:tblStyle w:val="2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1400"/>
        <w:gridCol w:w="967"/>
        <w:gridCol w:w="2928"/>
        <w:gridCol w:w="2883"/>
      </w:tblGrid>
      <w:tr w14:paraId="5E6F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vMerge w:val="restart"/>
            <w:tcBorders>
              <w:tl2br w:val="nil"/>
              <w:tr2bl w:val="nil"/>
            </w:tcBorders>
            <w:noWrap w:val="0"/>
            <w:vAlign w:val="center"/>
          </w:tcPr>
          <w:p w14:paraId="7A465A20">
            <w:pPr>
              <w:pStyle w:val="31"/>
              <w:bidi w:val="0"/>
              <w:rPr>
                <w:rFonts w:hint="default"/>
                <w:color w:val="auto"/>
              </w:rPr>
            </w:pPr>
            <w:r>
              <w:rPr>
                <w:rFonts w:hint="default"/>
                <w:color w:val="auto"/>
              </w:rPr>
              <w:t>编号</w:t>
            </w:r>
          </w:p>
        </w:tc>
        <w:tc>
          <w:tcPr>
            <w:tcW w:w="754" w:type="pct"/>
            <w:vMerge w:val="restart"/>
            <w:tcBorders>
              <w:tl2br w:val="nil"/>
              <w:tr2bl w:val="nil"/>
            </w:tcBorders>
            <w:noWrap w:val="0"/>
            <w:vAlign w:val="center"/>
          </w:tcPr>
          <w:p w14:paraId="735305DE">
            <w:pPr>
              <w:pStyle w:val="31"/>
              <w:bidi w:val="0"/>
              <w:rPr>
                <w:rFonts w:hint="eastAsia"/>
                <w:color w:val="auto"/>
                <w:lang w:val="en-US" w:eastAsia="zh-CN"/>
              </w:rPr>
            </w:pPr>
            <w:r>
              <w:rPr>
                <w:rFonts w:hint="default"/>
                <w:color w:val="auto"/>
              </w:rPr>
              <w:t>生境</w:t>
            </w:r>
            <w:r>
              <w:rPr>
                <w:rFonts w:hint="eastAsia"/>
                <w:color w:val="auto"/>
                <w:lang w:val="en-US" w:eastAsia="zh-CN"/>
              </w:rPr>
              <w:t>类型</w:t>
            </w:r>
          </w:p>
        </w:tc>
        <w:tc>
          <w:tcPr>
            <w:tcW w:w="521" w:type="pct"/>
            <w:vMerge w:val="restart"/>
            <w:tcBorders>
              <w:tl2br w:val="nil"/>
              <w:tr2bl w:val="nil"/>
            </w:tcBorders>
            <w:noWrap w:val="0"/>
            <w:vAlign w:val="center"/>
          </w:tcPr>
          <w:p w14:paraId="62F7B464">
            <w:pPr>
              <w:pStyle w:val="31"/>
              <w:bidi w:val="0"/>
              <w:rPr>
                <w:rFonts w:hint="default"/>
                <w:color w:val="auto"/>
                <w:lang w:val="en-US" w:eastAsia="zh-CN"/>
              </w:rPr>
            </w:pPr>
            <w:r>
              <w:rPr>
                <w:rFonts w:hint="default"/>
                <w:color w:val="auto"/>
                <w:lang w:val="en-US" w:eastAsia="zh-CN"/>
              </w:rPr>
              <w:t>调查</w:t>
            </w:r>
          </w:p>
          <w:p w14:paraId="165860EC">
            <w:pPr>
              <w:pStyle w:val="31"/>
              <w:bidi w:val="0"/>
              <w:rPr>
                <w:rFonts w:hint="default"/>
                <w:color w:val="auto"/>
                <w:lang w:val="en-US" w:eastAsia="zh-CN"/>
              </w:rPr>
            </w:pPr>
            <w:r>
              <w:rPr>
                <w:rFonts w:hint="default"/>
                <w:color w:val="auto"/>
                <w:lang w:val="en-US" w:eastAsia="zh-CN"/>
              </w:rPr>
              <w:t>时期</w:t>
            </w:r>
          </w:p>
        </w:tc>
        <w:tc>
          <w:tcPr>
            <w:tcW w:w="3130" w:type="pct"/>
            <w:gridSpan w:val="2"/>
            <w:tcBorders>
              <w:tl2br w:val="nil"/>
              <w:tr2bl w:val="nil"/>
            </w:tcBorders>
            <w:noWrap w:val="0"/>
            <w:vAlign w:val="center"/>
          </w:tcPr>
          <w:p w14:paraId="74D8452E">
            <w:pPr>
              <w:pStyle w:val="31"/>
              <w:bidi w:val="0"/>
              <w:rPr>
                <w:rFonts w:hint="default"/>
                <w:color w:val="auto"/>
              </w:rPr>
            </w:pPr>
            <w:r>
              <w:rPr>
                <w:rFonts w:hint="default"/>
                <w:color w:val="auto"/>
              </w:rPr>
              <w:t>经纬度</w:t>
            </w:r>
          </w:p>
        </w:tc>
      </w:tr>
      <w:tr w14:paraId="14FD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vMerge w:val="continue"/>
            <w:tcBorders>
              <w:tl2br w:val="nil"/>
              <w:tr2bl w:val="nil"/>
            </w:tcBorders>
            <w:noWrap w:val="0"/>
            <w:vAlign w:val="center"/>
          </w:tcPr>
          <w:p w14:paraId="3C91AD53">
            <w:pPr>
              <w:pStyle w:val="31"/>
              <w:bidi w:val="0"/>
              <w:rPr>
                <w:rFonts w:hint="default"/>
                <w:color w:val="auto"/>
              </w:rPr>
            </w:pPr>
          </w:p>
        </w:tc>
        <w:tc>
          <w:tcPr>
            <w:tcW w:w="754" w:type="pct"/>
            <w:vMerge w:val="continue"/>
            <w:tcBorders>
              <w:tl2br w:val="nil"/>
              <w:tr2bl w:val="nil"/>
            </w:tcBorders>
            <w:noWrap w:val="0"/>
            <w:vAlign w:val="center"/>
          </w:tcPr>
          <w:p w14:paraId="221531C3">
            <w:pPr>
              <w:pStyle w:val="31"/>
              <w:bidi w:val="0"/>
              <w:rPr>
                <w:rFonts w:hint="default"/>
                <w:color w:val="auto"/>
              </w:rPr>
            </w:pPr>
          </w:p>
        </w:tc>
        <w:tc>
          <w:tcPr>
            <w:tcW w:w="521" w:type="pct"/>
            <w:vMerge w:val="continue"/>
            <w:tcBorders>
              <w:tl2br w:val="nil"/>
              <w:tr2bl w:val="nil"/>
            </w:tcBorders>
            <w:noWrap w:val="0"/>
            <w:vAlign w:val="center"/>
          </w:tcPr>
          <w:p w14:paraId="0136DFC9">
            <w:pPr>
              <w:pStyle w:val="31"/>
              <w:bidi w:val="0"/>
              <w:rPr>
                <w:rFonts w:hint="default"/>
                <w:color w:val="auto"/>
              </w:rPr>
            </w:pPr>
          </w:p>
        </w:tc>
        <w:tc>
          <w:tcPr>
            <w:tcW w:w="1577" w:type="pct"/>
            <w:tcBorders>
              <w:tl2br w:val="nil"/>
              <w:tr2bl w:val="nil"/>
            </w:tcBorders>
            <w:noWrap w:val="0"/>
            <w:vAlign w:val="center"/>
          </w:tcPr>
          <w:p w14:paraId="418C6241">
            <w:pPr>
              <w:pStyle w:val="31"/>
              <w:bidi w:val="0"/>
              <w:rPr>
                <w:rFonts w:hint="default"/>
                <w:color w:val="auto"/>
              </w:rPr>
            </w:pPr>
            <w:r>
              <w:rPr>
                <w:rFonts w:hint="default"/>
                <w:color w:val="auto"/>
              </w:rPr>
              <w:t>起点</w:t>
            </w:r>
          </w:p>
        </w:tc>
        <w:tc>
          <w:tcPr>
            <w:tcW w:w="1553" w:type="pct"/>
            <w:tcBorders>
              <w:tl2br w:val="nil"/>
              <w:tr2bl w:val="nil"/>
            </w:tcBorders>
            <w:noWrap w:val="0"/>
            <w:vAlign w:val="center"/>
          </w:tcPr>
          <w:p w14:paraId="6739F51E">
            <w:pPr>
              <w:pStyle w:val="31"/>
              <w:bidi w:val="0"/>
              <w:rPr>
                <w:rFonts w:hint="default"/>
                <w:color w:val="auto"/>
              </w:rPr>
            </w:pPr>
            <w:r>
              <w:rPr>
                <w:rFonts w:hint="default"/>
                <w:color w:val="auto"/>
              </w:rPr>
              <w:t>终点</w:t>
            </w:r>
          </w:p>
        </w:tc>
      </w:tr>
      <w:tr w14:paraId="33E7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48038C9F">
            <w:pPr>
              <w:pStyle w:val="31"/>
              <w:bidi w:val="0"/>
              <w:rPr>
                <w:rFonts w:hint="default"/>
                <w:color w:val="auto"/>
              </w:rPr>
            </w:pPr>
            <w:r>
              <w:rPr>
                <w:rFonts w:hint="default"/>
                <w:color w:val="auto"/>
              </w:rPr>
              <w:t>样线1</w:t>
            </w:r>
          </w:p>
        </w:tc>
        <w:tc>
          <w:tcPr>
            <w:tcW w:w="754" w:type="pct"/>
            <w:vMerge w:val="restart"/>
            <w:tcBorders>
              <w:tl2br w:val="nil"/>
              <w:tr2bl w:val="nil"/>
            </w:tcBorders>
            <w:noWrap w:val="0"/>
            <w:vAlign w:val="center"/>
          </w:tcPr>
          <w:p w14:paraId="328E38BF">
            <w:pPr>
              <w:pStyle w:val="31"/>
              <w:bidi w:val="0"/>
              <w:rPr>
                <w:rFonts w:hint="default"/>
                <w:color w:val="auto"/>
                <w:lang w:val="en-US" w:eastAsia="zh-CN"/>
              </w:rPr>
            </w:pPr>
            <w:r>
              <w:rPr>
                <w:rFonts w:hint="default"/>
                <w:color w:val="auto"/>
              </w:rPr>
              <w:t>森林</w:t>
            </w:r>
            <w:r>
              <w:rPr>
                <w:rFonts w:hint="eastAsia"/>
                <w:color w:val="auto"/>
                <w:lang w:val="en-US" w:eastAsia="zh-CN"/>
              </w:rPr>
              <w:t>生态系统</w:t>
            </w:r>
          </w:p>
        </w:tc>
        <w:tc>
          <w:tcPr>
            <w:tcW w:w="521" w:type="pct"/>
            <w:vMerge w:val="restart"/>
            <w:tcBorders>
              <w:tl2br w:val="nil"/>
              <w:tr2bl w:val="nil"/>
            </w:tcBorders>
            <w:noWrap w:val="0"/>
            <w:vAlign w:val="center"/>
          </w:tcPr>
          <w:p w14:paraId="4259928C">
            <w:pPr>
              <w:pStyle w:val="31"/>
              <w:bidi w:val="0"/>
              <w:rPr>
                <w:rFonts w:hint="default"/>
                <w:color w:val="auto"/>
                <w:lang w:val="en-US" w:eastAsia="zh-CN"/>
              </w:rPr>
            </w:pPr>
            <w:r>
              <w:rPr>
                <w:rFonts w:hint="default"/>
                <w:color w:val="auto"/>
                <w:lang w:val="en-US" w:eastAsia="zh-CN"/>
              </w:rPr>
              <w:t>202</w:t>
            </w:r>
            <w:r>
              <w:rPr>
                <w:rFonts w:hint="eastAsia"/>
                <w:color w:val="auto"/>
                <w:lang w:val="en-US" w:eastAsia="zh-CN"/>
              </w:rPr>
              <w:t>5.</w:t>
            </w:r>
            <w:r>
              <w:rPr>
                <w:rFonts w:hint="default"/>
                <w:color w:val="auto"/>
                <w:lang w:val="en-US" w:eastAsia="zh-CN"/>
              </w:rPr>
              <w:t>1</w:t>
            </w:r>
          </w:p>
        </w:tc>
        <w:tc>
          <w:tcPr>
            <w:tcW w:w="1577" w:type="pct"/>
            <w:tcBorders>
              <w:tl2br w:val="nil"/>
              <w:tr2bl w:val="nil"/>
            </w:tcBorders>
            <w:noWrap w:val="0"/>
            <w:vAlign w:val="center"/>
          </w:tcPr>
          <w:p w14:paraId="52142791">
            <w:pPr>
              <w:pStyle w:val="31"/>
              <w:bidi w:val="0"/>
              <w:rPr>
                <w:rFonts w:hint="default"/>
                <w:color w:val="auto"/>
              </w:rPr>
            </w:pPr>
            <w:r>
              <w:rPr>
                <w:rFonts w:hint="default"/>
                <w:color w:val="auto"/>
              </w:rPr>
              <w:t>117.37535477,30.58679492</w:t>
            </w:r>
          </w:p>
        </w:tc>
        <w:tc>
          <w:tcPr>
            <w:tcW w:w="1553" w:type="pct"/>
            <w:tcBorders>
              <w:tl2br w:val="nil"/>
              <w:tr2bl w:val="nil"/>
            </w:tcBorders>
            <w:noWrap w:val="0"/>
            <w:vAlign w:val="center"/>
          </w:tcPr>
          <w:p w14:paraId="1511C51A">
            <w:pPr>
              <w:pStyle w:val="31"/>
              <w:bidi w:val="0"/>
              <w:rPr>
                <w:rFonts w:hint="default"/>
                <w:color w:val="auto"/>
              </w:rPr>
            </w:pPr>
            <w:r>
              <w:rPr>
                <w:rFonts w:hint="default"/>
                <w:color w:val="auto"/>
              </w:rPr>
              <w:t>117.38192081,30.58136399</w:t>
            </w:r>
          </w:p>
        </w:tc>
      </w:tr>
      <w:tr w14:paraId="7D236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13744A99">
            <w:pPr>
              <w:pStyle w:val="31"/>
              <w:bidi w:val="0"/>
              <w:rPr>
                <w:rFonts w:hint="eastAsia"/>
                <w:color w:val="auto"/>
                <w:lang w:val="en-US" w:eastAsia="zh-CN"/>
              </w:rPr>
            </w:pPr>
            <w:r>
              <w:rPr>
                <w:rFonts w:hint="default"/>
                <w:color w:val="auto"/>
              </w:rPr>
              <w:t>样线</w:t>
            </w:r>
            <w:r>
              <w:rPr>
                <w:rFonts w:hint="eastAsia"/>
                <w:color w:val="auto"/>
                <w:lang w:val="en-US" w:eastAsia="zh-CN"/>
              </w:rPr>
              <w:t>2</w:t>
            </w:r>
          </w:p>
        </w:tc>
        <w:tc>
          <w:tcPr>
            <w:tcW w:w="754" w:type="pct"/>
            <w:vMerge w:val="continue"/>
            <w:tcBorders>
              <w:tl2br w:val="nil"/>
              <w:tr2bl w:val="nil"/>
            </w:tcBorders>
            <w:noWrap w:val="0"/>
            <w:vAlign w:val="center"/>
          </w:tcPr>
          <w:p w14:paraId="4F23E420">
            <w:pPr>
              <w:pStyle w:val="31"/>
              <w:bidi w:val="0"/>
              <w:rPr>
                <w:rFonts w:hint="default"/>
                <w:color w:val="auto"/>
              </w:rPr>
            </w:pPr>
          </w:p>
        </w:tc>
        <w:tc>
          <w:tcPr>
            <w:tcW w:w="521" w:type="pct"/>
            <w:vMerge w:val="continue"/>
            <w:tcBorders>
              <w:tl2br w:val="nil"/>
              <w:tr2bl w:val="nil"/>
            </w:tcBorders>
            <w:noWrap w:val="0"/>
            <w:vAlign w:val="center"/>
          </w:tcPr>
          <w:p w14:paraId="092A7A0E">
            <w:pPr>
              <w:pStyle w:val="31"/>
              <w:bidi w:val="0"/>
              <w:rPr>
                <w:rFonts w:hint="default"/>
                <w:color w:val="auto"/>
                <w:lang w:val="en-US" w:eastAsia="zh-CN"/>
              </w:rPr>
            </w:pPr>
          </w:p>
        </w:tc>
        <w:tc>
          <w:tcPr>
            <w:tcW w:w="2806" w:type="dxa"/>
            <w:tcBorders>
              <w:tl2br w:val="nil"/>
              <w:tr2bl w:val="nil"/>
            </w:tcBorders>
            <w:noWrap w:val="0"/>
            <w:vAlign w:val="center"/>
          </w:tcPr>
          <w:p w14:paraId="5D68FBC6">
            <w:pPr>
              <w:pStyle w:val="31"/>
              <w:bidi w:val="0"/>
              <w:rPr>
                <w:rFonts w:hint="default"/>
                <w:color w:val="auto"/>
              </w:rPr>
            </w:pPr>
            <w:r>
              <w:rPr>
                <w:rFonts w:hint="default"/>
                <w:color w:val="auto"/>
              </w:rPr>
              <w:t>117.38318682,30.58129010</w:t>
            </w:r>
          </w:p>
        </w:tc>
        <w:tc>
          <w:tcPr>
            <w:tcW w:w="2764" w:type="dxa"/>
            <w:tcBorders>
              <w:tl2br w:val="nil"/>
              <w:tr2bl w:val="nil"/>
            </w:tcBorders>
            <w:noWrap w:val="0"/>
            <w:vAlign w:val="center"/>
          </w:tcPr>
          <w:p w14:paraId="0D46C43D">
            <w:pPr>
              <w:pStyle w:val="31"/>
              <w:bidi w:val="0"/>
              <w:rPr>
                <w:rFonts w:hint="default"/>
                <w:color w:val="auto"/>
              </w:rPr>
            </w:pPr>
            <w:r>
              <w:rPr>
                <w:rFonts w:hint="default"/>
                <w:color w:val="auto"/>
              </w:rPr>
              <w:t>117.38198519,30.57375278</w:t>
            </w:r>
          </w:p>
        </w:tc>
      </w:tr>
      <w:tr w14:paraId="5EADA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0FFADED0">
            <w:pPr>
              <w:pStyle w:val="31"/>
              <w:bidi w:val="0"/>
              <w:rPr>
                <w:rFonts w:hint="eastAsia"/>
                <w:color w:val="auto"/>
                <w:lang w:eastAsia="zh-CN"/>
              </w:rPr>
            </w:pPr>
            <w:r>
              <w:rPr>
                <w:rFonts w:hint="default"/>
                <w:color w:val="auto"/>
              </w:rPr>
              <w:t>样线</w:t>
            </w:r>
            <w:r>
              <w:rPr>
                <w:rFonts w:hint="eastAsia"/>
                <w:color w:val="auto"/>
                <w:lang w:val="en-US" w:eastAsia="zh-CN"/>
              </w:rPr>
              <w:t>3</w:t>
            </w:r>
          </w:p>
        </w:tc>
        <w:tc>
          <w:tcPr>
            <w:tcW w:w="754" w:type="pct"/>
            <w:vMerge w:val="continue"/>
            <w:tcBorders>
              <w:tl2br w:val="nil"/>
              <w:tr2bl w:val="nil"/>
            </w:tcBorders>
            <w:noWrap w:val="0"/>
            <w:vAlign w:val="center"/>
          </w:tcPr>
          <w:p w14:paraId="1FFF457B">
            <w:pPr>
              <w:pStyle w:val="31"/>
              <w:bidi w:val="0"/>
              <w:rPr>
                <w:rFonts w:hint="default"/>
                <w:color w:val="auto"/>
              </w:rPr>
            </w:pPr>
          </w:p>
        </w:tc>
        <w:tc>
          <w:tcPr>
            <w:tcW w:w="521" w:type="pct"/>
            <w:vMerge w:val="continue"/>
            <w:tcBorders>
              <w:tl2br w:val="nil"/>
              <w:tr2bl w:val="nil"/>
            </w:tcBorders>
            <w:noWrap w:val="0"/>
            <w:vAlign w:val="center"/>
          </w:tcPr>
          <w:p w14:paraId="41441CBC">
            <w:pPr>
              <w:pStyle w:val="31"/>
              <w:bidi w:val="0"/>
              <w:rPr>
                <w:rFonts w:hint="default"/>
                <w:color w:val="auto"/>
                <w:lang w:val="en-US" w:eastAsia="zh-CN"/>
              </w:rPr>
            </w:pPr>
          </w:p>
        </w:tc>
        <w:tc>
          <w:tcPr>
            <w:tcW w:w="2806" w:type="dxa"/>
            <w:tcBorders>
              <w:tl2br w:val="nil"/>
              <w:tr2bl w:val="nil"/>
            </w:tcBorders>
            <w:noWrap w:val="0"/>
            <w:vAlign w:val="center"/>
          </w:tcPr>
          <w:p w14:paraId="3A74EDF9">
            <w:pPr>
              <w:pStyle w:val="31"/>
              <w:bidi w:val="0"/>
              <w:rPr>
                <w:rFonts w:hint="default"/>
                <w:color w:val="auto"/>
              </w:rPr>
            </w:pPr>
            <w:r>
              <w:rPr>
                <w:rFonts w:hint="default"/>
                <w:color w:val="auto"/>
              </w:rPr>
              <w:t>117.40788460,30.60249488</w:t>
            </w:r>
          </w:p>
        </w:tc>
        <w:tc>
          <w:tcPr>
            <w:tcW w:w="2764" w:type="dxa"/>
            <w:tcBorders>
              <w:tl2br w:val="nil"/>
              <w:tr2bl w:val="nil"/>
            </w:tcBorders>
            <w:noWrap w:val="0"/>
            <w:vAlign w:val="center"/>
          </w:tcPr>
          <w:p w14:paraId="0EB00F2B">
            <w:pPr>
              <w:pStyle w:val="31"/>
              <w:bidi w:val="0"/>
              <w:rPr>
                <w:rFonts w:hint="default"/>
                <w:color w:val="auto"/>
              </w:rPr>
            </w:pPr>
            <w:r>
              <w:rPr>
                <w:rFonts w:hint="default"/>
                <w:color w:val="auto"/>
              </w:rPr>
              <w:t>117.41530895,30.60783229</w:t>
            </w:r>
          </w:p>
        </w:tc>
      </w:tr>
      <w:tr w14:paraId="2FBF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05427E64">
            <w:pPr>
              <w:pStyle w:val="31"/>
              <w:bidi w:val="0"/>
              <w:rPr>
                <w:rFonts w:hint="eastAsia"/>
                <w:color w:val="auto"/>
                <w:lang w:eastAsia="zh-CN"/>
              </w:rPr>
            </w:pPr>
            <w:r>
              <w:rPr>
                <w:rFonts w:hint="default"/>
                <w:color w:val="auto"/>
              </w:rPr>
              <w:t>样线</w:t>
            </w:r>
            <w:r>
              <w:rPr>
                <w:rFonts w:hint="eastAsia"/>
                <w:color w:val="auto"/>
                <w:lang w:val="en-US" w:eastAsia="zh-CN"/>
              </w:rPr>
              <w:t>4</w:t>
            </w:r>
          </w:p>
        </w:tc>
        <w:tc>
          <w:tcPr>
            <w:tcW w:w="754" w:type="pct"/>
            <w:vMerge w:val="restart"/>
            <w:tcBorders>
              <w:tl2br w:val="nil"/>
              <w:tr2bl w:val="nil"/>
            </w:tcBorders>
            <w:noWrap w:val="0"/>
            <w:vAlign w:val="center"/>
          </w:tcPr>
          <w:p w14:paraId="2FD4550E">
            <w:pPr>
              <w:pStyle w:val="31"/>
              <w:bidi w:val="0"/>
              <w:rPr>
                <w:rFonts w:hint="default"/>
                <w:color w:val="auto"/>
                <w:lang w:val="en-US" w:eastAsia="zh-CN"/>
              </w:rPr>
            </w:pPr>
            <w:r>
              <w:rPr>
                <w:rFonts w:hint="eastAsia"/>
                <w:color w:val="auto"/>
                <w:lang w:val="en-US" w:eastAsia="zh-CN"/>
              </w:rPr>
              <w:t>湿地生态系统</w:t>
            </w:r>
          </w:p>
        </w:tc>
        <w:tc>
          <w:tcPr>
            <w:tcW w:w="521" w:type="pct"/>
            <w:vMerge w:val="continue"/>
            <w:tcBorders>
              <w:tl2br w:val="nil"/>
              <w:tr2bl w:val="nil"/>
            </w:tcBorders>
            <w:noWrap w:val="0"/>
            <w:vAlign w:val="center"/>
          </w:tcPr>
          <w:p w14:paraId="0B7DE418">
            <w:pPr>
              <w:pStyle w:val="31"/>
              <w:bidi w:val="0"/>
              <w:rPr>
                <w:rFonts w:hint="default"/>
                <w:color w:val="auto"/>
              </w:rPr>
            </w:pPr>
          </w:p>
        </w:tc>
        <w:tc>
          <w:tcPr>
            <w:tcW w:w="1577" w:type="pct"/>
            <w:tcBorders>
              <w:tl2br w:val="nil"/>
              <w:tr2bl w:val="nil"/>
            </w:tcBorders>
            <w:noWrap w:val="0"/>
            <w:vAlign w:val="center"/>
          </w:tcPr>
          <w:p w14:paraId="76699C4C">
            <w:pPr>
              <w:pStyle w:val="31"/>
              <w:bidi w:val="0"/>
              <w:rPr>
                <w:rFonts w:hint="default"/>
                <w:color w:val="auto"/>
              </w:rPr>
            </w:pPr>
            <w:r>
              <w:rPr>
                <w:rFonts w:hint="default"/>
                <w:color w:val="auto"/>
              </w:rPr>
              <w:t>117.39378691,30.59704636</w:t>
            </w:r>
          </w:p>
        </w:tc>
        <w:tc>
          <w:tcPr>
            <w:tcW w:w="1553" w:type="pct"/>
            <w:tcBorders>
              <w:tl2br w:val="nil"/>
              <w:tr2bl w:val="nil"/>
            </w:tcBorders>
            <w:noWrap w:val="0"/>
            <w:vAlign w:val="center"/>
          </w:tcPr>
          <w:p w14:paraId="7A063356">
            <w:pPr>
              <w:pStyle w:val="31"/>
              <w:bidi w:val="0"/>
              <w:rPr>
                <w:rFonts w:hint="default"/>
                <w:color w:val="auto"/>
              </w:rPr>
            </w:pPr>
            <w:r>
              <w:rPr>
                <w:rFonts w:hint="default"/>
                <w:color w:val="auto"/>
              </w:rPr>
              <w:t>117.40453720,30.60236560</w:t>
            </w:r>
          </w:p>
        </w:tc>
      </w:tr>
      <w:tr w14:paraId="71D7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6620BCBB">
            <w:pPr>
              <w:pStyle w:val="31"/>
              <w:bidi w:val="0"/>
              <w:rPr>
                <w:rFonts w:hint="eastAsia"/>
                <w:color w:val="auto"/>
                <w:lang w:eastAsia="zh-CN"/>
              </w:rPr>
            </w:pPr>
            <w:r>
              <w:rPr>
                <w:rFonts w:hint="default"/>
                <w:color w:val="auto"/>
              </w:rPr>
              <w:t>样线</w:t>
            </w:r>
            <w:r>
              <w:rPr>
                <w:rFonts w:hint="eastAsia"/>
                <w:color w:val="auto"/>
                <w:lang w:val="en-US" w:eastAsia="zh-CN"/>
              </w:rPr>
              <w:t>5</w:t>
            </w:r>
          </w:p>
        </w:tc>
        <w:tc>
          <w:tcPr>
            <w:tcW w:w="754" w:type="pct"/>
            <w:vMerge w:val="continue"/>
            <w:tcBorders>
              <w:tl2br w:val="nil"/>
              <w:tr2bl w:val="nil"/>
            </w:tcBorders>
            <w:noWrap w:val="0"/>
            <w:vAlign w:val="center"/>
          </w:tcPr>
          <w:p w14:paraId="29216609">
            <w:pPr>
              <w:pStyle w:val="31"/>
              <w:bidi w:val="0"/>
              <w:rPr>
                <w:rFonts w:hint="default"/>
                <w:color w:val="auto"/>
              </w:rPr>
            </w:pPr>
          </w:p>
        </w:tc>
        <w:tc>
          <w:tcPr>
            <w:tcW w:w="521" w:type="pct"/>
            <w:vMerge w:val="continue"/>
            <w:tcBorders>
              <w:tl2br w:val="nil"/>
              <w:tr2bl w:val="nil"/>
            </w:tcBorders>
            <w:noWrap w:val="0"/>
            <w:vAlign w:val="center"/>
          </w:tcPr>
          <w:p w14:paraId="5A168A93">
            <w:pPr>
              <w:pStyle w:val="31"/>
              <w:bidi w:val="0"/>
              <w:rPr>
                <w:rFonts w:hint="default"/>
                <w:color w:val="auto"/>
              </w:rPr>
            </w:pPr>
          </w:p>
        </w:tc>
        <w:tc>
          <w:tcPr>
            <w:tcW w:w="1577" w:type="pct"/>
            <w:tcBorders>
              <w:tl2br w:val="nil"/>
              <w:tr2bl w:val="nil"/>
            </w:tcBorders>
            <w:noWrap w:val="0"/>
            <w:vAlign w:val="center"/>
          </w:tcPr>
          <w:p w14:paraId="2C9DF010">
            <w:pPr>
              <w:pStyle w:val="31"/>
              <w:bidi w:val="0"/>
              <w:rPr>
                <w:rFonts w:hint="default"/>
                <w:color w:val="auto"/>
              </w:rPr>
            </w:pPr>
            <w:r>
              <w:rPr>
                <w:rFonts w:hint="default"/>
                <w:color w:val="auto"/>
              </w:rPr>
              <w:t>117.37762928,30.59274273</w:t>
            </w:r>
          </w:p>
        </w:tc>
        <w:tc>
          <w:tcPr>
            <w:tcW w:w="1553" w:type="pct"/>
            <w:tcBorders>
              <w:tl2br w:val="nil"/>
              <w:tr2bl w:val="nil"/>
            </w:tcBorders>
            <w:noWrap w:val="0"/>
            <w:vAlign w:val="center"/>
          </w:tcPr>
          <w:p w14:paraId="5ABE6D15">
            <w:pPr>
              <w:pStyle w:val="31"/>
              <w:bidi w:val="0"/>
              <w:rPr>
                <w:rFonts w:hint="default"/>
                <w:color w:val="auto"/>
              </w:rPr>
            </w:pPr>
            <w:r>
              <w:rPr>
                <w:rFonts w:hint="default"/>
                <w:color w:val="auto"/>
              </w:rPr>
              <w:t>117.39333630,30.60098041</w:t>
            </w:r>
          </w:p>
        </w:tc>
      </w:tr>
      <w:tr w14:paraId="481EE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0CFBA621">
            <w:pPr>
              <w:pStyle w:val="31"/>
              <w:bidi w:val="0"/>
              <w:rPr>
                <w:rFonts w:hint="default"/>
                <w:color w:val="auto"/>
              </w:rPr>
            </w:pPr>
            <w:r>
              <w:rPr>
                <w:rFonts w:hint="default"/>
                <w:color w:val="auto"/>
              </w:rPr>
              <w:t>样线</w:t>
            </w:r>
            <w:r>
              <w:rPr>
                <w:rFonts w:hint="eastAsia"/>
                <w:color w:val="auto"/>
                <w:lang w:val="en-US" w:eastAsia="zh-CN"/>
              </w:rPr>
              <w:t>6</w:t>
            </w:r>
          </w:p>
        </w:tc>
        <w:tc>
          <w:tcPr>
            <w:tcW w:w="754" w:type="pct"/>
            <w:vMerge w:val="continue"/>
            <w:tcBorders>
              <w:tl2br w:val="nil"/>
              <w:tr2bl w:val="nil"/>
            </w:tcBorders>
            <w:noWrap w:val="0"/>
            <w:vAlign w:val="center"/>
          </w:tcPr>
          <w:p w14:paraId="4907893A">
            <w:pPr>
              <w:pStyle w:val="31"/>
              <w:bidi w:val="0"/>
              <w:rPr>
                <w:rFonts w:hint="default"/>
                <w:color w:val="auto"/>
              </w:rPr>
            </w:pPr>
          </w:p>
        </w:tc>
        <w:tc>
          <w:tcPr>
            <w:tcW w:w="521" w:type="pct"/>
            <w:vMerge w:val="continue"/>
            <w:tcBorders>
              <w:tl2br w:val="nil"/>
              <w:tr2bl w:val="nil"/>
            </w:tcBorders>
            <w:noWrap w:val="0"/>
            <w:vAlign w:val="center"/>
          </w:tcPr>
          <w:p w14:paraId="3B7717E9">
            <w:pPr>
              <w:pStyle w:val="31"/>
              <w:bidi w:val="0"/>
              <w:rPr>
                <w:rFonts w:hint="default"/>
                <w:color w:val="auto"/>
              </w:rPr>
            </w:pPr>
          </w:p>
        </w:tc>
        <w:tc>
          <w:tcPr>
            <w:tcW w:w="1577" w:type="pct"/>
            <w:tcBorders>
              <w:tl2br w:val="nil"/>
              <w:tr2bl w:val="nil"/>
            </w:tcBorders>
            <w:noWrap w:val="0"/>
            <w:vAlign w:val="center"/>
          </w:tcPr>
          <w:p w14:paraId="6BDC7AB3">
            <w:pPr>
              <w:pStyle w:val="31"/>
              <w:bidi w:val="0"/>
              <w:rPr>
                <w:rFonts w:hint="default"/>
                <w:color w:val="auto"/>
              </w:rPr>
            </w:pPr>
            <w:r>
              <w:rPr>
                <w:rFonts w:hint="default"/>
                <w:color w:val="auto"/>
              </w:rPr>
              <w:t>117.40024567,30.59351851</w:t>
            </w:r>
          </w:p>
        </w:tc>
        <w:tc>
          <w:tcPr>
            <w:tcW w:w="1553" w:type="pct"/>
            <w:tcBorders>
              <w:tl2br w:val="nil"/>
              <w:tr2bl w:val="nil"/>
            </w:tcBorders>
            <w:noWrap w:val="0"/>
            <w:vAlign w:val="center"/>
          </w:tcPr>
          <w:p w14:paraId="5222BC0B">
            <w:pPr>
              <w:pStyle w:val="31"/>
              <w:bidi w:val="0"/>
              <w:rPr>
                <w:rFonts w:hint="default"/>
                <w:color w:val="auto"/>
              </w:rPr>
            </w:pPr>
            <w:r>
              <w:rPr>
                <w:rFonts w:hint="default"/>
                <w:color w:val="auto"/>
              </w:rPr>
              <w:t>117.41367817,30.60138673</w:t>
            </w:r>
          </w:p>
        </w:tc>
      </w:tr>
      <w:tr w14:paraId="2527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63DA2DC8">
            <w:pPr>
              <w:pStyle w:val="31"/>
              <w:bidi w:val="0"/>
              <w:rPr>
                <w:rFonts w:hint="eastAsia"/>
                <w:color w:val="auto"/>
                <w:lang w:eastAsia="zh-CN"/>
              </w:rPr>
            </w:pPr>
            <w:r>
              <w:rPr>
                <w:rFonts w:hint="default"/>
                <w:color w:val="auto"/>
              </w:rPr>
              <w:t>样线</w:t>
            </w:r>
            <w:r>
              <w:rPr>
                <w:rFonts w:hint="eastAsia"/>
                <w:color w:val="auto"/>
                <w:lang w:val="en-US" w:eastAsia="zh-CN"/>
              </w:rPr>
              <w:t>7</w:t>
            </w:r>
          </w:p>
        </w:tc>
        <w:tc>
          <w:tcPr>
            <w:tcW w:w="754" w:type="pct"/>
            <w:vMerge w:val="restart"/>
            <w:tcBorders>
              <w:tl2br w:val="nil"/>
              <w:tr2bl w:val="nil"/>
            </w:tcBorders>
            <w:noWrap w:val="0"/>
            <w:vAlign w:val="center"/>
          </w:tcPr>
          <w:p w14:paraId="3870722E">
            <w:pPr>
              <w:pStyle w:val="31"/>
              <w:bidi w:val="0"/>
              <w:rPr>
                <w:rFonts w:hint="default"/>
                <w:color w:val="auto"/>
              </w:rPr>
            </w:pPr>
            <w:r>
              <w:rPr>
                <w:rFonts w:hint="default"/>
                <w:color w:val="auto"/>
              </w:rPr>
              <w:t>农田生态系统</w:t>
            </w:r>
          </w:p>
        </w:tc>
        <w:tc>
          <w:tcPr>
            <w:tcW w:w="521" w:type="pct"/>
            <w:vMerge w:val="continue"/>
            <w:tcBorders>
              <w:tl2br w:val="nil"/>
              <w:tr2bl w:val="nil"/>
            </w:tcBorders>
            <w:noWrap w:val="0"/>
            <w:vAlign w:val="center"/>
          </w:tcPr>
          <w:p w14:paraId="443F81F7">
            <w:pPr>
              <w:pStyle w:val="31"/>
              <w:bidi w:val="0"/>
              <w:rPr>
                <w:rFonts w:hint="default"/>
                <w:color w:val="auto"/>
              </w:rPr>
            </w:pPr>
          </w:p>
        </w:tc>
        <w:tc>
          <w:tcPr>
            <w:tcW w:w="1577" w:type="pct"/>
            <w:tcBorders>
              <w:tl2br w:val="nil"/>
              <w:tr2bl w:val="nil"/>
            </w:tcBorders>
            <w:noWrap w:val="0"/>
            <w:vAlign w:val="center"/>
          </w:tcPr>
          <w:p w14:paraId="29F945C6">
            <w:pPr>
              <w:pStyle w:val="31"/>
              <w:bidi w:val="0"/>
              <w:rPr>
                <w:rFonts w:hint="default"/>
                <w:color w:val="auto"/>
              </w:rPr>
            </w:pPr>
            <w:r>
              <w:rPr>
                <w:rFonts w:hint="default"/>
                <w:color w:val="auto"/>
              </w:rPr>
              <w:t>117.38556862,30.60253182</w:t>
            </w:r>
          </w:p>
        </w:tc>
        <w:tc>
          <w:tcPr>
            <w:tcW w:w="1553" w:type="pct"/>
            <w:tcBorders>
              <w:tl2br w:val="nil"/>
              <w:tr2bl w:val="nil"/>
            </w:tcBorders>
            <w:noWrap w:val="0"/>
            <w:vAlign w:val="center"/>
          </w:tcPr>
          <w:p w14:paraId="1C8F14C2">
            <w:pPr>
              <w:pStyle w:val="31"/>
              <w:bidi w:val="0"/>
              <w:rPr>
                <w:rFonts w:hint="default"/>
                <w:color w:val="auto"/>
              </w:rPr>
            </w:pPr>
            <w:r>
              <w:rPr>
                <w:rFonts w:hint="default"/>
                <w:color w:val="auto"/>
              </w:rPr>
              <w:t>117.39492416,30.60792463</w:t>
            </w:r>
          </w:p>
        </w:tc>
      </w:tr>
      <w:tr w14:paraId="052F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35933648">
            <w:pPr>
              <w:pStyle w:val="31"/>
              <w:bidi w:val="0"/>
              <w:rPr>
                <w:rFonts w:hint="default"/>
                <w:color w:val="auto"/>
              </w:rPr>
            </w:pPr>
            <w:r>
              <w:rPr>
                <w:rFonts w:hint="default"/>
                <w:color w:val="auto"/>
              </w:rPr>
              <w:t>样线</w:t>
            </w:r>
            <w:r>
              <w:rPr>
                <w:rFonts w:hint="eastAsia"/>
                <w:color w:val="auto"/>
                <w:lang w:val="en-US" w:eastAsia="zh-CN"/>
              </w:rPr>
              <w:t>8</w:t>
            </w:r>
          </w:p>
        </w:tc>
        <w:tc>
          <w:tcPr>
            <w:tcW w:w="754" w:type="pct"/>
            <w:vMerge w:val="continue"/>
            <w:tcBorders>
              <w:tl2br w:val="nil"/>
              <w:tr2bl w:val="nil"/>
            </w:tcBorders>
            <w:noWrap w:val="0"/>
            <w:vAlign w:val="center"/>
          </w:tcPr>
          <w:p w14:paraId="466F2C0A">
            <w:pPr>
              <w:pStyle w:val="31"/>
              <w:bidi w:val="0"/>
              <w:rPr>
                <w:rFonts w:hint="default"/>
                <w:color w:val="auto"/>
              </w:rPr>
            </w:pPr>
          </w:p>
        </w:tc>
        <w:tc>
          <w:tcPr>
            <w:tcW w:w="521" w:type="pct"/>
            <w:vMerge w:val="continue"/>
            <w:tcBorders>
              <w:tl2br w:val="nil"/>
              <w:tr2bl w:val="nil"/>
            </w:tcBorders>
            <w:noWrap w:val="0"/>
            <w:vAlign w:val="center"/>
          </w:tcPr>
          <w:p w14:paraId="2EF755BA">
            <w:pPr>
              <w:pStyle w:val="31"/>
              <w:bidi w:val="0"/>
              <w:rPr>
                <w:rFonts w:hint="default"/>
                <w:color w:val="auto"/>
              </w:rPr>
            </w:pPr>
          </w:p>
        </w:tc>
        <w:tc>
          <w:tcPr>
            <w:tcW w:w="2806" w:type="dxa"/>
            <w:tcBorders>
              <w:tl2br w:val="nil"/>
              <w:tr2bl w:val="nil"/>
            </w:tcBorders>
            <w:noWrap w:val="0"/>
            <w:vAlign w:val="center"/>
          </w:tcPr>
          <w:p w14:paraId="7EBEFDE9">
            <w:pPr>
              <w:pStyle w:val="31"/>
              <w:bidi w:val="0"/>
              <w:rPr>
                <w:rFonts w:hint="default"/>
                <w:color w:val="auto"/>
              </w:rPr>
            </w:pPr>
            <w:r>
              <w:rPr>
                <w:rFonts w:hint="default"/>
                <w:color w:val="auto"/>
              </w:rPr>
              <w:t>117.38951683,30.57940582</w:t>
            </w:r>
          </w:p>
        </w:tc>
        <w:tc>
          <w:tcPr>
            <w:tcW w:w="2764" w:type="dxa"/>
            <w:tcBorders>
              <w:tl2br w:val="nil"/>
              <w:tr2bl w:val="nil"/>
            </w:tcBorders>
            <w:noWrap w:val="0"/>
            <w:vAlign w:val="center"/>
          </w:tcPr>
          <w:p w14:paraId="4D09E66D">
            <w:pPr>
              <w:pStyle w:val="31"/>
              <w:bidi w:val="0"/>
              <w:rPr>
                <w:rFonts w:hint="default"/>
                <w:color w:val="auto"/>
              </w:rPr>
            </w:pPr>
            <w:r>
              <w:rPr>
                <w:rFonts w:hint="default"/>
                <w:color w:val="auto"/>
              </w:rPr>
              <w:t>117.39943027,30.58823573</w:t>
            </w:r>
          </w:p>
        </w:tc>
      </w:tr>
      <w:tr w14:paraId="1C5F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94" w:type="pct"/>
            <w:tcBorders>
              <w:tl2br w:val="nil"/>
              <w:tr2bl w:val="nil"/>
            </w:tcBorders>
            <w:noWrap w:val="0"/>
            <w:vAlign w:val="center"/>
          </w:tcPr>
          <w:p w14:paraId="3E0C2803">
            <w:pPr>
              <w:pStyle w:val="31"/>
              <w:bidi w:val="0"/>
              <w:rPr>
                <w:rFonts w:hint="default"/>
                <w:color w:val="auto"/>
              </w:rPr>
            </w:pPr>
            <w:r>
              <w:rPr>
                <w:rFonts w:hint="default"/>
                <w:color w:val="auto"/>
              </w:rPr>
              <w:t>样线</w:t>
            </w:r>
            <w:r>
              <w:rPr>
                <w:rFonts w:hint="eastAsia"/>
                <w:color w:val="auto"/>
                <w:lang w:val="en-US" w:eastAsia="zh-CN"/>
              </w:rPr>
              <w:t>9</w:t>
            </w:r>
          </w:p>
        </w:tc>
        <w:tc>
          <w:tcPr>
            <w:tcW w:w="754" w:type="pct"/>
            <w:vMerge w:val="continue"/>
            <w:tcBorders>
              <w:tl2br w:val="nil"/>
              <w:tr2bl w:val="nil"/>
            </w:tcBorders>
            <w:noWrap w:val="0"/>
            <w:vAlign w:val="center"/>
          </w:tcPr>
          <w:p w14:paraId="526DCB47">
            <w:pPr>
              <w:pStyle w:val="31"/>
              <w:bidi w:val="0"/>
              <w:rPr>
                <w:rFonts w:hint="default"/>
                <w:color w:val="auto"/>
              </w:rPr>
            </w:pPr>
          </w:p>
        </w:tc>
        <w:tc>
          <w:tcPr>
            <w:tcW w:w="521" w:type="pct"/>
            <w:vMerge w:val="continue"/>
            <w:tcBorders>
              <w:tl2br w:val="nil"/>
              <w:tr2bl w:val="nil"/>
            </w:tcBorders>
            <w:noWrap w:val="0"/>
            <w:vAlign w:val="center"/>
          </w:tcPr>
          <w:p w14:paraId="45BC8564">
            <w:pPr>
              <w:pStyle w:val="31"/>
              <w:bidi w:val="0"/>
              <w:rPr>
                <w:rFonts w:hint="default"/>
                <w:color w:val="auto"/>
              </w:rPr>
            </w:pPr>
          </w:p>
        </w:tc>
        <w:tc>
          <w:tcPr>
            <w:tcW w:w="2806" w:type="dxa"/>
            <w:tcBorders>
              <w:tl2br w:val="nil"/>
              <w:tr2bl w:val="nil"/>
            </w:tcBorders>
            <w:noWrap w:val="0"/>
            <w:vAlign w:val="center"/>
          </w:tcPr>
          <w:p w14:paraId="5BD6507B">
            <w:pPr>
              <w:pStyle w:val="31"/>
              <w:bidi w:val="0"/>
              <w:rPr>
                <w:rFonts w:hint="default"/>
                <w:color w:val="auto"/>
              </w:rPr>
            </w:pPr>
            <w:r>
              <w:rPr>
                <w:rFonts w:hint="default"/>
                <w:color w:val="auto"/>
              </w:rPr>
              <w:t>117.37891674,30.58882682</w:t>
            </w:r>
          </w:p>
        </w:tc>
        <w:tc>
          <w:tcPr>
            <w:tcW w:w="2764" w:type="dxa"/>
            <w:tcBorders>
              <w:tl2br w:val="nil"/>
              <w:tr2bl w:val="nil"/>
            </w:tcBorders>
            <w:noWrap w:val="0"/>
            <w:vAlign w:val="center"/>
          </w:tcPr>
          <w:p w14:paraId="0E935CE9">
            <w:pPr>
              <w:pStyle w:val="31"/>
              <w:bidi w:val="0"/>
              <w:rPr>
                <w:rFonts w:hint="default"/>
                <w:color w:val="auto"/>
              </w:rPr>
            </w:pPr>
            <w:r>
              <w:rPr>
                <w:rFonts w:hint="default"/>
                <w:color w:val="auto"/>
              </w:rPr>
              <w:t>117.38998890,30.59540251</w:t>
            </w:r>
          </w:p>
        </w:tc>
      </w:tr>
    </w:tbl>
    <w:p w14:paraId="2083FDB7">
      <w:pPr>
        <w:bidi w:val="0"/>
        <w:rPr>
          <w:rFonts w:hint="default"/>
          <w:color w:val="auto"/>
        </w:rPr>
        <w:sectPr>
          <w:pgSz w:w="11906" w:h="16838"/>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7AC2486B">
      <w:pPr>
        <w:bidi w:val="0"/>
        <w:ind w:left="0" w:leftChars="0" w:firstLine="0" w:firstLineChars="0"/>
        <w:rPr>
          <w:rFonts w:hint="eastAsia" w:eastAsia="宋体"/>
          <w:color w:val="auto"/>
          <w:lang w:eastAsia="zh-CN"/>
        </w:rPr>
      </w:pPr>
      <w:r>
        <w:rPr>
          <w:rFonts w:hint="eastAsia" w:eastAsia="宋体"/>
          <w:color w:val="auto"/>
          <w:lang w:eastAsia="zh-CN"/>
        </w:rPr>
        <w:drawing>
          <wp:inline distT="0" distB="0" distL="114300" distR="114300">
            <wp:extent cx="8888730" cy="5382895"/>
            <wp:effectExtent l="0" t="0" r="7620" b="8255"/>
            <wp:docPr id="82" name="图片 82" descr="动物样线分布图 Model (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动物样线分布图 Model (1)_00"/>
                    <pic:cNvPicPr>
                      <a:picLocks noChangeAspect="1"/>
                    </pic:cNvPicPr>
                  </pic:nvPicPr>
                  <pic:blipFill>
                    <a:blip r:embed="rId82"/>
                    <a:srcRect t="3911"/>
                    <a:stretch>
                      <a:fillRect/>
                    </a:stretch>
                  </pic:blipFill>
                  <pic:spPr>
                    <a:xfrm>
                      <a:off x="0" y="0"/>
                      <a:ext cx="8888730" cy="5382895"/>
                    </a:xfrm>
                    <a:prstGeom prst="rect">
                      <a:avLst/>
                    </a:prstGeom>
                  </pic:spPr>
                </pic:pic>
              </a:graphicData>
            </a:graphic>
          </wp:inline>
        </w:drawing>
      </w:r>
    </w:p>
    <w:p w14:paraId="6FF6C94C">
      <w:pPr>
        <w:pStyle w:val="11"/>
        <w:bidi w:val="0"/>
        <w:rPr>
          <w:rFonts w:hint="default"/>
          <w:color w:val="auto"/>
          <w:lang w:val="en-US" w:eastAsia="zh-CN"/>
        </w:rPr>
        <w:sectPr>
          <w:pgSz w:w="16838" w:h="11906" w:orient="landscape"/>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4.3</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8</w:t>
      </w:r>
      <w:r>
        <w:rPr>
          <w:color w:val="auto"/>
        </w:rPr>
        <w:fldChar w:fldCharType="end"/>
      </w:r>
      <w:r>
        <w:rPr>
          <w:rFonts w:hint="eastAsia"/>
          <w:color w:val="auto"/>
          <w:lang w:val="en-US" w:eastAsia="zh-CN"/>
        </w:rPr>
        <w:t>评价区内样线分布图</w:t>
      </w:r>
    </w:p>
    <w:p w14:paraId="517602A4">
      <w:pPr>
        <w:pStyle w:val="5"/>
        <w:bidi w:val="0"/>
        <w:rPr>
          <w:rFonts w:hint="default"/>
          <w:color w:val="auto"/>
          <w:lang w:val="en-US" w:eastAsia="zh-CN"/>
        </w:rPr>
      </w:pPr>
      <w:bookmarkStart w:id="158" w:name="_Toc2983"/>
      <w:bookmarkStart w:id="159" w:name="_Toc510813716"/>
      <w:bookmarkStart w:id="160" w:name="_Toc522804868"/>
      <w:r>
        <w:rPr>
          <w:rFonts w:hint="eastAsia"/>
          <w:color w:val="auto"/>
          <w:lang w:val="en-US" w:eastAsia="zh-CN"/>
        </w:rPr>
        <w:t>哺乳动物</w:t>
      </w:r>
      <w:bookmarkEnd w:id="158"/>
      <w:bookmarkEnd w:id="159"/>
      <w:bookmarkEnd w:id="160"/>
    </w:p>
    <w:p w14:paraId="3260E4A6">
      <w:pPr>
        <w:bidi w:val="0"/>
        <w:rPr>
          <w:rFonts w:hint="eastAsia" w:ascii="Times New Roman" w:hAnsi="Times New Roman" w:eastAsia="宋体" w:cs="Times New Roman"/>
          <w:color w:val="auto"/>
          <w:szCs w:val="24"/>
          <w:lang w:val="en-US" w:eastAsia="zh-CN"/>
        </w:rPr>
      </w:pPr>
      <w:r>
        <w:rPr>
          <w:rFonts w:hint="eastAsia"/>
          <w:color w:val="auto"/>
          <w:lang w:val="en-US" w:eastAsia="zh-CN"/>
        </w:rPr>
        <w:t>评价区记录有哺乳类5目9科22种，分别是劳亚食虫目2科3种，兔形目1科1种，啮齿目3科12种、食肉目</w:t>
      </w:r>
      <w:r>
        <w:rPr>
          <w:rFonts w:hint="eastAsia" w:ascii="Times New Roman" w:hAnsi="Times New Roman" w:eastAsia="宋体" w:cs="Times New Roman"/>
          <w:color w:val="auto"/>
          <w:szCs w:val="24"/>
          <w:lang w:val="en-US" w:eastAsia="zh-CN"/>
        </w:rPr>
        <w:t>1科4种以及偶蹄目2科2种。分布有安徽省地方</w:t>
      </w:r>
      <w:r>
        <w:rPr>
          <w:rFonts w:hint="default" w:ascii="Times New Roman" w:hAnsi="Times New Roman" w:eastAsia="宋体" w:cs="Times New Roman"/>
          <w:color w:val="auto"/>
          <w:szCs w:val="24"/>
          <w:lang w:val="en-US" w:eastAsia="zh-CN"/>
        </w:rPr>
        <w:t>Ⅱ</w:t>
      </w:r>
      <w:r>
        <w:rPr>
          <w:rFonts w:hint="eastAsia" w:ascii="Times New Roman" w:hAnsi="Times New Roman" w:eastAsia="宋体" w:cs="Times New Roman"/>
          <w:color w:val="auto"/>
          <w:szCs w:val="24"/>
          <w:lang w:val="en-US" w:eastAsia="zh-CN"/>
        </w:rPr>
        <w:t>级保护野生哺乳动物5种，分别为黄鼬（</w:t>
      </w:r>
      <w:r>
        <w:rPr>
          <w:rFonts w:hint="eastAsia" w:ascii="Times New Roman" w:hAnsi="Times New Roman" w:eastAsia="宋体" w:cs="Times New Roman"/>
          <w:i/>
          <w:iCs/>
          <w:color w:val="auto"/>
          <w:szCs w:val="24"/>
          <w:lang w:val="en-US" w:eastAsia="zh-CN"/>
        </w:rPr>
        <w:t>Mustelasibirica</w:t>
      </w:r>
      <w:r>
        <w:rPr>
          <w:rFonts w:hint="eastAsia" w:ascii="Times New Roman" w:hAnsi="Times New Roman" w:eastAsia="宋体" w:cs="Times New Roman"/>
          <w:color w:val="auto"/>
          <w:szCs w:val="24"/>
          <w:lang w:val="en-US" w:eastAsia="zh-CN"/>
        </w:rPr>
        <w:t>）、鼬獾（</w:t>
      </w:r>
      <w:r>
        <w:rPr>
          <w:rFonts w:hint="eastAsia" w:ascii="Times New Roman" w:hAnsi="Times New Roman" w:eastAsia="宋体" w:cs="Times New Roman"/>
          <w:i/>
          <w:iCs/>
          <w:color w:val="auto"/>
          <w:szCs w:val="24"/>
          <w:lang w:val="en-US" w:eastAsia="zh-CN"/>
        </w:rPr>
        <w:t>Melogalemoschata</w:t>
      </w:r>
      <w:r>
        <w:rPr>
          <w:rFonts w:hint="eastAsia" w:ascii="Times New Roman" w:hAnsi="Times New Roman" w:eastAsia="宋体" w:cs="Times New Roman"/>
          <w:color w:val="auto"/>
          <w:szCs w:val="24"/>
          <w:lang w:val="en-US" w:eastAsia="zh-CN"/>
        </w:rPr>
        <w:t>）、猪獾（</w:t>
      </w:r>
      <w:r>
        <w:rPr>
          <w:rFonts w:hint="eastAsia" w:ascii="Times New Roman" w:hAnsi="Times New Roman" w:eastAsia="宋体" w:cs="Times New Roman"/>
          <w:i/>
          <w:iCs/>
          <w:color w:val="auto"/>
          <w:szCs w:val="24"/>
          <w:lang w:val="en-US" w:eastAsia="zh-CN"/>
        </w:rPr>
        <w:t>Arctonyxcollaris</w:t>
      </w:r>
      <w:r>
        <w:rPr>
          <w:rFonts w:hint="eastAsia" w:ascii="Times New Roman" w:hAnsi="Times New Roman" w:eastAsia="宋体" w:cs="Times New Roman"/>
          <w:color w:val="auto"/>
          <w:szCs w:val="24"/>
          <w:lang w:val="en-US" w:eastAsia="zh-CN"/>
        </w:rPr>
        <w:t>）、狗獾（</w:t>
      </w:r>
      <w:r>
        <w:rPr>
          <w:rFonts w:hint="eastAsia" w:ascii="Times New Roman" w:hAnsi="Times New Roman" w:eastAsia="宋体" w:cs="Times New Roman"/>
          <w:i/>
          <w:iCs/>
          <w:color w:val="auto"/>
          <w:szCs w:val="24"/>
          <w:lang w:val="en-US" w:eastAsia="zh-CN"/>
        </w:rPr>
        <w:t>Melesmeles</w:t>
      </w:r>
      <w:r>
        <w:rPr>
          <w:rFonts w:hint="eastAsia" w:ascii="Times New Roman" w:hAnsi="Times New Roman" w:eastAsia="宋体" w:cs="Times New Roman"/>
          <w:color w:val="auto"/>
          <w:szCs w:val="24"/>
          <w:lang w:val="en-US" w:eastAsia="zh-CN"/>
        </w:rPr>
        <w:t>）和黄麂（</w:t>
      </w:r>
      <w:r>
        <w:rPr>
          <w:rFonts w:hint="eastAsia" w:ascii="Times New Roman" w:hAnsi="Times New Roman" w:eastAsia="宋体" w:cs="Times New Roman"/>
          <w:i/>
          <w:iCs/>
          <w:color w:val="auto"/>
          <w:szCs w:val="24"/>
          <w:lang w:val="en-US" w:eastAsia="zh-CN"/>
        </w:rPr>
        <w:t>Muntiacusmuntjak</w:t>
      </w:r>
      <w:r>
        <w:rPr>
          <w:rFonts w:hint="eastAsia" w:ascii="Times New Roman" w:hAnsi="Times New Roman" w:eastAsia="宋体" w:cs="Times New Roman"/>
          <w:color w:val="auto"/>
          <w:szCs w:val="24"/>
          <w:lang w:val="en-US" w:eastAsia="zh-CN"/>
        </w:rPr>
        <w:t>）。啮齿目占全部种类的54.55%，为评价区哺乳动物的优势种类，其中鼠科7种，占31.82%，代表物种有赤腹松鼠（</w:t>
      </w:r>
      <w:r>
        <w:rPr>
          <w:rFonts w:hint="eastAsia" w:ascii="Times New Roman" w:hAnsi="Times New Roman" w:eastAsia="宋体" w:cs="Times New Roman"/>
          <w:i/>
          <w:iCs/>
          <w:color w:val="auto"/>
          <w:szCs w:val="24"/>
          <w:lang w:val="en-US" w:eastAsia="zh-CN"/>
        </w:rPr>
        <w:t>Callosciuruserythraeus</w:t>
      </w:r>
      <w:r>
        <w:rPr>
          <w:rFonts w:hint="eastAsia" w:ascii="Times New Roman" w:hAnsi="Times New Roman" w:eastAsia="宋体" w:cs="Times New Roman"/>
          <w:color w:val="auto"/>
          <w:szCs w:val="24"/>
          <w:lang w:val="en-US" w:eastAsia="zh-CN"/>
        </w:rPr>
        <w:t>）、岩松鼠（</w:t>
      </w:r>
      <w:r>
        <w:rPr>
          <w:rFonts w:hint="eastAsia" w:ascii="Times New Roman" w:hAnsi="Times New Roman" w:eastAsia="宋体" w:cs="Times New Roman"/>
          <w:i/>
          <w:iCs/>
          <w:color w:val="auto"/>
          <w:szCs w:val="24"/>
          <w:lang w:val="en-US" w:eastAsia="zh-CN"/>
        </w:rPr>
        <w:t>Sciurotamiasdavidianus</w:t>
      </w:r>
      <w:r>
        <w:rPr>
          <w:rFonts w:hint="eastAsia" w:ascii="Times New Roman" w:hAnsi="Times New Roman" w:eastAsia="宋体" w:cs="Times New Roman"/>
          <w:color w:val="auto"/>
          <w:szCs w:val="24"/>
          <w:lang w:val="en-US" w:eastAsia="zh-CN"/>
        </w:rPr>
        <w:t>）、小家鼠（</w:t>
      </w:r>
      <w:r>
        <w:rPr>
          <w:rFonts w:hint="eastAsia" w:ascii="Times New Roman" w:hAnsi="Times New Roman" w:eastAsia="宋体" w:cs="Times New Roman"/>
          <w:i/>
          <w:iCs/>
          <w:color w:val="auto"/>
          <w:szCs w:val="24"/>
          <w:lang w:val="en-US" w:eastAsia="zh-CN"/>
        </w:rPr>
        <w:t>Musmusculus</w:t>
      </w:r>
      <w:r>
        <w:rPr>
          <w:rFonts w:hint="eastAsia" w:ascii="Times New Roman" w:hAnsi="Times New Roman" w:eastAsia="宋体" w:cs="Times New Roman"/>
          <w:color w:val="auto"/>
          <w:szCs w:val="24"/>
          <w:lang w:val="en-US" w:eastAsia="zh-CN"/>
        </w:rPr>
        <w:t>）、褐家鼠（</w:t>
      </w:r>
      <w:r>
        <w:rPr>
          <w:rFonts w:hint="eastAsia" w:ascii="Times New Roman" w:hAnsi="Times New Roman" w:eastAsia="宋体" w:cs="Times New Roman"/>
          <w:i/>
          <w:iCs/>
          <w:color w:val="auto"/>
          <w:szCs w:val="24"/>
          <w:lang w:val="en-US" w:eastAsia="zh-CN"/>
        </w:rPr>
        <w:t>Rattusnorvegicus</w:t>
      </w:r>
      <w:r>
        <w:rPr>
          <w:rFonts w:hint="eastAsia" w:ascii="Times New Roman" w:hAnsi="Times New Roman" w:eastAsia="宋体" w:cs="Times New Roman"/>
          <w:color w:val="auto"/>
          <w:szCs w:val="24"/>
          <w:lang w:val="en-US" w:eastAsia="zh-CN"/>
        </w:rPr>
        <w:t>）等，多栖息在村庄生境。</w:t>
      </w:r>
    </w:p>
    <w:p w14:paraId="02746FF9">
      <w:pPr>
        <w:bidi w:val="0"/>
        <w:rPr>
          <w:rFonts w:hint="eastAsia"/>
          <w:color w:val="auto"/>
          <w:lang w:val="en-US" w:eastAsia="zh-CN"/>
        </w:rPr>
      </w:pPr>
      <w:r>
        <w:rPr>
          <w:rFonts w:hint="eastAsia"/>
          <w:color w:val="auto"/>
          <w:lang w:val="en-US" w:eastAsia="zh-CN"/>
        </w:rPr>
        <w:t>哺乳类在评价区范围内数量并不多，多数为夜间活动，也有白天活动的物种。实际调查中记录有赤腹松鼠、岩松鼠、黄鼬和黄麂4种。本项目临近泾县城区和各乡镇，管线沿线开发程度高，人类活动干扰强度大，不是哺乳动物的适宜栖息地。</w:t>
      </w:r>
    </w:p>
    <w:p w14:paraId="5951F699">
      <w:pPr>
        <w:bidi w:val="0"/>
        <w:rPr>
          <w:rFonts w:hint="eastAsia"/>
          <w:color w:val="auto"/>
          <w:lang w:val="en-US" w:eastAsia="zh-CN"/>
        </w:rPr>
      </w:pPr>
      <w:r>
        <w:rPr>
          <w:rFonts w:hint="eastAsia"/>
          <w:color w:val="auto"/>
          <w:lang w:val="en-US" w:eastAsia="zh-CN"/>
        </w:rPr>
        <w:t>评价区哺乳动物名录见附表1。</w:t>
      </w:r>
    </w:p>
    <w:p w14:paraId="4C4A5888">
      <w:pPr>
        <w:pStyle w:val="5"/>
        <w:bidi w:val="0"/>
        <w:rPr>
          <w:rFonts w:hint="default"/>
          <w:color w:val="auto"/>
          <w:lang w:val="en-US" w:eastAsia="zh-CN"/>
        </w:rPr>
      </w:pPr>
      <w:bookmarkStart w:id="161" w:name="_Toc510813718"/>
      <w:bookmarkStart w:id="162" w:name="_Toc23119"/>
      <w:bookmarkStart w:id="163" w:name="_Toc522804870"/>
      <w:r>
        <w:rPr>
          <w:rFonts w:hint="default"/>
          <w:color w:val="auto"/>
          <w:lang w:val="en-US" w:eastAsia="zh-CN"/>
        </w:rPr>
        <w:t>鸟类</w:t>
      </w:r>
      <w:bookmarkEnd w:id="161"/>
      <w:bookmarkEnd w:id="162"/>
      <w:bookmarkEnd w:id="163"/>
    </w:p>
    <w:p w14:paraId="1B983195">
      <w:pPr>
        <w:bidi w:val="0"/>
        <w:rPr>
          <w:rFonts w:hint="default"/>
          <w:color w:val="auto"/>
        </w:rPr>
      </w:pPr>
      <w:bookmarkStart w:id="164" w:name="_Toc25164401"/>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鸟类资源概况</w:t>
      </w:r>
      <w:bookmarkEnd w:id="164"/>
    </w:p>
    <w:p w14:paraId="0495D5B8">
      <w:pPr>
        <w:bidi w:val="0"/>
        <w:rPr>
          <w:rFonts w:hint="eastAsia" w:ascii="Times New Roman" w:hAnsi="Times New Roman" w:eastAsia="宋体" w:cs="Times New Roman"/>
          <w:color w:val="auto"/>
          <w:kern w:val="0"/>
          <w:szCs w:val="24"/>
        </w:rPr>
      </w:pPr>
      <w:r>
        <w:rPr>
          <w:color w:val="auto"/>
        </w:rPr>
        <w:t>通过现场调查和搜集项目</w:t>
      </w:r>
      <w:r>
        <w:rPr>
          <w:rFonts w:hint="eastAsia"/>
          <w:color w:val="auto"/>
        </w:rPr>
        <w:t>评价</w:t>
      </w:r>
      <w:r>
        <w:rPr>
          <w:color w:val="auto"/>
        </w:rPr>
        <w:t>区以往发表文献资料，</w:t>
      </w:r>
      <w:r>
        <w:rPr>
          <w:rFonts w:hint="eastAsia"/>
          <w:color w:val="auto"/>
          <w:lang w:val="en-US" w:eastAsia="zh-CN"/>
        </w:rPr>
        <w:t>本区域</w:t>
      </w:r>
      <w:r>
        <w:rPr>
          <w:rFonts w:hint="eastAsia"/>
          <w:color w:val="auto"/>
        </w:rPr>
        <w:t>共记录鸟类</w:t>
      </w:r>
      <w:r>
        <w:rPr>
          <w:rFonts w:hint="eastAsia"/>
          <w:color w:val="auto"/>
          <w:lang w:val="en-US" w:eastAsia="zh-CN"/>
        </w:rPr>
        <w:t>14目40</w:t>
      </w:r>
      <w:r>
        <w:rPr>
          <w:rFonts w:hint="eastAsia"/>
          <w:color w:val="auto"/>
        </w:rPr>
        <w:t>科</w:t>
      </w:r>
      <w:r>
        <w:rPr>
          <w:rFonts w:hint="eastAsia"/>
          <w:color w:val="auto"/>
          <w:lang w:val="en-US" w:eastAsia="zh-CN"/>
        </w:rPr>
        <w:t>122</w:t>
      </w:r>
      <w:r>
        <w:rPr>
          <w:rFonts w:hint="eastAsia"/>
          <w:color w:val="auto"/>
        </w:rPr>
        <w:t>种</w:t>
      </w:r>
      <w:r>
        <w:rPr>
          <w:rFonts w:hint="eastAsia" w:ascii="Times New Roman" w:hAnsi="Times New Roman" w:eastAsia="宋体" w:cs="Times New Roman"/>
          <w:color w:val="auto"/>
          <w:kern w:val="0"/>
          <w:szCs w:val="24"/>
        </w:rPr>
        <w:t>，其中属于</w:t>
      </w:r>
      <w:r>
        <w:rPr>
          <w:rFonts w:hint="eastAsia" w:ascii="Times New Roman" w:hAnsi="Times New Roman" w:eastAsia="宋体" w:cs="Times New Roman"/>
          <w:color w:val="auto"/>
          <w:kern w:val="0"/>
          <w:szCs w:val="24"/>
          <w:lang w:val="en-US" w:eastAsia="zh-CN"/>
        </w:rPr>
        <w:t>国</w:t>
      </w:r>
      <w:r>
        <w:rPr>
          <w:rFonts w:hint="default" w:ascii="Times New Roman" w:hAnsi="Times New Roman" w:eastAsia="宋体" w:cs="Times New Roman"/>
          <w:color w:val="auto"/>
          <w:kern w:val="0"/>
          <w:szCs w:val="24"/>
          <w:lang w:val="en-US" w:eastAsia="zh-CN"/>
        </w:rPr>
        <w:t>家Ⅱ</w:t>
      </w:r>
      <w:r>
        <w:rPr>
          <w:rFonts w:hint="eastAsia" w:ascii="Times New Roman" w:hAnsi="Times New Roman" w:eastAsia="宋体" w:cs="Times New Roman"/>
          <w:color w:val="auto"/>
          <w:kern w:val="0"/>
          <w:szCs w:val="24"/>
          <w:lang w:val="en-US" w:eastAsia="zh-CN"/>
        </w:rPr>
        <w:t>级重点保护鸟类有1种：画眉（</w:t>
      </w:r>
      <w:r>
        <w:rPr>
          <w:rFonts w:hint="eastAsia" w:ascii="Times New Roman" w:hAnsi="Times New Roman" w:eastAsia="宋体" w:cs="Times New Roman"/>
          <w:i/>
          <w:iCs/>
          <w:color w:val="auto"/>
          <w:kern w:val="0"/>
          <w:szCs w:val="24"/>
          <w:lang w:val="en-US" w:eastAsia="zh-CN"/>
        </w:rPr>
        <w:t>Garrulaxcanorus</w:t>
      </w:r>
      <w:r>
        <w:rPr>
          <w:rFonts w:hint="eastAsia" w:ascii="Times New Roman" w:hAnsi="Times New Roman" w:eastAsia="宋体" w:cs="Times New Roman"/>
          <w:color w:val="auto"/>
          <w:kern w:val="0"/>
          <w:szCs w:val="24"/>
          <w:lang w:val="en-US" w:eastAsia="zh-CN"/>
        </w:rPr>
        <w:t>），属于</w:t>
      </w:r>
      <w:r>
        <w:rPr>
          <w:rFonts w:hint="eastAsia" w:ascii="Times New Roman" w:hAnsi="Times New Roman" w:eastAsia="宋体" w:cs="Times New Roman"/>
          <w:color w:val="auto"/>
          <w:kern w:val="0"/>
          <w:szCs w:val="24"/>
        </w:rPr>
        <w:t>安徽省地方保护鸟类</w:t>
      </w:r>
      <w:r>
        <w:rPr>
          <w:rFonts w:hint="eastAsia" w:ascii="Times New Roman" w:hAnsi="Times New Roman" w:eastAsia="宋体" w:cs="Times New Roman"/>
          <w:color w:val="auto"/>
          <w:kern w:val="0"/>
          <w:szCs w:val="24"/>
          <w:lang w:val="en-US" w:eastAsia="zh-CN"/>
        </w:rPr>
        <w:t>有</w:t>
      </w:r>
      <w:r>
        <w:rPr>
          <w:rFonts w:ascii="Times New Roman" w:hAnsi="Times New Roman" w:eastAsia="宋体" w:cs="Times New Roman"/>
          <w:color w:val="auto"/>
          <w:kern w:val="0"/>
          <w:szCs w:val="24"/>
        </w:rPr>
        <w:t>1</w:t>
      </w:r>
      <w:r>
        <w:rPr>
          <w:rFonts w:hint="eastAsia" w:ascii="Times New Roman" w:hAnsi="Times New Roman" w:eastAsia="宋体" w:cs="Times New Roman"/>
          <w:color w:val="auto"/>
          <w:kern w:val="0"/>
          <w:szCs w:val="24"/>
          <w:lang w:val="en-US" w:eastAsia="zh-CN"/>
        </w:rPr>
        <w:t>9</w:t>
      </w:r>
      <w:r>
        <w:rPr>
          <w:rFonts w:hint="eastAsia" w:ascii="Times New Roman" w:hAnsi="Times New Roman" w:eastAsia="宋体" w:cs="Times New Roman"/>
          <w:color w:val="auto"/>
          <w:kern w:val="0"/>
          <w:szCs w:val="24"/>
        </w:rPr>
        <w:t>种。</w:t>
      </w:r>
      <w:bookmarkStart w:id="165" w:name="_Hlk22395472"/>
    </w:p>
    <w:p w14:paraId="747EFF2C">
      <w:pPr>
        <w:bidi w:val="0"/>
        <w:rPr>
          <w:color w:val="auto"/>
        </w:rPr>
      </w:pPr>
      <w:r>
        <w:rPr>
          <w:rFonts w:hint="eastAsia"/>
          <w:color w:val="auto"/>
        </w:rPr>
        <w:t>评价区</w:t>
      </w:r>
      <w:r>
        <w:rPr>
          <w:rFonts w:hint="eastAsia"/>
          <w:color w:val="auto"/>
          <w:lang w:val="en-US" w:eastAsia="zh-CN"/>
        </w:rPr>
        <w:t>鸟类中</w:t>
      </w:r>
      <w:r>
        <w:rPr>
          <w:rFonts w:hint="eastAsia"/>
          <w:color w:val="auto"/>
        </w:rPr>
        <w:t>雀形目种类最多，为</w:t>
      </w:r>
      <w:r>
        <w:rPr>
          <w:rFonts w:hint="eastAsia"/>
          <w:color w:val="auto"/>
          <w:lang w:val="en-US" w:eastAsia="zh-CN"/>
        </w:rPr>
        <w:t>25科84</w:t>
      </w:r>
      <w:r>
        <w:rPr>
          <w:rFonts w:hint="eastAsia"/>
          <w:color w:val="auto"/>
        </w:rPr>
        <w:t>种，</w:t>
      </w:r>
      <w:r>
        <w:rPr>
          <w:rFonts w:hint="eastAsia"/>
          <w:color w:val="auto"/>
          <w:lang w:val="en-US" w:eastAsia="zh-CN"/>
        </w:rPr>
        <w:t>分别</w:t>
      </w:r>
      <w:r>
        <w:rPr>
          <w:rFonts w:hint="eastAsia"/>
          <w:color w:val="auto"/>
        </w:rPr>
        <w:t>占总</w:t>
      </w:r>
      <w:r>
        <w:rPr>
          <w:rFonts w:hint="eastAsia"/>
          <w:color w:val="auto"/>
          <w:lang w:val="en-US" w:eastAsia="zh-CN"/>
        </w:rPr>
        <w:t>科类和总</w:t>
      </w:r>
      <w:r>
        <w:rPr>
          <w:rFonts w:hint="eastAsia"/>
          <w:color w:val="auto"/>
        </w:rPr>
        <w:t>种类的</w:t>
      </w:r>
      <w:r>
        <w:rPr>
          <w:rFonts w:hint="eastAsia"/>
          <w:color w:val="auto"/>
          <w:lang w:val="en-US" w:eastAsia="zh-CN"/>
        </w:rPr>
        <w:t>62.5%、68.86</w:t>
      </w:r>
      <w:r>
        <w:rPr>
          <w:rFonts w:hint="eastAsia"/>
          <w:color w:val="auto"/>
        </w:rPr>
        <w:t>%；</w:t>
      </w:r>
      <w:bookmarkEnd w:id="165"/>
      <w:r>
        <w:rPr>
          <w:rFonts w:hint="eastAsia"/>
          <w:color w:val="auto"/>
          <w:lang w:val="en-US" w:eastAsia="zh-CN"/>
        </w:rPr>
        <w:t>其他种类较多的有鹳形目、鹤形目、鸻形目等，其中</w:t>
      </w:r>
      <w:r>
        <w:rPr>
          <w:rFonts w:hint="eastAsia"/>
          <w:color w:val="auto"/>
        </w:rPr>
        <w:t>䴙䴘</w:t>
      </w:r>
      <w:r>
        <w:rPr>
          <w:rFonts w:hint="eastAsia"/>
          <w:color w:val="auto"/>
          <w:lang w:val="en-US" w:eastAsia="zh-CN"/>
        </w:rPr>
        <w:t>目1科2种、鹳形目1科7种、雁形目1科4种、鹤形目1科5种、鸻形目2科5种、鸥形目1科1种、鹰</w:t>
      </w:r>
      <w:r>
        <w:rPr>
          <w:rFonts w:hint="eastAsia"/>
          <w:color w:val="auto"/>
        </w:rPr>
        <w:t>形目</w:t>
      </w:r>
      <w:r>
        <w:rPr>
          <w:rFonts w:hint="eastAsia"/>
          <w:color w:val="auto"/>
          <w:lang w:val="en-US" w:eastAsia="zh-CN"/>
        </w:rPr>
        <w:t>科1科1</w:t>
      </w:r>
      <w:r>
        <w:rPr>
          <w:rFonts w:hint="eastAsia"/>
          <w:color w:val="auto"/>
        </w:rPr>
        <w:t>种</w:t>
      </w:r>
      <w:r>
        <w:rPr>
          <w:rFonts w:hint="eastAsia"/>
          <w:color w:val="auto"/>
          <w:lang w:eastAsia="zh-CN"/>
        </w:rPr>
        <w:t>、</w:t>
      </w:r>
      <w:r>
        <w:rPr>
          <w:rFonts w:hint="eastAsia"/>
          <w:color w:val="auto"/>
          <w:lang w:val="en-US" w:eastAsia="zh-CN"/>
        </w:rPr>
        <w:t>鸡</w:t>
      </w:r>
      <w:r>
        <w:rPr>
          <w:rFonts w:hint="eastAsia"/>
          <w:color w:val="auto"/>
        </w:rPr>
        <w:t>形目</w:t>
      </w:r>
      <w:r>
        <w:rPr>
          <w:rFonts w:hint="eastAsia"/>
          <w:color w:val="auto"/>
          <w:lang w:val="en-US" w:eastAsia="zh-CN"/>
        </w:rPr>
        <w:t>1科2</w:t>
      </w:r>
      <w:r>
        <w:rPr>
          <w:rFonts w:hint="eastAsia"/>
          <w:color w:val="auto"/>
        </w:rPr>
        <w:t>种</w:t>
      </w:r>
      <w:r>
        <w:rPr>
          <w:rFonts w:hint="eastAsia"/>
          <w:color w:val="auto"/>
          <w:lang w:eastAsia="zh-CN"/>
        </w:rPr>
        <w:t>、</w:t>
      </w:r>
      <w:r>
        <w:rPr>
          <w:rFonts w:hint="eastAsia"/>
          <w:color w:val="auto"/>
          <w:lang w:val="en-US" w:eastAsia="zh-CN"/>
        </w:rPr>
        <w:t>啄木鸟</w:t>
      </w:r>
      <w:r>
        <w:rPr>
          <w:rFonts w:hint="eastAsia"/>
          <w:color w:val="auto"/>
        </w:rPr>
        <w:t>目</w:t>
      </w:r>
      <w:r>
        <w:rPr>
          <w:rFonts w:hint="eastAsia"/>
          <w:color w:val="auto"/>
          <w:lang w:val="en-US" w:eastAsia="zh-CN"/>
        </w:rPr>
        <w:t>1科4</w:t>
      </w:r>
      <w:r>
        <w:rPr>
          <w:rFonts w:hint="eastAsia"/>
          <w:color w:val="auto"/>
        </w:rPr>
        <w:t>种</w:t>
      </w:r>
      <w:r>
        <w:rPr>
          <w:rFonts w:hint="eastAsia"/>
          <w:color w:val="auto"/>
          <w:lang w:eastAsia="zh-CN"/>
        </w:rPr>
        <w:t>、</w:t>
      </w:r>
      <w:r>
        <w:rPr>
          <w:rFonts w:hint="eastAsia"/>
          <w:color w:val="auto"/>
        </w:rPr>
        <w:t>佛法僧目</w:t>
      </w:r>
      <w:r>
        <w:rPr>
          <w:rFonts w:hint="eastAsia"/>
          <w:color w:val="auto"/>
          <w:lang w:val="en-US" w:eastAsia="zh-CN"/>
        </w:rPr>
        <w:t>2科4</w:t>
      </w:r>
      <w:r>
        <w:rPr>
          <w:rFonts w:hint="eastAsia"/>
          <w:color w:val="auto"/>
        </w:rPr>
        <w:t>种</w:t>
      </w:r>
      <w:r>
        <w:rPr>
          <w:rFonts w:hint="eastAsia"/>
          <w:color w:val="auto"/>
          <w:lang w:eastAsia="zh-CN"/>
        </w:rPr>
        <w:t>、</w:t>
      </w:r>
      <w:r>
        <w:rPr>
          <w:rFonts w:hint="eastAsia"/>
          <w:color w:val="auto"/>
          <w:lang w:val="en-US" w:eastAsia="zh-CN"/>
        </w:rPr>
        <w:t>鹃形</w:t>
      </w:r>
      <w:r>
        <w:rPr>
          <w:rFonts w:hint="eastAsia"/>
          <w:color w:val="auto"/>
        </w:rPr>
        <w:t>目</w:t>
      </w:r>
      <w:r>
        <w:rPr>
          <w:rFonts w:hint="eastAsia"/>
          <w:color w:val="auto"/>
          <w:lang w:val="en-US" w:eastAsia="zh-CN"/>
        </w:rPr>
        <w:t>1科4</w:t>
      </w:r>
      <w:r>
        <w:rPr>
          <w:rFonts w:hint="eastAsia"/>
          <w:color w:val="auto"/>
        </w:rPr>
        <w:t>种</w:t>
      </w:r>
      <w:r>
        <w:rPr>
          <w:rFonts w:hint="eastAsia"/>
          <w:color w:val="auto"/>
          <w:lang w:eastAsia="zh-CN"/>
        </w:rPr>
        <w:t>、</w:t>
      </w:r>
      <w:r>
        <w:rPr>
          <w:rFonts w:hint="eastAsia"/>
          <w:color w:val="auto"/>
          <w:lang w:val="en-US" w:eastAsia="zh-CN"/>
        </w:rPr>
        <w:t>夜鹰</w:t>
      </w:r>
      <w:r>
        <w:rPr>
          <w:rFonts w:hint="eastAsia"/>
          <w:color w:val="auto"/>
        </w:rPr>
        <w:t>目</w:t>
      </w:r>
      <w:r>
        <w:rPr>
          <w:rFonts w:hint="eastAsia"/>
          <w:color w:val="auto"/>
          <w:lang w:val="en-US" w:eastAsia="zh-CN"/>
        </w:rPr>
        <w:t>1科</w:t>
      </w:r>
      <w:r>
        <w:rPr>
          <w:rFonts w:hint="eastAsia"/>
          <w:color w:val="auto"/>
        </w:rPr>
        <w:t>1种</w:t>
      </w:r>
      <w:r>
        <w:rPr>
          <w:rFonts w:hint="eastAsia"/>
          <w:color w:val="auto"/>
          <w:lang w:eastAsia="zh-CN"/>
        </w:rPr>
        <w:t>、</w:t>
      </w:r>
      <w:r>
        <w:rPr>
          <w:rFonts w:hint="eastAsia"/>
          <w:color w:val="auto"/>
          <w:lang w:val="en-US" w:eastAsia="zh-CN"/>
        </w:rPr>
        <w:t>鸽形目1科2种。</w:t>
      </w:r>
    </w:p>
    <w:p w14:paraId="4BED32EE">
      <w:pPr>
        <w:bidi w:val="0"/>
        <w:rPr>
          <w:rFonts w:hint="eastAsia"/>
          <w:color w:val="auto"/>
          <w:lang w:eastAsia="zh-CN"/>
        </w:rPr>
      </w:pPr>
      <w:bookmarkStart w:id="166" w:name="_Toc25164402"/>
      <w:r>
        <w:rPr>
          <w:rFonts w:hint="eastAsia"/>
          <w:color w:val="auto"/>
          <w:lang w:eastAsia="zh-CN"/>
        </w:rPr>
        <w:t>（</w:t>
      </w:r>
      <w:r>
        <w:rPr>
          <w:rFonts w:hint="eastAsia"/>
          <w:color w:val="auto"/>
          <w:lang w:val="en-US" w:eastAsia="zh-CN"/>
        </w:rPr>
        <w:t>2</w:t>
      </w:r>
      <w:r>
        <w:rPr>
          <w:rFonts w:hint="eastAsia"/>
          <w:color w:val="auto"/>
          <w:lang w:eastAsia="zh-CN"/>
        </w:rPr>
        <w:t>）鸟类区系分析</w:t>
      </w:r>
      <w:bookmarkEnd w:id="166"/>
    </w:p>
    <w:p w14:paraId="6E84F4C5">
      <w:pPr>
        <w:bidi w:val="0"/>
        <w:rPr>
          <w:rFonts w:hint="eastAsia" w:ascii="Times New Roman" w:hAnsi="Times New Roman" w:eastAsia="宋体" w:cs="Times New Roman"/>
          <w:color w:val="auto"/>
          <w:kern w:val="0"/>
          <w:szCs w:val="24"/>
        </w:rPr>
      </w:pPr>
      <w:bookmarkStart w:id="167" w:name="_Hlk22395554"/>
      <w:r>
        <w:rPr>
          <w:rFonts w:hint="eastAsia"/>
          <w:color w:val="auto"/>
        </w:rPr>
        <w:t>根据动</w:t>
      </w:r>
      <w:r>
        <w:rPr>
          <w:rFonts w:hint="eastAsia" w:ascii="Times New Roman" w:hAnsi="Times New Roman" w:eastAsia="宋体" w:cs="Times New Roman"/>
          <w:color w:val="auto"/>
          <w:kern w:val="0"/>
          <w:szCs w:val="24"/>
        </w:rPr>
        <w:t>物地理区系分布型划分，</w:t>
      </w:r>
      <w:r>
        <w:rPr>
          <w:rFonts w:hint="eastAsia" w:ascii="Times New Roman" w:hAnsi="Times New Roman" w:eastAsia="宋体" w:cs="Times New Roman"/>
          <w:color w:val="auto"/>
          <w:kern w:val="0"/>
          <w:szCs w:val="24"/>
          <w:lang w:val="en-US" w:eastAsia="zh-CN"/>
        </w:rPr>
        <w:t>122</w:t>
      </w:r>
      <w:r>
        <w:rPr>
          <w:rFonts w:hint="eastAsia" w:ascii="Times New Roman" w:hAnsi="Times New Roman" w:eastAsia="宋体" w:cs="Times New Roman"/>
          <w:color w:val="auto"/>
          <w:kern w:val="0"/>
          <w:szCs w:val="24"/>
        </w:rPr>
        <w:t>种鸟类中，东洋型有</w:t>
      </w:r>
      <w:r>
        <w:rPr>
          <w:rFonts w:hint="eastAsia" w:ascii="Times New Roman" w:hAnsi="Times New Roman" w:eastAsia="宋体" w:cs="Times New Roman"/>
          <w:color w:val="auto"/>
          <w:kern w:val="0"/>
          <w:szCs w:val="24"/>
          <w:lang w:val="en-US" w:eastAsia="zh-CN"/>
        </w:rPr>
        <w:t>56</w:t>
      </w:r>
      <w:r>
        <w:rPr>
          <w:rFonts w:hint="eastAsia" w:ascii="Times New Roman" w:hAnsi="Times New Roman" w:eastAsia="宋体" w:cs="Times New Roman"/>
          <w:color w:val="auto"/>
          <w:kern w:val="0"/>
          <w:szCs w:val="24"/>
        </w:rPr>
        <w:t>种，占</w:t>
      </w:r>
      <w:r>
        <w:rPr>
          <w:rFonts w:hint="eastAsia" w:ascii="Times New Roman" w:hAnsi="Times New Roman" w:eastAsia="宋体" w:cs="Times New Roman"/>
          <w:color w:val="auto"/>
          <w:kern w:val="0"/>
          <w:szCs w:val="24"/>
          <w:lang w:val="en-US" w:eastAsia="zh-CN"/>
        </w:rPr>
        <w:t>45.90</w:t>
      </w:r>
      <w:r>
        <w:rPr>
          <w:rFonts w:hint="eastAsia" w:ascii="Times New Roman" w:hAnsi="Times New Roman" w:eastAsia="宋体" w:cs="Times New Roman"/>
          <w:color w:val="auto"/>
          <w:kern w:val="0"/>
          <w:szCs w:val="24"/>
        </w:rPr>
        <w:t>%</w:t>
      </w:r>
      <w:r>
        <w:rPr>
          <w:rFonts w:hint="eastAsia" w:ascii="Times New Roman" w:hAnsi="Times New Roman" w:eastAsia="宋体" w:cs="Times New Roman"/>
          <w:color w:val="auto"/>
          <w:kern w:val="0"/>
          <w:szCs w:val="24"/>
          <w:lang w:val="en-US" w:eastAsia="zh-CN"/>
        </w:rPr>
        <w:t>，</w:t>
      </w:r>
      <w:r>
        <w:rPr>
          <w:rFonts w:hint="eastAsia" w:ascii="Times New Roman" w:hAnsi="Times New Roman" w:eastAsia="宋体" w:cs="Times New Roman"/>
          <w:color w:val="auto"/>
          <w:kern w:val="0"/>
          <w:szCs w:val="24"/>
        </w:rPr>
        <w:t>典型代表物种</w:t>
      </w:r>
      <w:r>
        <w:rPr>
          <w:rFonts w:hint="eastAsia" w:ascii="Times New Roman" w:hAnsi="Times New Roman" w:eastAsia="宋体" w:cs="Times New Roman"/>
          <w:color w:val="auto"/>
          <w:kern w:val="0"/>
          <w:szCs w:val="24"/>
          <w:lang w:val="en-US" w:eastAsia="zh-CN"/>
        </w:rPr>
        <w:t>如</w:t>
      </w:r>
      <w:r>
        <w:rPr>
          <w:rFonts w:hint="eastAsia" w:ascii="Times New Roman" w:hAnsi="Times New Roman" w:eastAsia="宋体" w:cs="Times New Roman"/>
          <w:color w:val="auto"/>
          <w:kern w:val="0"/>
          <w:szCs w:val="24"/>
        </w:rPr>
        <w:t>珠颈斑鸠（</w:t>
      </w:r>
      <w:r>
        <w:rPr>
          <w:rFonts w:hint="eastAsia" w:ascii="Times New Roman" w:hAnsi="Times New Roman" w:eastAsia="宋体" w:cs="Times New Roman"/>
          <w:i/>
          <w:iCs/>
          <w:color w:val="auto"/>
          <w:kern w:val="0"/>
          <w:szCs w:val="24"/>
        </w:rPr>
        <w:t>Streptopeliachinensis</w:t>
      </w:r>
      <w:r>
        <w:rPr>
          <w:rFonts w:hint="eastAsia" w:ascii="Times New Roman" w:hAnsi="Times New Roman" w:eastAsia="宋体" w:cs="Times New Roman"/>
          <w:color w:val="auto"/>
          <w:kern w:val="0"/>
          <w:szCs w:val="24"/>
        </w:rPr>
        <w:t>）、白头鹎（</w:t>
      </w:r>
      <w:r>
        <w:rPr>
          <w:rFonts w:hint="eastAsia" w:ascii="Times New Roman" w:hAnsi="Times New Roman" w:eastAsia="宋体" w:cs="Times New Roman"/>
          <w:i/>
          <w:iCs/>
          <w:color w:val="auto"/>
          <w:kern w:val="0"/>
          <w:szCs w:val="24"/>
        </w:rPr>
        <w:t>Pycnonotussinensis</w:t>
      </w:r>
      <w:r>
        <w:rPr>
          <w:rFonts w:hint="eastAsia" w:ascii="Times New Roman" w:hAnsi="Times New Roman" w:eastAsia="宋体" w:cs="Times New Roman"/>
          <w:color w:val="auto"/>
          <w:kern w:val="0"/>
          <w:szCs w:val="24"/>
        </w:rPr>
        <w:t>）、丝光椋鸟（</w:t>
      </w:r>
      <w:r>
        <w:rPr>
          <w:rFonts w:hint="eastAsia" w:ascii="Times New Roman" w:hAnsi="Times New Roman" w:eastAsia="宋体" w:cs="Times New Roman"/>
          <w:i/>
          <w:iCs/>
          <w:color w:val="auto"/>
          <w:kern w:val="0"/>
          <w:szCs w:val="24"/>
        </w:rPr>
        <w:t>Sturnussericeus</w:t>
      </w:r>
      <w:r>
        <w:rPr>
          <w:rFonts w:hint="eastAsia" w:ascii="Times New Roman" w:hAnsi="Times New Roman" w:eastAsia="宋体" w:cs="Times New Roman"/>
          <w:color w:val="auto"/>
          <w:kern w:val="0"/>
          <w:szCs w:val="24"/>
        </w:rPr>
        <w:t>）等；古北型有</w:t>
      </w:r>
      <w:r>
        <w:rPr>
          <w:rFonts w:hint="eastAsia" w:ascii="Times New Roman" w:hAnsi="Times New Roman" w:eastAsia="宋体" w:cs="Times New Roman"/>
          <w:color w:val="auto"/>
          <w:kern w:val="0"/>
          <w:szCs w:val="24"/>
          <w:lang w:val="en-US" w:eastAsia="zh-CN"/>
        </w:rPr>
        <w:t>40</w:t>
      </w:r>
      <w:r>
        <w:rPr>
          <w:rFonts w:hint="eastAsia" w:ascii="Times New Roman" w:hAnsi="Times New Roman" w:eastAsia="宋体" w:cs="Times New Roman"/>
          <w:color w:val="auto"/>
          <w:kern w:val="0"/>
          <w:szCs w:val="24"/>
        </w:rPr>
        <w:t>种，占</w:t>
      </w:r>
      <w:r>
        <w:rPr>
          <w:rFonts w:hint="eastAsia" w:ascii="Times New Roman" w:hAnsi="Times New Roman" w:eastAsia="宋体" w:cs="Times New Roman"/>
          <w:color w:val="auto"/>
          <w:kern w:val="0"/>
          <w:szCs w:val="24"/>
          <w:lang w:val="en-US" w:eastAsia="zh-CN"/>
        </w:rPr>
        <w:t>32.79</w:t>
      </w:r>
      <w:r>
        <w:rPr>
          <w:rFonts w:hint="eastAsia" w:ascii="Times New Roman" w:hAnsi="Times New Roman" w:eastAsia="宋体" w:cs="Times New Roman"/>
          <w:color w:val="auto"/>
          <w:kern w:val="0"/>
          <w:szCs w:val="24"/>
        </w:rPr>
        <w:t>%</w:t>
      </w:r>
      <w:r>
        <w:rPr>
          <w:rFonts w:hint="eastAsia" w:ascii="Times New Roman" w:hAnsi="Times New Roman" w:eastAsia="宋体" w:cs="Times New Roman"/>
          <w:color w:val="auto"/>
          <w:kern w:val="0"/>
          <w:szCs w:val="24"/>
          <w:lang w:eastAsia="zh-CN"/>
        </w:rPr>
        <w:t>，</w:t>
      </w:r>
      <w:r>
        <w:rPr>
          <w:rFonts w:hint="eastAsia" w:ascii="Times New Roman" w:hAnsi="Times New Roman" w:eastAsia="宋体" w:cs="Times New Roman"/>
          <w:color w:val="auto"/>
          <w:kern w:val="0"/>
          <w:szCs w:val="24"/>
        </w:rPr>
        <w:t>代表物种有红尾伯劳（</w:t>
      </w:r>
      <w:r>
        <w:rPr>
          <w:rFonts w:hint="eastAsia" w:ascii="Times New Roman" w:hAnsi="Times New Roman" w:eastAsia="宋体" w:cs="Times New Roman"/>
          <w:i/>
          <w:iCs/>
          <w:color w:val="auto"/>
          <w:kern w:val="0"/>
          <w:szCs w:val="24"/>
        </w:rPr>
        <w:t>Laniuscristatus</w:t>
      </w:r>
      <w:r>
        <w:rPr>
          <w:rFonts w:hint="eastAsia" w:ascii="Times New Roman" w:hAnsi="Times New Roman" w:eastAsia="宋体" w:cs="Times New Roman"/>
          <w:color w:val="auto"/>
          <w:kern w:val="0"/>
          <w:szCs w:val="24"/>
        </w:rPr>
        <w:t>）、灰喜鹊（</w:t>
      </w:r>
      <w:r>
        <w:rPr>
          <w:rFonts w:hint="eastAsia" w:ascii="Times New Roman" w:hAnsi="Times New Roman" w:eastAsia="宋体" w:cs="Times New Roman"/>
          <w:i/>
          <w:iCs/>
          <w:color w:val="auto"/>
          <w:kern w:val="0"/>
          <w:szCs w:val="24"/>
        </w:rPr>
        <w:t>Cyanopicacyana</w:t>
      </w:r>
      <w:r>
        <w:rPr>
          <w:rFonts w:hint="eastAsia" w:ascii="Times New Roman" w:hAnsi="Times New Roman" w:eastAsia="宋体" w:cs="Times New Roman"/>
          <w:color w:val="auto"/>
          <w:kern w:val="0"/>
          <w:szCs w:val="24"/>
        </w:rPr>
        <w:t>）、棕头鸦雀（</w:t>
      </w:r>
      <w:r>
        <w:rPr>
          <w:rFonts w:hint="eastAsia" w:ascii="Times New Roman" w:hAnsi="Times New Roman" w:eastAsia="宋体" w:cs="Times New Roman"/>
          <w:i/>
          <w:iCs/>
          <w:color w:val="auto"/>
          <w:kern w:val="0"/>
          <w:szCs w:val="24"/>
        </w:rPr>
        <w:t>Paradoxorniswebbiana</w:t>
      </w:r>
      <w:r>
        <w:rPr>
          <w:rFonts w:hint="eastAsia" w:ascii="Times New Roman" w:hAnsi="Times New Roman" w:eastAsia="宋体" w:cs="Times New Roman"/>
          <w:color w:val="auto"/>
          <w:kern w:val="0"/>
          <w:szCs w:val="24"/>
        </w:rPr>
        <w:t>）等；广布型有</w:t>
      </w:r>
      <w:r>
        <w:rPr>
          <w:rFonts w:ascii="Times New Roman" w:hAnsi="Times New Roman" w:eastAsia="宋体" w:cs="Times New Roman"/>
          <w:color w:val="auto"/>
          <w:kern w:val="0"/>
          <w:szCs w:val="24"/>
        </w:rPr>
        <w:t>2</w:t>
      </w:r>
      <w:r>
        <w:rPr>
          <w:rFonts w:hint="eastAsia" w:ascii="Times New Roman" w:hAnsi="Times New Roman" w:eastAsia="宋体" w:cs="Times New Roman"/>
          <w:color w:val="auto"/>
          <w:kern w:val="0"/>
          <w:szCs w:val="24"/>
          <w:lang w:val="en-US" w:eastAsia="zh-CN"/>
        </w:rPr>
        <w:t>3</w:t>
      </w:r>
      <w:r>
        <w:rPr>
          <w:rFonts w:hint="eastAsia" w:ascii="Times New Roman" w:hAnsi="Times New Roman" w:eastAsia="宋体" w:cs="Times New Roman"/>
          <w:color w:val="auto"/>
          <w:kern w:val="0"/>
          <w:szCs w:val="24"/>
        </w:rPr>
        <w:t>种</w:t>
      </w:r>
      <w:r>
        <w:rPr>
          <w:rFonts w:hint="eastAsia" w:ascii="Times New Roman" w:hAnsi="Times New Roman" w:eastAsia="宋体" w:cs="Times New Roman"/>
          <w:color w:val="auto"/>
          <w:kern w:val="0"/>
          <w:szCs w:val="24"/>
          <w:lang w:eastAsia="zh-CN"/>
        </w:rPr>
        <w:t>，</w:t>
      </w:r>
      <w:r>
        <w:rPr>
          <w:rFonts w:hint="eastAsia" w:ascii="Times New Roman" w:hAnsi="Times New Roman" w:eastAsia="宋体" w:cs="Times New Roman"/>
          <w:color w:val="auto"/>
          <w:kern w:val="0"/>
          <w:szCs w:val="24"/>
          <w:lang w:val="en-US" w:eastAsia="zh-CN"/>
        </w:rPr>
        <w:t>如白鹡鸰</w:t>
      </w:r>
      <w:r>
        <w:rPr>
          <w:rFonts w:hint="eastAsia" w:ascii="Times New Roman" w:hAnsi="Times New Roman" w:eastAsia="宋体" w:cs="Times New Roman"/>
          <w:color w:val="auto"/>
          <w:kern w:val="0"/>
          <w:szCs w:val="24"/>
        </w:rPr>
        <w:t>（</w:t>
      </w:r>
      <w:r>
        <w:rPr>
          <w:rFonts w:hint="eastAsia" w:ascii="Times New Roman" w:hAnsi="Times New Roman" w:eastAsia="宋体" w:cs="Times New Roman"/>
          <w:i/>
          <w:iCs/>
          <w:color w:val="auto"/>
          <w:kern w:val="0"/>
          <w:szCs w:val="24"/>
        </w:rPr>
        <w:t>Colymburuficollis</w:t>
      </w:r>
      <w:r>
        <w:rPr>
          <w:rFonts w:hint="eastAsia" w:ascii="Times New Roman" w:hAnsi="Times New Roman" w:eastAsia="宋体" w:cs="Times New Roman"/>
          <w:color w:val="auto"/>
          <w:kern w:val="0"/>
          <w:szCs w:val="24"/>
        </w:rPr>
        <w:t>）、雉鸡（</w:t>
      </w:r>
      <w:r>
        <w:rPr>
          <w:rFonts w:hint="eastAsia" w:ascii="Times New Roman" w:hAnsi="Times New Roman" w:eastAsia="宋体" w:cs="Times New Roman"/>
          <w:i/>
          <w:iCs/>
          <w:color w:val="auto"/>
          <w:kern w:val="0"/>
          <w:szCs w:val="24"/>
        </w:rPr>
        <w:t>Phasianuscolchicus</w:t>
      </w:r>
      <w:r>
        <w:rPr>
          <w:rFonts w:hint="eastAsia" w:ascii="Times New Roman" w:hAnsi="Times New Roman" w:eastAsia="宋体" w:cs="Times New Roman"/>
          <w:color w:val="auto"/>
          <w:kern w:val="0"/>
          <w:szCs w:val="24"/>
        </w:rPr>
        <w:t>）等，占</w:t>
      </w:r>
      <w:r>
        <w:rPr>
          <w:rFonts w:hint="eastAsia" w:ascii="Times New Roman" w:hAnsi="Times New Roman" w:eastAsia="宋体" w:cs="Times New Roman"/>
          <w:color w:val="auto"/>
          <w:kern w:val="0"/>
          <w:szCs w:val="24"/>
          <w:lang w:val="en-US" w:eastAsia="zh-CN"/>
        </w:rPr>
        <w:t>18.82</w:t>
      </w:r>
      <w:r>
        <w:rPr>
          <w:rFonts w:hint="eastAsia" w:ascii="Times New Roman" w:hAnsi="Times New Roman" w:eastAsia="宋体" w:cs="Times New Roman"/>
          <w:color w:val="auto"/>
          <w:kern w:val="0"/>
          <w:szCs w:val="24"/>
        </w:rPr>
        <w:t>%。</w:t>
      </w:r>
    </w:p>
    <w:p w14:paraId="1611EA30">
      <w:pPr>
        <w:spacing w:line="360" w:lineRule="auto"/>
        <w:ind w:firstLine="480" w:firstLineChars="200"/>
        <w:rPr>
          <w:rFonts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lang w:val="en-US" w:eastAsia="zh-CN"/>
        </w:rPr>
        <w:t>可以看出，评价区</w:t>
      </w:r>
      <w:r>
        <w:rPr>
          <w:rFonts w:hint="eastAsia" w:ascii="Times New Roman" w:hAnsi="Times New Roman" w:eastAsia="宋体" w:cs="Times New Roman"/>
          <w:color w:val="auto"/>
          <w:sz w:val="24"/>
          <w:szCs w:val="24"/>
        </w:rPr>
        <w:t>以东洋界偏多，其次是</w:t>
      </w:r>
      <w:r>
        <w:rPr>
          <w:rFonts w:hint="eastAsia" w:ascii="Times New Roman" w:hAnsi="Times New Roman" w:eastAsia="宋体" w:cs="Times New Roman"/>
          <w:color w:val="auto"/>
          <w:sz w:val="24"/>
          <w:szCs w:val="24"/>
          <w:lang w:val="en-US" w:eastAsia="zh-CN"/>
        </w:rPr>
        <w:t>古北界</w:t>
      </w:r>
      <w:r>
        <w:rPr>
          <w:rFonts w:hint="eastAsia" w:ascii="Times New Roman" w:hAnsi="Times New Roman" w:eastAsia="宋体" w:cs="Times New Roman"/>
          <w:color w:val="auto"/>
          <w:sz w:val="24"/>
          <w:szCs w:val="24"/>
        </w:rPr>
        <w:t>鸟类，</w:t>
      </w:r>
      <w:r>
        <w:rPr>
          <w:rFonts w:hint="eastAsia" w:ascii="Times New Roman" w:hAnsi="Times New Roman" w:eastAsia="宋体" w:cs="Times New Roman"/>
          <w:color w:val="auto"/>
          <w:sz w:val="24"/>
          <w:szCs w:val="24"/>
          <w:lang w:val="en-US" w:eastAsia="zh-CN"/>
        </w:rPr>
        <w:t>广布种</w:t>
      </w:r>
      <w:r>
        <w:rPr>
          <w:rFonts w:hint="eastAsia" w:ascii="Times New Roman" w:hAnsi="Times New Roman" w:eastAsia="宋体" w:cs="Times New Roman"/>
          <w:color w:val="auto"/>
          <w:sz w:val="24"/>
          <w:szCs w:val="24"/>
        </w:rPr>
        <w:t>所占比例相对较小。因此具备有东洋界向古北界过渡的特征。</w:t>
      </w:r>
      <w:r>
        <w:rPr>
          <w:rFonts w:hint="eastAsia" w:ascii="Times New Roman" w:hAnsi="Times New Roman" w:eastAsia="宋体" w:cs="Times New Roman"/>
          <w:color w:val="auto"/>
          <w:kern w:val="0"/>
          <w:sz w:val="24"/>
          <w:szCs w:val="24"/>
        </w:rPr>
        <w:t>由此可见，</w:t>
      </w:r>
      <w:r>
        <w:rPr>
          <w:rFonts w:hint="eastAsia" w:ascii="Times New Roman" w:hAnsi="Times New Roman" w:eastAsia="宋体" w:cs="Times New Roman"/>
          <w:color w:val="auto"/>
          <w:kern w:val="0"/>
          <w:sz w:val="24"/>
          <w:szCs w:val="24"/>
          <w:lang w:val="en-US" w:eastAsia="zh-CN"/>
        </w:rPr>
        <w:t>评价区鸟类区系属东洋界。</w:t>
      </w:r>
    </w:p>
    <w:bookmarkEnd w:id="167"/>
    <w:p w14:paraId="24CE30FE">
      <w:pPr>
        <w:bidi w:val="0"/>
        <w:rPr>
          <w:rFonts w:hint="default"/>
          <w:color w:val="auto"/>
          <w:lang w:val="en-US" w:eastAsia="zh-CN"/>
        </w:rPr>
      </w:pPr>
      <w:bookmarkStart w:id="168" w:name="_Toc25164403"/>
      <w:bookmarkStart w:id="169" w:name="_Hlk22395836"/>
      <w:r>
        <w:rPr>
          <w:rFonts w:hint="eastAsia"/>
          <w:color w:val="auto"/>
          <w:lang w:eastAsia="zh-CN"/>
        </w:rPr>
        <w:t>（</w:t>
      </w:r>
      <w:r>
        <w:rPr>
          <w:rFonts w:hint="eastAsia"/>
          <w:color w:val="auto"/>
          <w:lang w:val="en-US" w:eastAsia="zh-CN"/>
        </w:rPr>
        <w:t>3</w:t>
      </w:r>
      <w:r>
        <w:rPr>
          <w:rFonts w:hint="eastAsia"/>
          <w:color w:val="auto"/>
          <w:lang w:eastAsia="zh-CN"/>
        </w:rPr>
        <w:t>）</w:t>
      </w:r>
      <w:bookmarkEnd w:id="168"/>
      <w:r>
        <w:rPr>
          <w:rFonts w:hint="eastAsia"/>
          <w:color w:val="auto"/>
          <w:lang w:val="en-US" w:eastAsia="zh-CN"/>
        </w:rPr>
        <w:t>鸟类居留型分析</w:t>
      </w:r>
    </w:p>
    <w:p w14:paraId="706F546C">
      <w:pPr>
        <w:bidi w:val="0"/>
        <w:rPr>
          <w:color w:val="auto"/>
        </w:rPr>
      </w:pPr>
      <w:r>
        <w:rPr>
          <w:rFonts w:hint="eastAsia"/>
          <w:color w:val="auto"/>
        </w:rPr>
        <w:t>根据鸟类居留型划分，项目评价区</w:t>
      </w:r>
      <w:r>
        <w:rPr>
          <w:rFonts w:hint="eastAsia"/>
          <w:color w:val="auto"/>
          <w:lang w:val="en-US" w:eastAsia="zh-CN"/>
        </w:rPr>
        <w:t>分布</w:t>
      </w:r>
      <w:r>
        <w:rPr>
          <w:rFonts w:hint="eastAsia"/>
          <w:color w:val="auto"/>
        </w:rPr>
        <w:t>的</w:t>
      </w:r>
      <w:r>
        <w:rPr>
          <w:rFonts w:hint="eastAsia"/>
          <w:color w:val="auto"/>
          <w:lang w:val="en-US" w:eastAsia="zh-CN"/>
        </w:rPr>
        <w:t>122</w:t>
      </w:r>
      <w:r>
        <w:rPr>
          <w:rFonts w:hint="eastAsia"/>
          <w:color w:val="auto"/>
        </w:rPr>
        <w:t>种鸟中，繁殖鸟（包括留鸟和夏候鸟）共有</w:t>
      </w:r>
      <w:r>
        <w:rPr>
          <w:rFonts w:hint="eastAsia"/>
          <w:color w:val="auto"/>
          <w:lang w:val="en-US" w:eastAsia="zh-CN"/>
        </w:rPr>
        <w:t>93</w:t>
      </w:r>
      <w:r>
        <w:rPr>
          <w:rFonts w:hint="eastAsia"/>
          <w:color w:val="auto"/>
        </w:rPr>
        <w:t>种，其中留鸟</w:t>
      </w:r>
      <w:r>
        <w:rPr>
          <w:rFonts w:hint="eastAsia"/>
          <w:color w:val="auto"/>
          <w:lang w:val="en-US" w:eastAsia="zh-CN"/>
        </w:rPr>
        <w:t>63</w:t>
      </w:r>
      <w:r>
        <w:rPr>
          <w:rFonts w:hint="eastAsia"/>
          <w:color w:val="auto"/>
        </w:rPr>
        <w:t>种，夏候鸟</w:t>
      </w:r>
      <w:r>
        <w:rPr>
          <w:rFonts w:hint="eastAsia"/>
          <w:color w:val="auto"/>
          <w:lang w:val="en-US" w:eastAsia="zh-CN"/>
        </w:rPr>
        <w:t>30</w:t>
      </w:r>
      <w:r>
        <w:rPr>
          <w:rFonts w:hint="eastAsia"/>
          <w:color w:val="auto"/>
        </w:rPr>
        <w:t>种，分别占总数的</w:t>
      </w:r>
      <w:r>
        <w:rPr>
          <w:rFonts w:hint="eastAsia"/>
          <w:color w:val="auto"/>
          <w:lang w:val="en-US" w:eastAsia="zh-CN"/>
        </w:rPr>
        <w:t>51.64</w:t>
      </w:r>
      <w:r>
        <w:rPr>
          <w:rFonts w:hint="eastAsia"/>
          <w:color w:val="auto"/>
        </w:rPr>
        <w:t>%和2</w:t>
      </w:r>
      <w:r>
        <w:rPr>
          <w:rFonts w:hint="eastAsia"/>
          <w:color w:val="auto"/>
          <w:lang w:val="en-US" w:eastAsia="zh-CN"/>
        </w:rPr>
        <w:t>4.59</w:t>
      </w:r>
      <w:r>
        <w:rPr>
          <w:rFonts w:hint="eastAsia"/>
          <w:color w:val="auto"/>
        </w:rPr>
        <w:t>%；非繁殖鸟共有</w:t>
      </w:r>
      <w:r>
        <w:rPr>
          <w:rFonts w:hint="eastAsia"/>
          <w:color w:val="auto"/>
          <w:lang w:val="en-US" w:eastAsia="zh-CN"/>
        </w:rPr>
        <w:t>29</w:t>
      </w:r>
      <w:r>
        <w:rPr>
          <w:rFonts w:hint="eastAsia"/>
          <w:color w:val="auto"/>
        </w:rPr>
        <w:t>种，其中冬候鸟</w:t>
      </w:r>
      <w:r>
        <w:rPr>
          <w:rFonts w:hint="eastAsia"/>
          <w:color w:val="auto"/>
          <w:lang w:val="en-US" w:eastAsia="zh-CN"/>
        </w:rPr>
        <w:t>2</w:t>
      </w:r>
      <w:r>
        <w:rPr>
          <w:rFonts w:hint="eastAsia"/>
          <w:color w:val="auto"/>
        </w:rPr>
        <w:t>2种，旅鸟</w:t>
      </w:r>
      <w:r>
        <w:rPr>
          <w:rFonts w:hint="eastAsia"/>
          <w:color w:val="auto"/>
          <w:lang w:val="en-US" w:eastAsia="zh-CN"/>
        </w:rPr>
        <w:t>7</w:t>
      </w:r>
      <w:r>
        <w:rPr>
          <w:rFonts w:hint="eastAsia"/>
          <w:color w:val="auto"/>
        </w:rPr>
        <w:t>种，分别占总数的1</w:t>
      </w:r>
      <w:r>
        <w:rPr>
          <w:rFonts w:hint="eastAsia"/>
          <w:color w:val="auto"/>
          <w:lang w:val="en-US" w:eastAsia="zh-CN"/>
        </w:rPr>
        <w:t>8.03</w:t>
      </w:r>
      <w:r>
        <w:rPr>
          <w:rFonts w:hint="eastAsia"/>
          <w:color w:val="auto"/>
        </w:rPr>
        <w:t>%和</w:t>
      </w:r>
      <w:r>
        <w:rPr>
          <w:rFonts w:hint="eastAsia"/>
          <w:color w:val="auto"/>
          <w:lang w:val="en-US" w:eastAsia="zh-CN"/>
        </w:rPr>
        <w:t>5.74</w:t>
      </w:r>
      <w:r>
        <w:rPr>
          <w:rFonts w:hint="eastAsia"/>
          <w:color w:val="auto"/>
        </w:rPr>
        <w:t>%。在留鸟中，小型雀形目种类为优势种，其中数量最多的为麻雀</w:t>
      </w:r>
      <w:r>
        <w:rPr>
          <w:rFonts w:hint="eastAsia"/>
          <w:color w:val="auto"/>
          <w:lang w:eastAsia="zh-CN"/>
        </w:rPr>
        <w:t>，</w:t>
      </w:r>
      <w:r>
        <w:rPr>
          <w:rFonts w:hint="eastAsia"/>
          <w:color w:val="auto"/>
        </w:rPr>
        <w:t>其次是喜鹊、八哥</w:t>
      </w:r>
      <w:r>
        <w:rPr>
          <w:rFonts w:hint="eastAsia"/>
          <w:color w:val="auto"/>
          <w:lang w:eastAsia="zh-CN"/>
        </w:rPr>
        <w:t>、</w:t>
      </w:r>
      <w:r>
        <w:rPr>
          <w:rFonts w:hint="eastAsia"/>
          <w:color w:val="auto"/>
        </w:rPr>
        <w:t>珠颈斑鸠。夏候鸟中鹭科鸟类为优势种，根据现场调查，</w:t>
      </w:r>
      <w:r>
        <w:rPr>
          <w:rFonts w:hint="eastAsia"/>
          <w:color w:val="auto"/>
          <w:lang w:val="en-US" w:eastAsia="zh-CN"/>
        </w:rPr>
        <w:t>评价区及周边鸟类</w:t>
      </w:r>
      <w:r>
        <w:rPr>
          <w:rFonts w:hint="eastAsia"/>
          <w:color w:val="auto"/>
        </w:rPr>
        <w:t>生境农田</w:t>
      </w:r>
      <w:r>
        <w:rPr>
          <w:rFonts w:hint="eastAsia"/>
          <w:color w:val="auto"/>
          <w:lang w:val="en-US" w:eastAsia="zh-CN"/>
        </w:rPr>
        <w:t>分别最广</w:t>
      </w:r>
      <w:r>
        <w:rPr>
          <w:rFonts w:hint="eastAsia"/>
          <w:color w:val="auto"/>
        </w:rPr>
        <w:t>，</w:t>
      </w:r>
      <w:r>
        <w:rPr>
          <w:rFonts w:hint="eastAsia"/>
          <w:color w:val="auto"/>
          <w:lang w:val="en-US" w:eastAsia="zh-CN"/>
        </w:rPr>
        <w:t>部分</w:t>
      </w:r>
      <w:r>
        <w:rPr>
          <w:rFonts w:hint="eastAsia"/>
          <w:color w:val="auto"/>
        </w:rPr>
        <w:t>河岸硬化，水草</w:t>
      </w:r>
      <w:r>
        <w:rPr>
          <w:rFonts w:hint="eastAsia"/>
          <w:color w:val="auto"/>
          <w:lang w:val="en-US" w:eastAsia="zh-CN"/>
        </w:rPr>
        <w:t>较</w:t>
      </w:r>
      <w:r>
        <w:rPr>
          <w:rFonts w:hint="eastAsia"/>
          <w:color w:val="auto"/>
        </w:rPr>
        <w:t>少，</w:t>
      </w:r>
      <w:r>
        <w:rPr>
          <w:rFonts w:hint="eastAsia"/>
          <w:color w:val="auto"/>
          <w:lang w:val="en-US" w:eastAsia="zh-CN"/>
        </w:rPr>
        <w:t>河流较深，大型越冬</w:t>
      </w:r>
      <w:r>
        <w:rPr>
          <w:rFonts w:hint="eastAsia"/>
          <w:color w:val="auto"/>
        </w:rPr>
        <w:t>鸟类基本停不下来，因此冬候鸟多样性较低。</w:t>
      </w:r>
    </w:p>
    <w:p w14:paraId="6101FD6F">
      <w:pPr>
        <w:bidi w:val="0"/>
        <w:rPr>
          <w:rFonts w:hint="default"/>
          <w:color w:val="auto"/>
          <w:lang w:val="en-US" w:eastAsia="zh-CN"/>
        </w:rPr>
      </w:pPr>
      <w:bookmarkStart w:id="170" w:name="_Toc25164404"/>
      <w:r>
        <w:rPr>
          <w:rFonts w:hint="eastAsia"/>
          <w:color w:val="auto"/>
          <w:lang w:eastAsia="zh-CN"/>
        </w:rPr>
        <w:t>（</w:t>
      </w:r>
      <w:r>
        <w:rPr>
          <w:rFonts w:hint="eastAsia"/>
          <w:color w:val="auto"/>
          <w:lang w:val="en-US" w:eastAsia="zh-CN"/>
        </w:rPr>
        <w:t>4</w:t>
      </w:r>
      <w:r>
        <w:rPr>
          <w:rFonts w:hint="eastAsia"/>
          <w:color w:val="auto"/>
          <w:lang w:eastAsia="zh-CN"/>
        </w:rPr>
        <w:t>）</w:t>
      </w:r>
      <w:bookmarkEnd w:id="170"/>
      <w:r>
        <w:rPr>
          <w:rFonts w:hint="eastAsia"/>
          <w:color w:val="auto"/>
          <w:lang w:val="en-US" w:eastAsia="zh-CN"/>
        </w:rPr>
        <w:t>鸟类栖息地分析</w:t>
      </w:r>
    </w:p>
    <w:bookmarkEnd w:id="169"/>
    <w:p w14:paraId="231A7478">
      <w:pPr>
        <w:bidi w:val="0"/>
        <w:rPr>
          <w:rFonts w:hint="default"/>
          <w:color w:val="auto"/>
        </w:rPr>
      </w:pPr>
      <w:r>
        <w:rPr>
          <w:rFonts w:hint="eastAsia"/>
          <w:color w:val="auto"/>
          <w:lang w:val="en-US" w:eastAsia="zh-CN"/>
        </w:rPr>
        <w:t>本</w:t>
      </w:r>
      <w:r>
        <w:rPr>
          <w:rFonts w:hint="default"/>
          <w:color w:val="auto"/>
          <w:lang w:val="en-US" w:eastAsia="zh-CN"/>
        </w:rPr>
        <w:t>项目</w:t>
      </w:r>
      <w:r>
        <w:rPr>
          <w:rFonts w:hint="eastAsia"/>
          <w:color w:val="auto"/>
          <w:lang w:val="en-US" w:eastAsia="zh-CN"/>
        </w:rPr>
        <w:t>评价区最主要的生态系统类型为农田、森林和湿地生态系统，因此分布的鸟类主要为赖以农田、森林栖息的林鸟，</w:t>
      </w:r>
      <w:r>
        <w:rPr>
          <w:rFonts w:hint="default"/>
          <w:color w:val="auto"/>
        </w:rPr>
        <w:t>鸟类食物资源及隐蔽环境在不同的生境会有差异，进而对鸟类的种类组成、数量及其群落结构产生影响。</w:t>
      </w:r>
    </w:p>
    <w:p w14:paraId="3A1546C0">
      <w:pPr>
        <w:bidi w:val="0"/>
        <w:rPr>
          <w:rFonts w:hint="default"/>
          <w:color w:val="auto"/>
        </w:rPr>
      </w:pPr>
      <w:r>
        <w:rPr>
          <w:rFonts w:hint="default"/>
          <w:color w:val="auto"/>
        </w:rPr>
        <w:t>对评价区鸟类栖息地状况评价结果如下：</w:t>
      </w:r>
    </w:p>
    <w:p w14:paraId="10A46ED2">
      <w:pPr>
        <w:bidi w:val="0"/>
        <w:rPr>
          <w:rFonts w:hint="default"/>
          <w:color w:val="auto"/>
          <w:lang w:val="en-US" w:eastAsia="zh-CN"/>
        </w:rPr>
      </w:pPr>
      <w:r>
        <w:rPr>
          <w:rFonts w:hint="default"/>
          <w:color w:val="auto"/>
          <w:lang w:val="en-US" w:eastAsia="zh-CN"/>
        </w:rPr>
        <w:t>①农田</w:t>
      </w:r>
    </w:p>
    <w:p w14:paraId="147134F1">
      <w:pPr>
        <w:bidi w:val="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拟建</w:t>
      </w:r>
      <w:r>
        <w:rPr>
          <w:rFonts w:hint="eastAsia" w:ascii="Times New Roman" w:hAnsi="Times New Roman" w:eastAsia="宋体" w:cs="Times New Roman"/>
          <w:color w:val="auto"/>
          <w:sz w:val="24"/>
          <w:szCs w:val="24"/>
          <w:lang w:val="en-US" w:eastAsia="zh-CN"/>
        </w:rPr>
        <w:t>项目最主要的生态系统类型</w:t>
      </w:r>
      <w:r>
        <w:rPr>
          <w:rFonts w:hint="default" w:ascii="Times New Roman" w:hAnsi="Times New Roman" w:eastAsia="宋体" w:cs="Times New Roman"/>
          <w:color w:val="auto"/>
          <w:sz w:val="24"/>
          <w:szCs w:val="24"/>
        </w:rPr>
        <w:t>为</w:t>
      </w:r>
      <w:r>
        <w:rPr>
          <w:rFonts w:hint="eastAsia" w:ascii="Times New Roman" w:hAnsi="Times New Roman" w:eastAsia="宋体" w:cs="Times New Roman"/>
          <w:color w:val="auto"/>
          <w:sz w:val="24"/>
          <w:szCs w:val="24"/>
          <w:lang w:val="en-US" w:eastAsia="zh-CN"/>
        </w:rPr>
        <w:t>农田生态系统</w:t>
      </w:r>
      <w:r>
        <w:rPr>
          <w:rFonts w:hint="default" w:ascii="Times New Roman" w:hAnsi="Times New Roman" w:eastAsia="宋体" w:cs="Times New Roman"/>
          <w:color w:val="auto"/>
          <w:sz w:val="24"/>
          <w:szCs w:val="24"/>
        </w:rPr>
        <w:t>，评价区分布有大面积的农田，主要为</w:t>
      </w:r>
      <w:r>
        <w:rPr>
          <w:rFonts w:hint="eastAsia" w:ascii="Times New Roman" w:hAnsi="Times New Roman" w:eastAsia="宋体" w:cs="Times New Roman"/>
          <w:color w:val="auto"/>
          <w:sz w:val="24"/>
          <w:szCs w:val="24"/>
          <w:lang w:val="en-US" w:eastAsia="zh-CN"/>
        </w:rPr>
        <w:t>水</w:t>
      </w:r>
      <w:r>
        <w:rPr>
          <w:rFonts w:hint="default" w:ascii="Times New Roman" w:hAnsi="Times New Roman" w:eastAsia="宋体" w:cs="Times New Roman"/>
          <w:color w:val="auto"/>
          <w:sz w:val="24"/>
          <w:szCs w:val="24"/>
        </w:rPr>
        <w:t>田</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也有小面积的</w:t>
      </w:r>
      <w:r>
        <w:rPr>
          <w:rFonts w:hint="default" w:ascii="Times New Roman" w:hAnsi="Times New Roman" w:eastAsia="宋体" w:cs="Times New Roman"/>
          <w:color w:val="auto"/>
          <w:sz w:val="24"/>
          <w:szCs w:val="24"/>
        </w:rPr>
        <w:t>水浇地，种植</w:t>
      </w:r>
      <w:r>
        <w:rPr>
          <w:rFonts w:hint="eastAsia" w:ascii="Times New Roman" w:hAnsi="Times New Roman" w:eastAsia="宋体" w:cs="Times New Roman"/>
          <w:color w:val="auto"/>
          <w:sz w:val="24"/>
          <w:szCs w:val="24"/>
          <w:lang w:val="en-US" w:eastAsia="zh-CN"/>
        </w:rPr>
        <w:t>的水稻等作物</w:t>
      </w:r>
      <w:r>
        <w:rPr>
          <w:rFonts w:hint="default" w:ascii="Times New Roman" w:hAnsi="Times New Roman" w:eastAsia="宋体" w:cs="Times New Roman"/>
          <w:color w:val="auto"/>
          <w:sz w:val="24"/>
          <w:szCs w:val="24"/>
        </w:rPr>
        <w:t>为食谷的鸟类在此栖息、觅食提供了条件</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如麻雀（</w:t>
      </w:r>
      <w:r>
        <w:rPr>
          <w:rFonts w:hint="eastAsia" w:ascii="Times New Roman" w:hAnsi="Times New Roman" w:eastAsia="宋体" w:cs="Times New Roman"/>
          <w:i/>
          <w:iCs/>
          <w:color w:val="auto"/>
          <w:sz w:val="24"/>
          <w:szCs w:val="24"/>
          <w:lang w:val="en-US" w:eastAsia="zh-CN"/>
        </w:rPr>
        <w:t>Passermontanus</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喜鹊</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i/>
          <w:iCs/>
          <w:color w:val="auto"/>
          <w:sz w:val="24"/>
          <w:szCs w:val="24"/>
          <w:lang w:eastAsia="zh-CN"/>
        </w:rPr>
        <w:t>Picapica</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金翅雀（</w:t>
      </w:r>
      <w:r>
        <w:rPr>
          <w:rFonts w:hint="eastAsia" w:ascii="Times New Roman" w:hAnsi="Times New Roman" w:eastAsia="宋体" w:cs="Times New Roman"/>
          <w:i/>
          <w:iCs/>
          <w:color w:val="auto"/>
          <w:sz w:val="24"/>
          <w:szCs w:val="24"/>
          <w:lang w:val="en-US" w:eastAsia="zh-CN"/>
        </w:rPr>
        <w:t>Chlorissinica</w:t>
      </w:r>
      <w:r>
        <w:rPr>
          <w:rFonts w:hint="eastAsia" w:ascii="Times New Roman" w:hAnsi="Times New Roman" w:eastAsia="宋体" w:cs="Times New Roman"/>
          <w:color w:val="auto"/>
          <w:sz w:val="24"/>
          <w:szCs w:val="24"/>
          <w:lang w:val="en-US" w:eastAsia="zh-CN"/>
        </w:rPr>
        <w:t>）、燕雀（</w:t>
      </w:r>
      <w:r>
        <w:rPr>
          <w:rFonts w:hint="eastAsia" w:ascii="Times New Roman" w:hAnsi="Times New Roman" w:eastAsia="宋体" w:cs="Times New Roman"/>
          <w:i/>
          <w:iCs/>
          <w:color w:val="auto"/>
          <w:sz w:val="24"/>
          <w:szCs w:val="24"/>
          <w:lang w:val="en-US" w:eastAsia="zh-CN"/>
        </w:rPr>
        <w:t>Fringillamontifringilla</w:t>
      </w:r>
      <w:r>
        <w:rPr>
          <w:rFonts w:hint="eastAsia" w:ascii="Times New Roman" w:hAnsi="Times New Roman" w:eastAsia="宋体" w:cs="Times New Roman"/>
          <w:color w:val="auto"/>
          <w:sz w:val="24"/>
          <w:szCs w:val="24"/>
          <w:lang w:val="en-US" w:eastAsia="zh-CN"/>
        </w:rPr>
        <w:t>）、雉鸡和</w:t>
      </w:r>
      <w:r>
        <w:rPr>
          <w:rFonts w:hint="default" w:ascii="Times New Roman" w:hAnsi="Times New Roman" w:eastAsia="宋体" w:cs="Times New Roman"/>
          <w:color w:val="auto"/>
          <w:sz w:val="24"/>
          <w:szCs w:val="24"/>
        </w:rPr>
        <w:t>椋鸟科等鸟类。</w:t>
      </w:r>
    </w:p>
    <w:p w14:paraId="2E013400">
      <w:pPr>
        <w:bidi w:val="0"/>
        <w:rPr>
          <w:rFonts w:hint="default"/>
          <w:color w:val="auto"/>
        </w:rPr>
      </w:pPr>
      <w:r>
        <w:rPr>
          <w:rFonts w:hint="default"/>
          <w:color w:val="auto"/>
        </w:rPr>
        <w:t>农田生境因作物管理且与居民区交织分布，人为活动频繁，行人和各类车辆密集，且农田中农药用量大，鸟类活动较少</w:t>
      </w:r>
      <w:r>
        <w:rPr>
          <w:rFonts w:hint="eastAsia"/>
          <w:color w:val="auto"/>
          <w:lang w:eastAsia="zh-CN"/>
        </w:rPr>
        <w:t>，</w:t>
      </w:r>
      <w:r>
        <w:rPr>
          <w:rFonts w:hint="eastAsia"/>
          <w:color w:val="auto"/>
          <w:lang w:val="en-US" w:eastAsia="zh-CN"/>
        </w:rPr>
        <w:t>调查中在农田未发现国家重点保护野生鸟类分布，记录有雉鸡、棕背伯劳等安徽省地方保护野生鸟类，但数量少，不呈大群分布</w:t>
      </w:r>
      <w:r>
        <w:rPr>
          <w:rFonts w:hint="default"/>
          <w:color w:val="auto"/>
        </w:rPr>
        <w:t>。</w:t>
      </w:r>
    </w:p>
    <w:p w14:paraId="2E23CAA6">
      <w:pPr>
        <w:bidi w:val="0"/>
        <w:rPr>
          <w:rFonts w:hint="default"/>
          <w:color w:val="auto"/>
          <w:lang w:val="en-US" w:eastAsia="zh-CN"/>
        </w:rPr>
      </w:pPr>
      <w:r>
        <w:rPr>
          <w:rFonts w:hint="default"/>
          <w:color w:val="auto"/>
          <w:lang w:val="en-US" w:eastAsia="zh-CN"/>
        </w:rPr>
        <w:t>②居民区</w:t>
      </w:r>
    </w:p>
    <w:p w14:paraId="617E5AE9">
      <w:pPr>
        <w:bidi w:val="0"/>
        <w:rPr>
          <w:rFonts w:hint="default" w:ascii="Times New Roman" w:hAnsi="Times New Roman" w:eastAsia="宋体" w:cs="Times New Roman"/>
          <w:color w:val="auto"/>
          <w:szCs w:val="24"/>
        </w:rPr>
      </w:pPr>
      <w:r>
        <w:rPr>
          <w:rFonts w:hint="eastAsia"/>
          <w:color w:val="auto"/>
          <w:lang w:val="en-US" w:eastAsia="zh-CN"/>
        </w:rPr>
        <w:t>城镇生态系统是评价区主要生态系统类型之一，评价区内的城镇生态系统主要为居住地，包</w:t>
      </w:r>
      <w:r>
        <w:rPr>
          <w:rFonts w:hint="eastAsia" w:ascii="Times New Roman" w:hAnsi="Times New Roman" w:eastAsia="宋体" w:cs="Times New Roman"/>
          <w:i w:val="0"/>
          <w:iCs w:val="0"/>
          <w:color w:val="auto"/>
          <w:kern w:val="0"/>
          <w:szCs w:val="24"/>
          <w:u w:val="none"/>
          <w:lang w:val="en-US" w:eastAsia="zh-CN" w:bidi="ar"/>
        </w:rPr>
        <w:t>括城市、镇、村级交通用地等，</w:t>
      </w:r>
      <w:r>
        <w:rPr>
          <w:rFonts w:hint="default" w:ascii="Times New Roman" w:hAnsi="Times New Roman" w:eastAsia="宋体" w:cs="Times New Roman"/>
          <w:color w:val="auto"/>
          <w:szCs w:val="24"/>
        </w:rPr>
        <w:t>周边广泛分布有养殖场、工厂、道路，零星分布有池塘、菜地、树林等，</w:t>
      </w:r>
      <w:r>
        <w:rPr>
          <w:rFonts w:hint="eastAsia" w:ascii="Times New Roman" w:hAnsi="Times New Roman" w:eastAsia="宋体" w:cs="Times New Roman"/>
          <w:color w:val="auto"/>
          <w:szCs w:val="24"/>
          <w:lang w:val="en-US" w:eastAsia="zh-CN"/>
        </w:rPr>
        <w:t>该类生态系统</w:t>
      </w:r>
      <w:r>
        <w:rPr>
          <w:rFonts w:hint="default" w:ascii="Times New Roman" w:hAnsi="Times New Roman" w:eastAsia="宋体" w:cs="Times New Roman"/>
          <w:color w:val="auto"/>
          <w:szCs w:val="24"/>
        </w:rPr>
        <w:t>是受人类干扰的景观中最为显著的成分</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color w:val="auto"/>
          <w:szCs w:val="24"/>
          <w:lang w:val="en-US" w:eastAsia="zh-CN"/>
        </w:rPr>
        <w:t>是</w:t>
      </w:r>
      <w:r>
        <w:rPr>
          <w:rFonts w:hint="default" w:ascii="Times New Roman" w:hAnsi="Times New Roman" w:eastAsia="宋体" w:cs="Times New Roman"/>
          <w:color w:val="auto"/>
          <w:szCs w:val="24"/>
        </w:rPr>
        <w:t>鸟类种类和数量较少的生境类型</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b w:val="0"/>
          <w:bCs w:val="0"/>
          <w:color w:val="auto"/>
          <w:szCs w:val="24"/>
        </w:rPr>
        <w:t>该生境下人为活动极为频繁，栖息鸟类大多数是与人类活动关系密切的小型鸟类，如麻雀、八哥（</w:t>
      </w:r>
      <w:r>
        <w:rPr>
          <w:rFonts w:hint="default" w:ascii="Times New Roman" w:hAnsi="Times New Roman" w:eastAsia="宋体" w:cs="Times New Roman"/>
          <w:b w:val="0"/>
          <w:bCs w:val="0"/>
          <w:i/>
          <w:iCs/>
          <w:color w:val="auto"/>
          <w:szCs w:val="24"/>
        </w:rPr>
        <w:t>Acridotherescristatellus</w:t>
      </w:r>
      <w:r>
        <w:rPr>
          <w:rFonts w:hint="default" w:ascii="Times New Roman" w:hAnsi="Times New Roman" w:eastAsia="宋体" w:cs="Times New Roman"/>
          <w:b w:val="0"/>
          <w:bCs w:val="0"/>
          <w:color w:val="auto"/>
          <w:szCs w:val="24"/>
        </w:rPr>
        <w:t>）、白头鹎</w:t>
      </w:r>
      <w:r>
        <w:rPr>
          <w:rFonts w:hint="default" w:ascii="Times New Roman" w:hAnsi="Times New Roman" w:eastAsia="宋体" w:cs="Times New Roman"/>
          <w:color w:val="auto"/>
          <w:szCs w:val="24"/>
        </w:rPr>
        <w:t>等。多种雀形目鸟类常在建筑物筑巢繁殖，活动范围也集中在居民区周边。</w:t>
      </w:r>
    </w:p>
    <w:p w14:paraId="7A41A3A2">
      <w:pPr>
        <w:bidi w:val="0"/>
        <w:rPr>
          <w:rFonts w:hint="default"/>
          <w:color w:val="auto"/>
          <w:lang w:val="en-US" w:eastAsia="zh-CN"/>
        </w:rPr>
      </w:pPr>
      <w:r>
        <w:rPr>
          <w:rFonts w:hint="default"/>
          <w:color w:val="auto"/>
          <w:lang w:val="en-US" w:eastAsia="zh-CN"/>
        </w:rPr>
        <w:t>③林地</w:t>
      </w:r>
    </w:p>
    <w:p w14:paraId="50517824">
      <w:pPr>
        <w:bidi w:val="0"/>
        <w:rPr>
          <w:rFonts w:hint="default"/>
          <w:color w:val="auto"/>
        </w:rPr>
      </w:pPr>
      <w:r>
        <w:rPr>
          <w:rFonts w:hint="eastAsia"/>
          <w:color w:val="auto"/>
          <w:lang w:val="en-US" w:eastAsia="zh-CN"/>
        </w:rPr>
        <w:t>森林生态系统，包括</w:t>
      </w:r>
      <w:r>
        <w:rPr>
          <w:rFonts w:hint="default"/>
          <w:color w:val="auto"/>
        </w:rPr>
        <w:t>山地林区生境和竹林生境为本次</w:t>
      </w:r>
      <w:r>
        <w:rPr>
          <w:rFonts w:hint="eastAsia"/>
          <w:color w:val="auto"/>
          <w:lang w:val="en-US" w:eastAsia="zh-CN"/>
        </w:rPr>
        <w:t>调查中</w:t>
      </w:r>
      <w:r>
        <w:rPr>
          <w:rFonts w:hint="default"/>
          <w:color w:val="auto"/>
        </w:rPr>
        <w:t>鸟</w:t>
      </w:r>
      <w:r>
        <w:rPr>
          <w:rFonts w:hint="eastAsia"/>
          <w:color w:val="auto"/>
          <w:lang w:val="en-US" w:eastAsia="zh-CN"/>
        </w:rPr>
        <w:t>类</w:t>
      </w:r>
      <w:r>
        <w:rPr>
          <w:rFonts w:hint="default"/>
          <w:color w:val="auto"/>
        </w:rPr>
        <w:t>分布最多的生境，主要分布有适合在林地栖息和繁殖的鸟类，分布有鹰形目、鸮形目、鴷形目、鹃形目、鸽形目以及雀形目的部分鸟种，比如大斑啄木鸟、珠颈斑鸠、山斑鸠以及画眉、黑短脚鹎、黄臀鹎等、黑卷尾等</w:t>
      </w:r>
      <w:r>
        <w:rPr>
          <w:rFonts w:hint="eastAsia"/>
          <w:color w:val="auto"/>
          <w:lang w:eastAsia="zh-CN"/>
        </w:rPr>
        <w:t>。</w:t>
      </w:r>
      <w:r>
        <w:rPr>
          <w:rFonts w:hint="eastAsia"/>
          <w:color w:val="auto"/>
          <w:lang w:val="en-US" w:eastAsia="zh-CN"/>
        </w:rPr>
        <w:t>主要为林鸟，善于飞行</w:t>
      </w:r>
      <w:r>
        <w:rPr>
          <w:rFonts w:hint="eastAsia"/>
          <w:color w:val="auto"/>
          <w:lang w:eastAsia="zh-CN"/>
        </w:rPr>
        <w:t>、</w:t>
      </w:r>
      <w:r>
        <w:rPr>
          <w:rFonts w:hint="default"/>
          <w:color w:val="auto"/>
        </w:rPr>
        <w:t>活动范围</w:t>
      </w:r>
      <w:r>
        <w:rPr>
          <w:rFonts w:hint="eastAsia"/>
          <w:color w:val="auto"/>
          <w:lang w:val="en-US" w:eastAsia="zh-CN"/>
        </w:rPr>
        <w:t>广</w:t>
      </w:r>
      <w:r>
        <w:rPr>
          <w:rFonts w:hint="default"/>
          <w:color w:val="auto"/>
        </w:rPr>
        <w:t>，觅食食物资源较广，适应能力较强，多数鸟类对栖息环境的改变能够做出快速的响应。</w:t>
      </w:r>
    </w:p>
    <w:p w14:paraId="3CAC4E0F">
      <w:pPr>
        <w:pStyle w:val="5"/>
        <w:bidi w:val="0"/>
        <w:rPr>
          <w:rFonts w:hint="default"/>
          <w:color w:val="auto"/>
          <w:lang w:val="en-US" w:eastAsia="zh-CN"/>
        </w:rPr>
      </w:pPr>
      <w:bookmarkStart w:id="171" w:name="_Toc522804869"/>
      <w:bookmarkStart w:id="172" w:name="_Toc18462"/>
      <w:bookmarkStart w:id="173" w:name="_Toc510813717"/>
      <w:r>
        <w:rPr>
          <w:rFonts w:hint="default"/>
          <w:color w:val="auto"/>
          <w:lang w:val="en-US" w:eastAsia="zh-CN"/>
        </w:rPr>
        <w:t>两栖</w:t>
      </w:r>
      <w:r>
        <w:rPr>
          <w:rFonts w:hint="eastAsia"/>
          <w:color w:val="auto"/>
          <w:lang w:val="en-US" w:eastAsia="zh-CN"/>
        </w:rPr>
        <w:t>动物</w:t>
      </w:r>
      <w:bookmarkEnd w:id="171"/>
      <w:bookmarkEnd w:id="172"/>
      <w:bookmarkEnd w:id="173"/>
    </w:p>
    <w:p w14:paraId="3762D332">
      <w:pPr>
        <w:bidi w:val="0"/>
        <w:rPr>
          <w:rFonts w:hint="eastAsia"/>
          <w:color w:val="auto"/>
          <w:lang w:val="en-US" w:eastAsia="zh-CN"/>
        </w:rPr>
      </w:pPr>
      <w:r>
        <w:rPr>
          <w:rFonts w:hint="eastAsia"/>
          <w:color w:val="auto"/>
          <w:lang w:val="en-US" w:eastAsia="zh-CN"/>
        </w:rPr>
        <w:t>（1）调查方法</w:t>
      </w:r>
    </w:p>
    <w:p w14:paraId="47F7BB8A">
      <w:pPr>
        <w:bidi w:val="0"/>
        <w:rPr>
          <w:rFonts w:hint="default"/>
          <w:color w:val="auto"/>
        </w:rPr>
      </w:pPr>
      <w:r>
        <w:rPr>
          <w:rFonts w:hint="eastAsia"/>
          <w:color w:val="auto"/>
          <w:lang w:val="en-US" w:eastAsia="zh-CN"/>
        </w:rPr>
        <w:t>主要使用样带法调查。根据不同的生境类型，选择有代表性的生境进行样带调查。样带宽度为两侧各500m范围，样线的长度不短于3km。沿样线观察时，每次巡视的速度保持一致，以观察、采集动物个体确定物种为主要目的，发现动物个体后，立即记录动物名称、数量。观察时动作应尽量不惊扰动物。另外本次调查还</w:t>
      </w:r>
      <w:r>
        <w:rPr>
          <w:rFonts w:hint="default"/>
          <w:color w:val="auto"/>
        </w:rPr>
        <w:t>结合资料查询（主要为《安徽陆生野生动植物资源》</w:t>
      </w:r>
      <w:r>
        <w:rPr>
          <w:rFonts w:hint="default"/>
          <w:color w:val="auto"/>
          <w:lang w:eastAsia="zh-CN"/>
        </w:rPr>
        <w:t>、</w:t>
      </w:r>
      <w:r>
        <w:rPr>
          <w:rFonts w:hint="default"/>
          <w:color w:val="auto"/>
        </w:rPr>
        <w:t>《安徽省两栖爬行动物志》）</w:t>
      </w:r>
      <w:r>
        <w:rPr>
          <w:rFonts w:hint="default"/>
          <w:color w:val="auto"/>
          <w:lang w:val="en-US" w:eastAsia="zh-CN"/>
        </w:rPr>
        <w:t>等</w:t>
      </w:r>
      <w:r>
        <w:rPr>
          <w:rFonts w:hint="default"/>
          <w:color w:val="auto"/>
        </w:rPr>
        <w:t>。</w:t>
      </w:r>
    </w:p>
    <w:p w14:paraId="560D9BD5">
      <w:pPr>
        <w:bidi w:val="0"/>
        <w:rPr>
          <w:rFonts w:hint="default"/>
          <w:color w:val="auto"/>
        </w:rPr>
      </w:pPr>
      <w:r>
        <w:rPr>
          <w:rFonts w:hint="default"/>
          <w:color w:val="auto"/>
          <w:lang w:eastAsia="zh-CN"/>
        </w:rPr>
        <w:t>（</w:t>
      </w:r>
      <w:r>
        <w:rPr>
          <w:rFonts w:hint="default"/>
          <w:color w:val="auto"/>
          <w:lang w:val="en-US" w:eastAsia="zh-CN"/>
        </w:rPr>
        <w:t>2</w:t>
      </w:r>
      <w:r>
        <w:rPr>
          <w:rFonts w:hint="default"/>
          <w:color w:val="auto"/>
          <w:lang w:eastAsia="zh-CN"/>
        </w:rPr>
        <w:t>）</w:t>
      </w:r>
      <w:r>
        <w:rPr>
          <w:rFonts w:hint="default"/>
          <w:color w:val="auto"/>
        </w:rPr>
        <w:t>调查结果</w:t>
      </w:r>
    </w:p>
    <w:p w14:paraId="0C538660">
      <w:pPr>
        <w:bidi w:val="0"/>
        <w:rPr>
          <w:rFonts w:hint="default"/>
          <w:color w:val="auto"/>
        </w:rPr>
      </w:pPr>
      <w:r>
        <w:rPr>
          <w:rFonts w:hint="default"/>
          <w:color w:val="auto"/>
        </w:rPr>
        <w:fldChar w:fldCharType="begin"/>
      </w:r>
      <w:r>
        <w:rPr>
          <w:rFonts w:hint="default"/>
          <w:color w:val="auto"/>
        </w:rPr>
        <w:instrText xml:space="preserve"> = 1 \* GB3 </w:instrText>
      </w:r>
      <w:r>
        <w:rPr>
          <w:rFonts w:hint="default"/>
          <w:color w:val="auto"/>
        </w:rPr>
        <w:fldChar w:fldCharType="separate"/>
      </w:r>
      <w:r>
        <w:rPr>
          <w:rFonts w:hint="default"/>
          <w:color w:val="auto"/>
        </w:rPr>
        <w:t>①</w:t>
      </w:r>
      <w:r>
        <w:rPr>
          <w:rFonts w:hint="default"/>
          <w:color w:val="auto"/>
        </w:rPr>
        <w:fldChar w:fldCharType="end"/>
      </w:r>
      <w:r>
        <w:rPr>
          <w:rFonts w:hint="default"/>
          <w:color w:val="auto"/>
        </w:rPr>
        <w:t>种类组成</w:t>
      </w:r>
    </w:p>
    <w:p w14:paraId="094A7D49">
      <w:pPr>
        <w:bidi w:val="0"/>
        <w:rPr>
          <w:rFonts w:hint="default" w:ascii="Times New Roman" w:hAnsi="Times New Roman" w:eastAsia="宋体" w:cs="Times New Roman"/>
          <w:color w:val="auto"/>
          <w:szCs w:val="24"/>
        </w:rPr>
      </w:pPr>
      <w:r>
        <w:rPr>
          <w:rFonts w:hint="default"/>
          <w:color w:val="auto"/>
        </w:rPr>
        <w:t>评价区</w:t>
      </w:r>
      <w:r>
        <w:rPr>
          <w:rFonts w:hint="eastAsia"/>
          <w:color w:val="auto"/>
          <w:lang w:val="en-US" w:eastAsia="zh-CN"/>
        </w:rPr>
        <w:t>分布有</w:t>
      </w:r>
      <w:r>
        <w:rPr>
          <w:rFonts w:hint="default"/>
          <w:color w:val="auto"/>
        </w:rPr>
        <w:t>两栖动物2</w:t>
      </w:r>
      <w:r>
        <w:rPr>
          <w:rFonts w:hint="default" w:ascii="Times New Roman" w:hAnsi="Times New Roman" w:eastAsia="宋体" w:cs="Times New Roman"/>
          <w:color w:val="auto"/>
          <w:szCs w:val="24"/>
        </w:rPr>
        <w:t>目7科2</w:t>
      </w:r>
      <w:r>
        <w:rPr>
          <w:rFonts w:hint="eastAsia" w:ascii="Times New Roman" w:hAnsi="Times New Roman" w:eastAsia="宋体" w:cs="Times New Roman"/>
          <w:color w:val="auto"/>
          <w:szCs w:val="24"/>
          <w:lang w:val="en-US" w:eastAsia="zh-CN"/>
        </w:rPr>
        <w:t>5</w:t>
      </w:r>
      <w:r>
        <w:rPr>
          <w:rFonts w:hint="default" w:ascii="Times New Roman" w:hAnsi="Times New Roman" w:eastAsia="宋体" w:cs="Times New Roman"/>
          <w:color w:val="auto"/>
          <w:szCs w:val="24"/>
        </w:rPr>
        <w:t>种（</w:t>
      </w:r>
      <w:r>
        <w:rPr>
          <w:rFonts w:hint="eastAsia" w:cs="Times New Roman"/>
          <w:color w:val="auto"/>
          <w:szCs w:val="24"/>
          <w:lang w:eastAsia="zh-CN"/>
        </w:rPr>
        <w:t>附表</w:t>
      </w:r>
      <w:r>
        <w:rPr>
          <w:rFonts w:hint="default" w:ascii="Times New Roman" w:hAnsi="Times New Roman" w:eastAsia="宋体" w:cs="Times New Roman"/>
          <w:color w:val="auto"/>
          <w:szCs w:val="24"/>
        </w:rPr>
        <w:t>4），</w:t>
      </w:r>
      <w:r>
        <w:rPr>
          <w:rFonts w:hint="eastAsia" w:ascii="Times New Roman" w:hAnsi="Times New Roman" w:eastAsia="宋体" w:cs="Times New Roman"/>
          <w:color w:val="auto"/>
          <w:szCs w:val="24"/>
          <w:lang w:val="en-US" w:eastAsia="zh-CN"/>
        </w:rPr>
        <w:t>均为</w:t>
      </w:r>
      <w:r>
        <w:rPr>
          <w:rFonts w:hint="default" w:ascii="Times New Roman" w:hAnsi="Times New Roman" w:eastAsia="宋体" w:cs="Times New Roman"/>
          <w:color w:val="auto"/>
          <w:szCs w:val="24"/>
        </w:rPr>
        <w:t>常见种类。有尾目包含</w:t>
      </w:r>
      <w:r>
        <w:rPr>
          <w:rFonts w:hint="eastAsia"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科</w:t>
      </w:r>
      <w:r>
        <w:rPr>
          <w:rFonts w:hint="eastAsia"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种</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东方蝾螈</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Cynopsorientalis</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；无尾目包括</w:t>
      </w:r>
      <w:r>
        <w:rPr>
          <w:rFonts w:hint="eastAsia" w:ascii="Times New Roman" w:hAnsi="Times New Roman" w:eastAsia="宋体" w:cs="Times New Roman"/>
          <w:color w:val="auto"/>
          <w:szCs w:val="24"/>
          <w:lang w:val="en-US" w:eastAsia="zh-CN"/>
        </w:rPr>
        <w:t>6科24种</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color w:val="auto"/>
          <w:szCs w:val="24"/>
          <w:lang w:val="en-US" w:eastAsia="zh-CN"/>
        </w:rPr>
        <w:t>如</w:t>
      </w:r>
      <w:r>
        <w:rPr>
          <w:rFonts w:hint="default" w:ascii="Times New Roman" w:hAnsi="Times New Roman" w:eastAsia="宋体" w:cs="Times New Roman"/>
          <w:color w:val="auto"/>
          <w:szCs w:val="24"/>
        </w:rPr>
        <w:t>蟾蜍科</w:t>
      </w:r>
      <w:r>
        <w:rPr>
          <w:rFonts w:hint="eastAsia" w:ascii="Times New Roman" w:hAnsi="Times New Roman" w:eastAsia="宋体" w:cs="Times New Roman"/>
          <w:color w:val="auto"/>
          <w:szCs w:val="24"/>
          <w:lang w:val="en-US" w:eastAsia="zh-CN"/>
        </w:rPr>
        <w:t>的</w:t>
      </w:r>
      <w:r>
        <w:rPr>
          <w:rFonts w:hint="default" w:ascii="Times New Roman" w:hAnsi="Times New Roman" w:eastAsia="宋体" w:cs="Times New Roman"/>
          <w:color w:val="auto"/>
          <w:szCs w:val="24"/>
        </w:rPr>
        <w:t>中华蟾蜍</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val="en-US" w:eastAsia="zh-CN"/>
        </w:rPr>
        <w:t>B</w:t>
      </w:r>
      <w:r>
        <w:rPr>
          <w:rFonts w:hint="eastAsia" w:ascii="Times New Roman" w:hAnsi="Times New Roman" w:eastAsia="宋体" w:cs="Times New Roman"/>
          <w:i/>
          <w:iCs/>
          <w:color w:val="auto"/>
          <w:szCs w:val="24"/>
          <w:lang w:eastAsia="zh-CN"/>
        </w:rPr>
        <w:t>ufogargarizans</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，雨蛙科</w:t>
      </w:r>
      <w:r>
        <w:rPr>
          <w:rFonts w:hint="eastAsia" w:ascii="Times New Roman" w:hAnsi="Times New Roman" w:eastAsia="宋体" w:cs="Times New Roman"/>
          <w:color w:val="auto"/>
          <w:szCs w:val="24"/>
          <w:lang w:val="en-US" w:eastAsia="zh-CN"/>
        </w:rPr>
        <w:t>的</w:t>
      </w:r>
      <w:r>
        <w:rPr>
          <w:rFonts w:hint="default" w:ascii="Times New Roman" w:hAnsi="Times New Roman" w:eastAsia="宋体" w:cs="Times New Roman"/>
          <w:color w:val="auto"/>
          <w:szCs w:val="24"/>
        </w:rPr>
        <w:t>中国雨蛙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Hylachinensis</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蛙科</w:t>
      </w:r>
      <w:r>
        <w:rPr>
          <w:rFonts w:hint="eastAsia" w:ascii="Times New Roman" w:hAnsi="Times New Roman" w:eastAsia="宋体" w:cs="Times New Roman"/>
          <w:color w:val="auto"/>
          <w:szCs w:val="24"/>
          <w:lang w:val="en-US" w:eastAsia="zh-CN"/>
        </w:rPr>
        <w:t>的</w:t>
      </w:r>
      <w:r>
        <w:rPr>
          <w:rFonts w:hint="default" w:ascii="Times New Roman" w:hAnsi="Times New Roman" w:eastAsia="宋体" w:cs="Times New Roman"/>
          <w:color w:val="auto"/>
          <w:szCs w:val="24"/>
        </w:rPr>
        <w:t>泽陆蛙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Fejervaryamultistriata</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、金线侧褶蛙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Pelophylaxplancyi</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、黑斑侧褶蛙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Pelophylaxnigromaculatus</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树蛙科</w:t>
      </w:r>
      <w:r>
        <w:rPr>
          <w:rFonts w:hint="eastAsia" w:ascii="Times New Roman" w:hAnsi="Times New Roman" w:eastAsia="宋体" w:cs="Times New Roman"/>
          <w:color w:val="auto"/>
          <w:szCs w:val="24"/>
          <w:lang w:val="en-US" w:eastAsia="zh-CN"/>
        </w:rPr>
        <w:t>的</w:t>
      </w:r>
      <w:r>
        <w:rPr>
          <w:rFonts w:hint="default" w:ascii="Times New Roman" w:hAnsi="Times New Roman" w:eastAsia="宋体" w:cs="Times New Roman"/>
          <w:color w:val="auto"/>
          <w:szCs w:val="24"/>
        </w:rPr>
        <w:t>大树蛙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Zhangixalusdennysi</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姬蛙科</w:t>
      </w:r>
      <w:r>
        <w:rPr>
          <w:rFonts w:hint="eastAsia" w:ascii="Times New Roman" w:hAnsi="Times New Roman" w:eastAsia="宋体" w:cs="Times New Roman"/>
          <w:color w:val="auto"/>
          <w:szCs w:val="24"/>
          <w:lang w:val="en-US" w:eastAsia="zh-CN"/>
        </w:rPr>
        <w:t>的</w:t>
      </w:r>
      <w:r>
        <w:rPr>
          <w:rFonts w:hint="default" w:ascii="Times New Roman" w:hAnsi="Times New Roman" w:eastAsia="宋体" w:cs="Times New Roman"/>
          <w:color w:val="auto"/>
          <w:szCs w:val="24"/>
        </w:rPr>
        <w:t>饰纹姬蛙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Microhylaornata</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color w:val="auto"/>
          <w:szCs w:val="24"/>
          <w:lang w:val="en-US" w:eastAsia="zh-CN"/>
        </w:rPr>
        <w:t>等</w:t>
      </w:r>
      <w:r>
        <w:rPr>
          <w:rFonts w:hint="default" w:ascii="Times New Roman" w:hAnsi="Times New Roman" w:eastAsia="宋体" w:cs="Times New Roman"/>
          <w:color w:val="auto"/>
          <w:szCs w:val="24"/>
        </w:rPr>
        <w:t>。</w:t>
      </w:r>
    </w:p>
    <w:p w14:paraId="7DD46675">
      <w:pPr>
        <w:bidi w:val="0"/>
        <w:rPr>
          <w:rFonts w:hint="default"/>
          <w:color w:val="auto"/>
          <w:lang w:val="en-US" w:eastAsia="zh-CN"/>
        </w:rPr>
      </w:pPr>
      <w:r>
        <w:rPr>
          <w:rFonts w:hint="default"/>
          <w:color w:val="auto"/>
        </w:rPr>
        <w:t>有尾目和无尾目</w:t>
      </w:r>
      <w:r>
        <w:rPr>
          <w:rFonts w:hint="eastAsia"/>
          <w:color w:val="auto"/>
          <w:lang w:val="en-US" w:eastAsia="zh-CN"/>
        </w:rPr>
        <w:t>分别</w:t>
      </w:r>
      <w:r>
        <w:rPr>
          <w:rFonts w:hint="default"/>
          <w:color w:val="auto"/>
        </w:rPr>
        <w:t>占全部两栖动物的</w:t>
      </w:r>
      <w:r>
        <w:rPr>
          <w:rFonts w:hint="eastAsia"/>
          <w:color w:val="auto"/>
          <w:lang w:val="en-US" w:eastAsia="zh-CN"/>
        </w:rPr>
        <w:t>3.85</w:t>
      </w:r>
      <w:r>
        <w:rPr>
          <w:rFonts w:hint="default"/>
          <w:color w:val="auto"/>
        </w:rPr>
        <w:t>%和</w:t>
      </w:r>
      <w:r>
        <w:rPr>
          <w:rFonts w:hint="eastAsia"/>
          <w:color w:val="auto"/>
          <w:lang w:val="en-US" w:eastAsia="zh-CN"/>
        </w:rPr>
        <w:t>96.15</w:t>
      </w:r>
      <w:r>
        <w:rPr>
          <w:rFonts w:hint="default"/>
          <w:color w:val="auto"/>
        </w:rPr>
        <w:t>%</w:t>
      </w:r>
      <w:r>
        <w:rPr>
          <w:rFonts w:hint="eastAsia"/>
          <w:color w:val="auto"/>
          <w:lang w:eastAsia="zh-CN"/>
        </w:rPr>
        <w:t>，</w:t>
      </w:r>
      <w:r>
        <w:rPr>
          <w:rFonts w:hint="eastAsia"/>
          <w:color w:val="auto"/>
          <w:lang w:val="en-US" w:eastAsia="zh-CN"/>
        </w:rPr>
        <w:t>无尾目是评价区两栖动物中的绝对优势类群，其中蛙科有15种，占评价区两栖动物种类的60%。</w:t>
      </w:r>
    </w:p>
    <w:p w14:paraId="1C83F107">
      <w:pPr>
        <w:bidi w:val="0"/>
        <w:rPr>
          <w:rFonts w:hint="default"/>
          <w:color w:val="auto"/>
        </w:rPr>
      </w:pPr>
      <w:r>
        <w:rPr>
          <w:rFonts w:hint="default"/>
          <w:color w:val="auto"/>
        </w:rPr>
        <w:t>评价区两栖动物的区系组成中，以东洋型最多，为23种，占总数的88.46%；其余3种，中华蟾蜍、黑斑侧褶蛙、金线侧褶蛙，为广布型。</w:t>
      </w:r>
    </w:p>
    <w:p w14:paraId="39D3DB34">
      <w:pPr>
        <w:bidi w:val="0"/>
        <w:rPr>
          <w:rFonts w:hint="default" w:eastAsia="宋体"/>
          <w:color w:val="auto"/>
          <w:lang w:val="en-US" w:eastAsia="zh-CN"/>
        </w:rPr>
      </w:pPr>
      <w:r>
        <w:rPr>
          <w:rFonts w:hint="eastAsia"/>
          <w:color w:val="auto"/>
          <w:lang w:val="en-US" w:eastAsia="zh-CN"/>
        </w:rPr>
        <w:t>评价区无列入国家重点保护</w:t>
      </w:r>
      <w:r>
        <w:rPr>
          <w:rFonts w:hint="eastAsia" w:ascii="Times New Roman" w:hAnsi="Times New Roman" w:eastAsia="宋体" w:cs="Times New Roman"/>
          <w:color w:val="auto"/>
          <w:szCs w:val="24"/>
          <w:lang w:val="en-US" w:eastAsia="zh-CN"/>
        </w:rPr>
        <w:t>野生动物名录的两栖动物分布，有4种列入安徽省地方</w:t>
      </w:r>
      <w:r>
        <w:rPr>
          <w:rFonts w:hint="default" w:ascii="Times New Roman" w:hAnsi="Times New Roman" w:eastAsia="宋体" w:cs="Times New Roman"/>
          <w:color w:val="auto"/>
          <w:szCs w:val="24"/>
          <w:lang w:val="en-US" w:eastAsia="zh-CN"/>
        </w:rPr>
        <w:t>Ⅱ</w:t>
      </w:r>
      <w:r>
        <w:rPr>
          <w:rFonts w:hint="eastAsia" w:ascii="Times New Roman" w:hAnsi="Times New Roman" w:eastAsia="宋体" w:cs="Times New Roman"/>
          <w:color w:val="auto"/>
          <w:szCs w:val="24"/>
          <w:lang w:val="en-US" w:eastAsia="zh-CN"/>
        </w:rPr>
        <w:t>级保护：中华蟾蜍、</w:t>
      </w:r>
      <w:r>
        <w:rPr>
          <w:rFonts w:hint="default" w:ascii="Times New Roman" w:hAnsi="Times New Roman" w:eastAsia="宋体" w:cs="Times New Roman"/>
          <w:color w:val="auto"/>
          <w:szCs w:val="24"/>
        </w:rPr>
        <w:t>棘胸蛙</w:t>
      </w:r>
      <w:r>
        <w:rPr>
          <w:rFonts w:hint="eastAsia" w:ascii="Times New Roman" w:hAnsi="Times New Roman" w:eastAsia="宋体" w:cs="Times New Roman"/>
          <w:color w:val="auto"/>
          <w:szCs w:val="24"/>
          <w:lang w:eastAsia="zh-CN"/>
        </w:rPr>
        <w:t>（</w:t>
      </w:r>
      <w:r>
        <w:rPr>
          <w:rFonts w:hint="eastAsia" w:ascii="Times New Roman" w:hAnsi="Times New Roman" w:eastAsia="宋体" w:cs="Times New Roman"/>
          <w:i/>
          <w:iCs/>
          <w:color w:val="auto"/>
          <w:szCs w:val="24"/>
          <w:lang w:eastAsia="zh-CN"/>
        </w:rPr>
        <w:t>Quasipaaspinosa</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rPr>
        <w:t>、黑斑侧褶蛙</w:t>
      </w:r>
      <w:r>
        <w:rPr>
          <w:rFonts w:hint="eastAsia" w:ascii="Times New Roman" w:hAnsi="Times New Roman" w:eastAsia="宋体" w:cs="Times New Roman"/>
          <w:color w:val="auto"/>
          <w:szCs w:val="24"/>
          <w:lang w:val="en-US" w:eastAsia="zh-CN"/>
        </w:rPr>
        <w:t>和金线侧褶蛙</w:t>
      </w:r>
      <w:r>
        <w:rPr>
          <w:rFonts w:hint="default" w:ascii="Times New Roman" w:hAnsi="Times New Roman" w:eastAsia="宋体" w:cs="Times New Roman"/>
          <w:color w:val="auto"/>
          <w:szCs w:val="24"/>
        </w:rPr>
        <w:t>。</w:t>
      </w:r>
      <w:r>
        <w:rPr>
          <w:rFonts w:hint="eastAsia" w:ascii="Times New Roman" w:hAnsi="Times New Roman" w:eastAsia="宋体" w:cs="Times New Roman"/>
          <w:color w:val="auto"/>
          <w:szCs w:val="24"/>
          <w:lang w:val="en-US" w:eastAsia="zh-CN"/>
        </w:rPr>
        <w:t>本次调查中记录有中华蟾蜍、</w:t>
      </w:r>
      <w:r>
        <w:rPr>
          <w:rFonts w:hint="default" w:ascii="Times New Roman" w:hAnsi="Times New Roman" w:eastAsia="宋体" w:cs="Times New Roman"/>
          <w:color w:val="auto"/>
          <w:szCs w:val="24"/>
        </w:rPr>
        <w:t>、黑斑侧褶蛙</w:t>
      </w:r>
      <w:r>
        <w:rPr>
          <w:rFonts w:hint="eastAsia" w:ascii="Times New Roman" w:hAnsi="Times New Roman" w:eastAsia="宋体" w:cs="Times New Roman"/>
          <w:color w:val="auto"/>
          <w:szCs w:val="24"/>
          <w:lang w:val="en-US" w:eastAsia="zh-CN"/>
        </w:rPr>
        <w:t>和金线侧褶蛙。</w:t>
      </w:r>
    </w:p>
    <w:p w14:paraId="26B109ED">
      <w:pPr>
        <w:bidi w:val="0"/>
        <w:rPr>
          <w:rFonts w:hint="default"/>
          <w:color w:val="auto"/>
        </w:rPr>
      </w:pPr>
      <w:r>
        <w:rPr>
          <w:rFonts w:hint="default"/>
          <w:color w:val="auto"/>
        </w:rPr>
        <w:fldChar w:fldCharType="begin"/>
      </w:r>
      <w:r>
        <w:rPr>
          <w:rFonts w:hint="default"/>
          <w:color w:val="auto"/>
        </w:rPr>
        <w:instrText xml:space="preserve"> = 2 \* GB3 </w:instrText>
      </w:r>
      <w:r>
        <w:rPr>
          <w:rFonts w:hint="default"/>
          <w:color w:val="auto"/>
        </w:rPr>
        <w:fldChar w:fldCharType="separate"/>
      </w:r>
      <w:r>
        <w:rPr>
          <w:rFonts w:hint="default"/>
          <w:color w:val="auto"/>
        </w:rPr>
        <w:t>②</w:t>
      </w:r>
      <w:r>
        <w:rPr>
          <w:rFonts w:hint="default"/>
          <w:color w:val="auto"/>
        </w:rPr>
        <w:fldChar w:fldCharType="end"/>
      </w:r>
      <w:r>
        <w:rPr>
          <w:rFonts w:hint="default"/>
          <w:color w:val="auto"/>
        </w:rPr>
        <w:t>生态类型</w:t>
      </w:r>
    </w:p>
    <w:p w14:paraId="44F5B1F5">
      <w:pPr>
        <w:bidi w:val="0"/>
        <w:rPr>
          <w:rFonts w:hint="default"/>
          <w:color w:val="auto"/>
        </w:rPr>
      </w:pPr>
      <w:r>
        <w:rPr>
          <w:rFonts w:hint="default"/>
          <w:color w:val="auto"/>
        </w:rPr>
        <w:t>两栖动物栖息在水体及其周围灌木和草丛环境，繁殖季节完全离不开水环境，生长或越冬时可以暂时远离水体，其生态类型</w:t>
      </w:r>
      <w:r>
        <w:rPr>
          <w:rFonts w:hint="eastAsia"/>
          <w:color w:val="auto"/>
          <w:lang w:val="en-US" w:eastAsia="zh-CN"/>
        </w:rPr>
        <w:t>主要</w:t>
      </w:r>
      <w:r>
        <w:rPr>
          <w:rFonts w:hint="default"/>
          <w:color w:val="auto"/>
        </w:rPr>
        <w:t>有：</w:t>
      </w:r>
    </w:p>
    <w:p w14:paraId="14322B37">
      <w:pPr>
        <w:bidi w:val="0"/>
        <w:rPr>
          <w:rFonts w:hint="default"/>
          <w:color w:val="auto"/>
        </w:rPr>
      </w:pPr>
      <w:r>
        <w:rPr>
          <w:rFonts w:hint="default"/>
          <w:color w:val="auto"/>
        </w:rPr>
        <w:t>静态水体型：指水体流动缓或静止的池塘、稻田或沟渠，周边环境水草丰富，是多数蛙类喜欢的生态环境，代表动物有东方蝾螈、</w:t>
      </w:r>
      <w:r>
        <w:rPr>
          <w:rFonts w:hint="eastAsia"/>
          <w:color w:val="auto"/>
          <w:lang w:val="en-US" w:eastAsia="zh-CN"/>
        </w:rPr>
        <w:t>黑斑</w:t>
      </w:r>
      <w:r>
        <w:rPr>
          <w:rFonts w:hint="default"/>
          <w:color w:val="auto"/>
        </w:rPr>
        <w:t>侧褶蛙、泽陆蛙等。</w:t>
      </w:r>
    </w:p>
    <w:p w14:paraId="253E58CA">
      <w:pPr>
        <w:bidi w:val="0"/>
        <w:rPr>
          <w:rFonts w:hint="default"/>
          <w:color w:val="auto"/>
        </w:rPr>
      </w:pPr>
      <w:r>
        <w:rPr>
          <w:rFonts w:hint="default"/>
          <w:color w:val="auto"/>
        </w:rPr>
        <w:t>林下湿地型：在林下湿润的或积水洼地中活动，</w:t>
      </w:r>
      <w:r>
        <w:rPr>
          <w:rFonts w:hint="eastAsia"/>
          <w:color w:val="auto"/>
          <w:lang w:val="en-US" w:eastAsia="zh-CN"/>
        </w:rPr>
        <w:t>如</w:t>
      </w:r>
      <w:r>
        <w:rPr>
          <w:rFonts w:hint="default"/>
          <w:color w:val="auto"/>
        </w:rPr>
        <w:t>中华蟾蜍。</w:t>
      </w:r>
    </w:p>
    <w:p w14:paraId="57453DE9">
      <w:pPr>
        <w:bidi w:val="0"/>
        <w:rPr>
          <w:rFonts w:hint="default"/>
          <w:color w:val="auto"/>
        </w:rPr>
      </w:pPr>
      <w:r>
        <w:rPr>
          <w:rFonts w:hint="default"/>
          <w:color w:val="auto"/>
        </w:rPr>
        <w:t>灌林草型丛：喜好在池塘或积水洼地的草丛或灌林丛中活动，特别是雨后。一些两栖类在此栖息活动，代表动物有大树蛙等。</w:t>
      </w:r>
    </w:p>
    <w:p w14:paraId="051BB3E6">
      <w:pPr>
        <w:pStyle w:val="5"/>
        <w:bidi w:val="0"/>
        <w:rPr>
          <w:rFonts w:hint="default"/>
          <w:color w:val="auto"/>
          <w:lang w:val="en-US" w:eastAsia="zh-CN"/>
        </w:rPr>
      </w:pPr>
      <w:r>
        <w:rPr>
          <w:rFonts w:hint="eastAsia"/>
          <w:color w:val="auto"/>
          <w:lang w:val="en-US" w:eastAsia="zh-CN"/>
        </w:rPr>
        <w:t>爬行动物</w:t>
      </w:r>
    </w:p>
    <w:p w14:paraId="7120A1A3">
      <w:pPr>
        <w:bidi w:val="0"/>
        <w:rPr>
          <w:rFonts w:hint="default"/>
          <w:color w:val="auto"/>
        </w:rPr>
      </w:pPr>
      <w:r>
        <w:rPr>
          <w:rFonts w:hint="default"/>
          <w:color w:val="auto"/>
        </w:rPr>
        <w:fldChar w:fldCharType="begin"/>
      </w:r>
      <w:r>
        <w:rPr>
          <w:rFonts w:hint="default"/>
          <w:color w:val="auto"/>
        </w:rPr>
        <w:instrText xml:space="preserve"> = 1 \* GB3 </w:instrText>
      </w:r>
      <w:r>
        <w:rPr>
          <w:rFonts w:hint="default"/>
          <w:color w:val="auto"/>
        </w:rPr>
        <w:fldChar w:fldCharType="separate"/>
      </w:r>
      <w:r>
        <w:rPr>
          <w:rFonts w:hint="default"/>
          <w:color w:val="auto"/>
        </w:rPr>
        <w:t>①</w:t>
      </w:r>
      <w:r>
        <w:rPr>
          <w:rFonts w:hint="default"/>
          <w:color w:val="auto"/>
        </w:rPr>
        <w:fldChar w:fldCharType="end"/>
      </w:r>
      <w:r>
        <w:rPr>
          <w:rFonts w:hint="default"/>
          <w:color w:val="auto"/>
        </w:rPr>
        <w:t>种类组成</w:t>
      </w:r>
    </w:p>
    <w:p w14:paraId="032608BA">
      <w:pPr>
        <w:bidi w:val="0"/>
        <w:rPr>
          <w:rFonts w:hint="default" w:ascii="Times New Roman" w:hAnsi="Times New Roman" w:eastAsia="宋体" w:cs="Times New Roman"/>
          <w:color w:val="auto"/>
          <w:szCs w:val="24"/>
          <w:lang w:val="en-US"/>
        </w:rPr>
      </w:pPr>
      <w:r>
        <w:rPr>
          <w:rFonts w:hint="default"/>
          <w:color w:val="auto"/>
        </w:rPr>
        <w:t>评价区共调查到爬行动物3目5科28种，壁虎科</w:t>
      </w:r>
      <w:r>
        <w:rPr>
          <w:rFonts w:hint="eastAsia"/>
          <w:color w:val="auto"/>
          <w:lang w:eastAsia="zh-CN"/>
        </w:rPr>
        <w:t>、石龙子科、蜥蜴科、游蛇科、蝰科</w:t>
      </w:r>
      <w:r>
        <w:rPr>
          <w:rFonts w:hint="eastAsia"/>
          <w:color w:val="auto"/>
          <w:lang w:val="en-US" w:eastAsia="zh-CN"/>
        </w:rPr>
        <w:t>分别有1种、4种、1种、19种、3种，</w:t>
      </w:r>
      <w:r>
        <w:rPr>
          <w:rFonts w:hint="eastAsia"/>
          <w:color w:val="auto"/>
          <w:lang w:eastAsia="zh-CN"/>
        </w:rPr>
        <w:t>游蛇科</w:t>
      </w:r>
      <w:r>
        <w:rPr>
          <w:rFonts w:hint="eastAsia"/>
          <w:color w:val="auto"/>
          <w:lang w:val="en-US" w:eastAsia="zh-CN"/>
        </w:rPr>
        <w:t>物种是评价区爬行动物中的优势类群，占总种类数的67.86%</w:t>
      </w:r>
      <w:r>
        <w:rPr>
          <w:rFonts w:hint="eastAsia" w:ascii="Times New Roman" w:hAnsi="Times New Roman" w:eastAsia="宋体" w:cs="Times New Roman"/>
          <w:color w:val="auto"/>
          <w:szCs w:val="24"/>
          <w:lang w:val="en-US" w:eastAsia="zh-CN"/>
        </w:rPr>
        <w:t>。本次调查中，可见北草蜥（</w:t>
      </w:r>
      <w:r>
        <w:rPr>
          <w:rFonts w:hint="eastAsia" w:ascii="Times New Roman" w:hAnsi="Times New Roman" w:eastAsia="宋体" w:cs="Times New Roman"/>
          <w:i/>
          <w:iCs/>
          <w:color w:val="auto"/>
          <w:szCs w:val="24"/>
          <w:lang w:val="en-US" w:eastAsia="zh-CN"/>
        </w:rPr>
        <w:t>Takydromusseptentrionalis</w:t>
      </w:r>
      <w:r>
        <w:rPr>
          <w:rFonts w:hint="eastAsia" w:ascii="Times New Roman" w:hAnsi="Times New Roman" w:eastAsia="宋体" w:cs="Times New Roman"/>
          <w:color w:val="auto"/>
          <w:szCs w:val="24"/>
          <w:lang w:val="en-US" w:eastAsia="zh-CN"/>
        </w:rPr>
        <w:t>）、赤炼蛇（</w:t>
      </w:r>
      <w:r>
        <w:rPr>
          <w:rFonts w:hint="eastAsia" w:ascii="Times New Roman" w:hAnsi="Times New Roman" w:eastAsia="宋体" w:cs="Times New Roman"/>
          <w:i/>
          <w:iCs/>
          <w:color w:val="auto"/>
          <w:szCs w:val="24"/>
          <w:lang w:val="en-US" w:eastAsia="zh-CN"/>
        </w:rPr>
        <w:t>Dinodonrufozonatum</w:t>
      </w:r>
      <w:r>
        <w:rPr>
          <w:rFonts w:hint="eastAsia" w:ascii="Times New Roman" w:hAnsi="Times New Roman" w:eastAsia="宋体" w:cs="Times New Roman"/>
          <w:color w:val="auto"/>
          <w:szCs w:val="24"/>
          <w:lang w:val="en-US" w:eastAsia="zh-CN"/>
        </w:rPr>
        <w:t>）、虎斑颈槽蛇（Rhabdophistigrinus）、翠青蛇（</w:t>
      </w:r>
      <w:r>
        <w:rPr>
          <w:rFonts w:hint="eastAsia" w:ascii="Times New Roman" w:hAnsi="Times New Roman" w:eastAsia="宋体" w:cs="Times New Roman"/>
          <w:i/>
          <w:iCs/>
          <w:color w:val="auto"/>
          <w:szCs w:val="24"/>
          <w:lang w:val="en-US" w:eastAsia="zh-CN"/>
        </w:rPr>
        <w:t>Cyclophiopsmajor</w:t>
      </w:r>
      <w:r>
        <w:rPr>
          <w:rFonts w:hint="eastAsia" w:ascii="Times New Roman" w:hAnsi="Times New Roman" w:eastAsia="宋体" w:cs="Times New Roman"/>
          <w:color w:val="auto"/>
          <w:szCs w:val="24"/>
          <w:lang w:val="en-US" w:eastAsia="zh-CN"/>
        </w:rPr>
        <w:t>）分布，均为常见种类。评价区爬行动物名录见</w:t>
      </w:r>
      <w:r>
        <w:rPr>
          <w:rFonts w:hint="eastAsia" w:cs="Times New Roman"/>
          <w:color w:val="auto"/>
          <w:szCs w:val="24"/>
          <w:lang w:val="en-US" w:eastAsia="zh-CN"/>
        </w:rPr>
        <w:t>附表</w:t>
      </w:r>
      <w:r>
        <w:rPr>
          <w:rFonts w:hint="eastAsia" w:ascii="Times New Roman" w:hAnsi="Times New Roman" w:eastAsia="宋体" w:cs="Times New Roman"/>
          <w:color w:val="auto"/>
          <w:szCs w:val="24"/>
          <w:lang w:val="en-US" w:eastAsia="zh-CN"/>
        </w:rPr>
        <w:t>5。</w:t>
      </w:r>
    </w:p>
    <w:p w14:paraId="4063C81C">
      <w:pPr>
        <w:bidi w:val="0"/>
        <w:rPr>
          <w:rFonts w:hint="default"/>
          <w:color w:val="auto"/>
          <w:lang w:val="en-US" w:eastAsia="zh-CN"/>
        </w:rPr>
      </w:pPr>
      <w:r>
        <w:rPr>
          <w:rFonts w:hint="default"/>
          <w:color w:val="auto"/>
        </w:rPr>
        <w:t>评价区</w:t>
      </w:r>
      <w:r>
        <w:rPr>
          <w:rFonts w:hint="eastAsia"/>
          <w:color w:val="auto"/>
          <w:lang w:val="en-US" w:eastAsia="zh-CN"/>
        </w:rPr>
        <w:t>分布</w:t>
      </w:r>
      <w:r>
        <w:rPr>
          <w:rFonts w:hint="default"/>
          <w:color w:val="auto"/>
        </w:rPr>
        <w:t>爬行动物区系组成中，东洋型数量为</w:t>
      </w:r>
      <w:r>
        <w:rPr>
          <w:rFonts w:hint="eastAsia"/>
          <w:color w:val="auto"/>
          <w:lang w:val="en-US" w:eastAsia="zh-CN"/>
        </w:rPr>
        <w:t>21</w:t>
      </w:r>
      <w:r>
        <w:rPr>
          <w:rFonts w:hint="default"/>
          <w:color w:val="auto"/>
        </w:rPr>
        <w:t>种，占总数的75%；广布型7种，占总数的25%。</w:t>
      </w:r>
      <w:r>
        <w:rPr>
          <w:rFonts w:hint="eastAsia"/>
          <w:color w:val="auto"/>
          <w:lang w:val="en-US" w:eastAsia="zh-CN"/>
        </w:rPr>
        <w:t>东洋型爬行动物占绝对优势。</w:t>
      </w:r>
    </w:p>
    <w:p w14:paraId="5835F3DC">
      <w:pPr>
        <w:bidi w:val="0"/>
        <w:rPr>
          <w:rFonts w:hint="default" w:eastAsia="宋体"/>
          <w:color w:val="auto"/>
          <w:lang w:val="en-US" w:eastAsia="zh-CN"/>
        </w:rPr>
      </w:pPr>
      <w:r>
        <w:rPr>
          <w:rFonts w:hint="eastAsia"/>
          <w:color w:val="auto"/>
          <w:lang w:val="en-US" w:eastAsia="zh-CN"/>
        </w:rPr>
        <w:t>评价区无列入国家重点保护野生动物名录的爬行动物分布，有4种列入安徽省地方</w:t>
      </w:r>
      <w:r>
        <w:rPr>
          <w:rFonts w:hint="default"/>
          <w:color w:val="auto"/>
          <w:lang w:val="en-US" w:eastAsia="zh-CN"/>
        </w:rPr>
        <w:t>Ⅱ</w:t>
      </w:r>
      <w:r>
        <w:rPr>
          <w:rFonts w:hint="eastAsia"/>
          <w:color w:val="auto"/>
          <w:lang w:val="en-US" w:eastAsia="zh-CN"/>
        </w:rPr>
        <w:t>级保护</w:t>
      </w:r>
      <w:r>
        <w:rPr>
          <w:rFonts w:hint="eastAsia" w:ascii="Times New Roman" w:hAnsi="Times New Roman" w:eastAsia="宋体" w:cs="Times New Roman"/>
          <w:color w:val="auto"/>
          <w:szCs w:val="24"/>
          <w:lang w:val="en-US" w:eastAsia="zh-CN"/>
        </w:rPr>
        <w:t>：王锦蛇（</w:t>
      </w:r>
      <w:r>
        <w:rPr>
          <w:rFonts w:hint="eastAsia" w:ascii="Times New Roman" w:hAnsi="Times New Roman" w:eastAsia="宋体" w:cs="Times New Roman"/>
          <w:i/>
          <w:iCs/>
          <w:color w:val="auto"/>
          <w:szCs w:val="24"/>
          <w:lang w:val="en-US" w:eastAsia="zh-CN"/>
        </w:rPr>
        <w:t>Elaphecarinata</w:t>
      </w:r>
      <w:r>
        <w:rPr>
          <w:rFonts w:hint="eastAsia" w:ascii="Times New Roman" w:hAnsi="Times New Roman" w:eastAsia="宋体" w:cs="Times New Roman"/>
          <w:color w:val="auto"/>
          <w:szCs w:val="24"/>
          <w:lang w:val="en-US" w:eastAsia="zh-CN"/>
        </w:rPr>
        <w:t>）、黑眉锦蛇（</w:t>
      </w:r>
      <w:r>
        <w:rPr>
          <w:rFonts w:hint="eastAsia" w:ascii="Times New Roman" w:hAnsi="Times New Roman" w:eastAsia="宋体" w:cs="Times New Roman"/>
          <w:i/>
          <w:iCs/>
          <w:color w:val="auto"/>
          <w:szCs w:val="24"/>
          <w:lang w:val="en-US" w:eastAsia="zh-CN"/>
        </w:rPr>
        <w:t>Elaphetaeniura</w:t>
      </w:r>
      <w:r>
        <w:rPr>
          <w:rFonts w:hint="eastAsia" w:ascii="Times New Roman" w:hAnsi="Times New Roman" w:eastAsia="宋体" w:cs="Times New Roman"/>
          <w:color w:val="auto"/>
          <w:szCs w:val="24"/>
          <w:lang w:val="en-US" w:eastAsia="zh-CN"/>
        </w:rPr>
        <w:t>）、乌梢蛇（</w:t>
      </w:r>
      <w:r>
        <w:rPr>
          <w:rFonts w:hint="eastAsia" w:ascii="Times New Roman" w:hAnsi="Times New Roman" w:eastAsia="宋体" w:cs="Times New Roman"/>
          <w:i/>
          <w:iCs/>
          <w:color w:val="auto"/>
          <w:szCs w:val="24"/>
          <w:lang w:val="en-US" w:eastAsia="zh-CN"/>
        </w:rPr>
        <w:t>Zaocysdhumnades</w:t>
      </w:r>
      <w:r>
        <w:rPr>
          <w:rFonts w:hint="eastAsia" w:ascii="Times New Roman" w:hAnsi="Times New Roman" w:eastAsia="宋体" w:cs="Times New Roman"/>
          <w:color w:val="auto"/>
          <w:szCs w:val="24"/>
          <w:lang w:val="en-US" w:eastAsia="zh-CN"/>
        </w:rPr>
        <w:t>）、尖吻蝮（</w:t>
      </w:r>
      <w:r>
        <w:rPr>
          <w:rFonts w:hint="eastAsia" w:ascii="Times New Roman" w:hAnsi="Times New Roman" w:eastAsia="宋体" w:cs="Times New Roman"/>
          <w:i/>
          <w:iCs/>
          <w:color w:val="auto"/>
          <w:szCs w:val="24"/>
          <w:lang w:val="en-US" w:eastAsia="zh-CN"/>
        </w:rPr>
        <w:t>Deinagkistrodonacutus</w:t>
      </w:r>
      <w:r>
        <w:rPr>
          <w:rFonts w:hint="eastAsia" w:ascii="Times New Roman" w:hAnsi="Times New Roman" w:eastAsia="宋体" w:cs="Times New Roman"/>
          <w:color w:val="auto"/>
          <w:szCs w:val="24"/>
          <w:lang w:val="en-US" w:eastAsia="zh-CN"/>
        </w:rPr>
        <w:t>）</w:t>
      </w:r>
      <w:r>
        <w:rPr>
          <w:rFonts w:hint="default" w:ascii="Times New Roman" w:hAnsi="Times New Roman" w:eastAsia="宋体" w:cs="Times New Roman"/>
          <w:color w:val="auto"/>
          <w:szCs w:val="24"/>
        </w:rPr>
        <w:t>。</w:t>
      </w:r>
      <w:r>
        <w:rPr>
          <w:rFonts w:hint="eastAsia" w:ascii="Times New Roman" w:hAnsi="Times New Roman" w:eastAsia="宋体" w:cs="Times New Roman"/>
          <w:color w:val="auto"/>
          <w:szCs w:val="24"/>
          <w:lang w:val="en-US" w:eastAsia="zh-CN"/>
        </w:rPr>
        <w:t>本次调查中均未发现。</w:t>
      </w:r>
    </w:p>
    <w:p w14:paraId="2BCFCC51">
      <w:pPr>
        <w:bidi w:val="0"/>
        <w:rPr>
          <w:rFonts w:hint="default"/>
          <w:color w:val="auto"/>
        </w:rPr>
      </w:pPr>
      <w:r>
        <w:rPr>
          <w:rFonts w:hint="default"/>
          <w:color w:val="auto"/>
        </w:rPr>
        <w:fldChar w:fldCharType="begin"/>
      </w:r>
      <w:r>
        <w:rPr>
          <w:rFonts w:hint="default"/>
          <w:color w:val="auto"/>
        </w:rPr>
        <w:instrText xml:space="preserve"> = 2 \* GB3 </w:instrText>
      </w:r>
      <w:r>
        <w:rPr>
          <w:rFonts w:hint="default"/>
          <w:color w:val="auto"/>
        </w:rPr>
        <w:fldChar w:fldCharType="separate"/>
      </w:r>
      <w:r>
        <w:rPr>
          <w:rFonts w:hint="default"/>
          <w:color w:val="auto"/>
        </w:rPr>
        <w:t>②</w:t>
      </w:r>
      <w:r>
        <w:rPr>
          <w:rFonts w:hint="default"/>
          <w:color w:val="auto"/>
        </w:rPr>
        <w:fldChar w:fldCharType="end"/>
      </w:r>
      <w:r>
        <w:rPr>
          <w:rFonts w:hint="default"/>
          <w:color w:val="auto"/>
        </w:rPr>
        <w:t>生态类型</w:t>
      </w:r>
    </w:p>
    <w:p w14:paraId="6A1FA59A">
      <w:pPr>
        <w:bidi w:val="0"/>
        <w:rPr>
          <w:rFonts w:hint="eastAsia"/>
          <w:color w:val="auto"/>
          <w:lang w:eastAsia="zh-CN"/>
        </w:rPr>
      </w:pPr>
      <w:r>
        <w:rPr>
          <w:rFonts w:hint="default"/>
          <w:color w:val="auto"/>
        </w:rPr>
        <w:t>评价区的爬行动物，根据食性选择和生态来区分，可分为以下几种</w:t>
      </w:r>
      <w:r>
        <w:rPr>
          <w:rFonts w:hint="eastAsia"/>
          <w:color w:val="auto"/>
          <w:lang w:val="en-US" w:eastAsia="zh-CN"/>
        </w:rPr>
        <w:t>生态</w:t>
      </w:r>
      <w:r>
        <w:rPr>
          <w:rFonts w:hint="default"/>
          <w:color w:val="auto"/>
        </w:rPr>
        <w:t>类型</w:t>
      </w:r>
      <w:r>
        <w:rPr>
          <w:rFonts w:hint="eastAsia"/>
          <w:color w:val="auto"/>
          <w:lang w:eastAsia="zh-CN"/>
        </w:rPr>
        <w:t>：</w:t>
      </w:r>
    </w:p>
    <w:p w14:paraId="1EDFE0AC">
      <w:pPr>
        <w:bidi w:val="0"/>
        <w:rPr>
          <w:rFonts w:hint="default"/>
          <w:color w:val="auto"/>
        </w:rPr>
      </w:pPr>
      <w:r>
        <w:rPr>
          <w:rFonts w:hint="default"/>
          <w:color w:val="auto"/>
        </w:rPr>
        <w:t>村宅院落型：多以蛇类为主，多以鼠为食，在人类生活区周边活动，代表动物有乌梢蛇、壁虎类等。</w:t>
      </w:r>
    </w:p>
    <w:p w14:paraId="2E27BC65">
      <w:pPr>
        <w:bidi w:val="0"/>
        <w:rPr>
          <w:rFonts w:hint="default"/>
          <w:color w:val="auto"/>
        </w:rPr>
      </w:pPr>
      <w:r>
        <w:rPr>
          <w:rFonts w:hint="default"/>
          <w:color w:val="auto"/>
        </w:rPr>
        <w:t>农田草丛型：在沟渠、农田、水塘或积水洼地的草丛或灌木丛的蛇较多，代表动物有赤链蛇、短尾蝮等。</w:t>
      </w:r>
    </w:p>
    <w:p w14:paraId="1C006DAE">
      <w:pPr>
        <w:bidi w:val="0"/>
        <w:rPr>
          <w:rFonts w:hint="default"/>
          <w:color w:val="auto"/>
        </w:rPr>
      </w:pPr>
      <w:r>
        <w:rPr>
          <w:rFonts w:hint="default"/>
          <w:color w:val="auto"/>
        </w:rPr>
        <w:t>林地型：在丘陵或山地的林地、果园、茶园栖息活动，该爬行类的代表动物有王锦蛇、黑眉锦蛇等。</w:t>
      </w:r>
    </w:p>
    <w:p w14:paraId="294AB14B">
      <w:pPr>
        <w:bidi w:val="0"/>
        <w:rPr>
          <w:rFonts w:hint="default"/>
          <w:color w:val="auto"/>
        </w:rPr>
      </w:pPr>
      <w:r>
        <w:rPr>
          <w:rFonts w:hint="default"/>
          <w:color w:val="auto"/>
        </w:rPr>
        <w:t>水体类：多生活在静态水体中，代表动物有山溪后棱蛇。</w:t>
      </w:r>
    </w:p>
    <w:p w14:paraId="129A0756">
      <w:pPr>
        <w:pStyle w:val="4"/>
        <w:bidi w:val="0"/>
        <w:rPr>
          <w:rFonts w:hint="default"/>
          <w:color w:val="auto"/>
          <w:lang w:val="en-US" w:eastAsia="zh-CN"/>
        </w:rPr>
      </w:pPr>
      <w:bookmarkStart w:id="174" w:name="_Toc9483"/>
      <w:bookmarkStart w:id="175" w:name="_Toc14504"/>
      <w:r>
        <w:rPr>
          <w:rFonts w:hint="eastAsia"/>
          <w:color w:val="auto"/>
          <w:lang w:val="en-US" w:eastAsia="zh-CN"/>
        </w:rPr>
        <w:t>小结</w:t>
      </w:r>
      <w:bookmarkEnd w:id="174"/>
      <w:bookmarkEnd w:id="175"/>
    </w:p>
    <w:p w14:paraId="66BD5A62">
      <w:pPr>
        <w:bidi w:val="0"/>
        <w:rPr>
          <w:rFonts w:hint="default"/>
          <w:color w:val="auto"/>
          <w:lang w:val="en-US" w:eastAsia="zh-CN"/>
        </w:rPr>
      </w:pPr>
      <w:r>
        <w:rPr>
          <w:rFonts w:hint="eastAsia"/>
          <w:color w:val="auto"/>
          <w:lang w:val="en-US" w:eastAsia="zh-CN"/>
        </w:rPr>
        <w:t>本项目生态影响</w:t>
      </w:r>
      <w:r>
        <w:rPr>
          <w:rFonts w:hint="default"/>
          <w:color w:val="auto"/>
          <w:lang w:val="en-US" w:eastAsia="zh-CN"/>
        </w:rPr>
        <w:t>评价等级为二级</w:t>
      </w:r>
      <w:r>
        <w:rPr>
          <w:rFonts w:hint="eastAsia"/>
          <w:color w:val="auto"/>
          <w:lang w:val="en-US" w:eastAsia="zh-CN"/>
        </w:rPr>
        <w:t>。本项目</w:t>
      </w:r>
      <w:r>
        <w:rPr>
          <w:rFonts w:hint="default"/>
          <w:color w:val="auto"/>
          <w:lang w:val="en-US" w:eastAsia="zh-CN"/>
        </w:rPr>
        <w:t>生态现状调查</w:t>
      </w:r>
      <w:r>
        <w:rPr>
          <w:rFonts w:hint="eastAsia"/>
          <w:color w:val="auto"/>
          <w:lang w:val="en-US" w:eastAsia="zh-CN"/>
        </w:rPr>
        <w:t>内容主要包括</w:t>
      </w:r>
      <w:r>
        <w:rPr>
          <w:rFonts w:hint="default"/>
          <w:color w:val="auto"/>
          <w:lang w:val="en-US" w:eastAsia="zh-CN"/>
        </w:rPr>
        <w:t>陆生生态现状调查</w:t>
      </w:r>
      <w:r>
        <w:rPr>
          <w:rFonts w:hint="eastAsia"/>
          <w:color w:val="auto"/>
          <w:lang w:val="en-US" w:eastAsia="zh-CN"/>
        </w:rPr>
        <w:t>、</w:t>
      </w:r>
      <w:r>
        <w:rPr>
          <w:rFonts w:hint="default"/>
          <w:color w:val="auto"/>
          <w:lang w:val="en-US" w:eastAsia="zh-CN"/>
        </w:rPr>
        <w:t>区域存在的主要生态问题</w:t>
      </w:r>
      <w:r>
        <w:rPr>
          <w:rFonts w:hint="eastAsia"/>
          <w:color w:val="auto"/>
          <w:lang w:val="en-US" w:eastAsia="zh-CN"/>
        </w:rPr>
        <w:t>等，二级评价区域的生态现状调查包括</w:t>
      </w:r>
      <w:r>
        <w:rPr>
          <w:rFonts w:hint="default"/>
          <w:color w:val="auto"/>
          <w:lang w:val="en-US" w:eastAsia="zh-CN"/>
        </w:rPr>
        <w:t>植物样方</w:t>
      </w:r>
      <w:r>
        <w:rPr>
          <w:rFonts w:hint="eastAsia"/>
          <w:color w:val="auto"/>
          <w:lang w:val="en-US" w:eastAsia="zh-CN"/>
        </w:rPr>
        <w:t>调查、</w:t>
      </w:r>
      <w:r>
        <w:rPr>
          <w:rFonts w:hint="default"/>
          <w:color w:val="auto"/>
          <w:lang w:val="en-US" w:eastAsia="zh-CN"/>
        </w:rPr>
        <w:t>野生动物调查样线</w:t>
      </w:r>
      <w:r>
        <w:rPr>
          <w:rFonts w:hint="eastAsia"/>
          <w:color w:val="auto"/>
          <w:lang w:val="en-US" w:eastAsia="zh-CN"/>
        </w:rPr>
        <w:t>等。</w:t>
      </w:r>
    </w:p>
    <w:p w14:paraId="22B6E913">
      <w:pPr>
        <w:bidi w:val="0"/>
        <w:rPr>
          <w:rFonts w:hint="eastAsia"/>
          <w:color w:val="auto"/>
          <w:lang w:val="en-US" w:eastAsia="zh-CN"/>
        </w:rPr>
      </w:pPr>
      <w:r>
        <w:rPr>
          <w:rFonts w:hint="default"/>
          <w:color w:val="auto"/>
        </w:rPr>
        <w:t>本项目主体功能分区属</w:t>
      </w:r>
      <w:r>
        <w:rPr>
          <w:rFonts w:hint="eastAsia"/>
          <w:color w:val="auto"/>
          <w:lang w:val="en-US" w:eastAsia="zh-CN"/>
        </w:rPr>
        <w:t>省级重点生态功能区</w:t>
      </w:r>
      <w:r>
        <w:rPr>
          <w:rFonts w:hint="default"/>
          <w:color w:val="auto"/>
        </w:rPr>
        <w:t>，项目建设符合分区功能定位、发展方向，不违背管制原则，不</w:t>
      </w:r>
      <w:r>
        <w:rPr>
          <w:rFonts w:hint="eastAsia"/>
          <w:color w:val="auto"/>
          <w:lang w:val="en-US" w:eastAsia="zh-CN"/>
        </w:rPr>
        <w:t>涉及</w:t>
      </w:r>
      <w:r>
        <w:rPr>
          <w:rFonts w:hint="default"/>
          <w:color w:val="auto"/>
        </w:rPr>
        <w:t>禁止开发区域。</w:t>
      </w:r>
      <w:r>
        <w:rPr>
          <w:rFonts w:hint="eastAsia"/>
          <w:color w:val="auto"/>
          <w:lang w:val="en-US" w:eastAsia="zh-CN"/>
        </w:rPr>
        <w:t>生态功能分区属“Ⅳ2-2安庆-铜陵沿江湿地生态保护生态功能区”，本项目的建设不会加重土壤侵蚀、河床淤塞抬高，洪水渲泻和调蓄能力弱、旱涝灾害频繁等</w:t>
      </w:r>
      <w:r>
        <w:rPr>
          <w:rFonts w:hint="eastAsia"/>
          <w:color w:val="auto"/>
        </w:rPr>
        <w:t>安庆</w:t>
      </w:r>
      <w:r>
        <w:rPr>
          <w:color w:val="auto"/>
        </w:rPr>
        <w:t>-</w:t>
      </w:r>
      <w:r>
        <w:rPr>
          <w:rFonts w:hint="eastAsia"/>
          <w:color w:val="auto"/>
        </w:rPr>
        <w:t>铜陵沿江湿地生态保护生态功能区</w:t>
      </w:r>
      <w:r>
        <w:rPr>
          <w:rFonts w:hint="eastAsia"/>
          <w:color w:val="auto"/>
          <w:lang w:val="en-US" w:eastAsia="zh-CN"/>
        </w:rPr>
        <w:t>的主要生态问题，不违背</w:t>
      </w:r>
      <w:r>
        <w:rPr>
          <w:rFonts w:hint="eastAsia"/>
          <w:color w:val="auto"/>
        </w:rPr>
        <w:t>安庆</w:t>
      </w:r>
      <w:r>
        <w:rPr>
          <w:color w:val="auto"/>
        </w:rPr>
        <w:t>-</w:t>
      </w:r>
      <w:r>
        <w:rPr>
          <w:rFonts w:hint="eastAsia"/>
          <w:color w:val="auto"/>
        </w:rPr>
        <w:t>铜陵沿江湿地生态保护生态功能区</w:t>
      </w:r>
      <w:r>
        <w:rPr>
          <w:rFonts w:hint="eastAsia"/>
          <w:color w:val="auto"/>
          <w:lang w:val="en-US" w:eastAsia="zh-CN"/>
        </w:rPr>
        <w:t>的发展方向。</w:t>
      </w:r>
    </w:p>
    <w:p w14:paraId="4F8B5D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lang w:val="en-US" w:eastAsia="zh-CN"/>
        </w:rPr>
        <w:t>本项目位于</w:t>
      </w:r>
      <w:r>
        <w:rPr>
          <w:rFonts w:hint="eastAsia" w:cs="Times New Roman"/>
          <w:color w:val="auto"/>
          <w:sz w:val="24"/>
          <w:lang w:val="en-US" w:eastAsia="zh-CN"/>
        </w:rPr>
        <w:t>涓桥镇</w:t>
      </w:r>
      <w:r>
        <w:rPr>
          <w:rFonts w:hint="eastAsia" w:ascii="Times New Roman" w:hAnsi="Times New Roman" w:eastAsia="宋体" w:cs="Times New Roman"/>
          <w:color w:val="auto"/>
          <w:sz w:val="24"/>
          <w:lang w:val="en-US" w:eastAsia="zh-CN"/>
        </w:rPr>
        <w:t>，评价区及周边区域内开发历史久远、人类活动频繁，原有的森林植被呈现为过度利用，许多森林植被已演变成人工栽培植被及少量次生灌丛、草丛植被。评价区最主要生态系统类型为</w:t>
      </w:r>
      <w:r>
        <w:rPr>
          <w:rFonts w:hint="eastAsia" w:cs="Times New Roman"/>
          <w:color w:val="auto"/>
          <w:sz w:val="24"/>
          <w:lang w:val="en-US" w:eastAsia="zh-CN"/>
        </w:rPr>
        <w:t>森林</w:t>
      </w:r>
      <w:r>
        <w:rPr>
          <w:rFonts w:hint="eastAsia" w:ascii="Times New Roman" w:hAnsi="Times New Roman" w:eastAsia="宋体" w:cs="Times New Roman"/>
          <w:color w:val="auto"/>
          <w:sz w:val="24"/>
          <w:lang w:val="en-US" w:eastAsia="zh-CN"/>
        </w:rPr>
        <w:t>生态系统，</w:t>
      </w:r>
      <w:r>
        <w:rPr>
          <w:rFonts w:hint="eastAsia" w:ascii="Times New Roman" w:hAnsi="Times New Roman" w:eastAsia="宋体" w:cs="Times New Roman"/>
          <w:color w:val="auto"/>
          <w:sz w:val="24"/>
          <w:lang w:val="zh-CN" w:eastAsia="zh-CN"/>
        </w:rPr>
        <w:t>最主要的土地利用类型为</w:t>
      </w:r>
      <w:r>
        <w:rPr>
          <w:rFonts w:hint="eastAsia" w:cs="Times New Roman"/>
          <w:color w:val="auto"/>
          <w:sz w:val="24"/>
          <w:lang w:val="en-US" w:eastAsia="zh-CN"/>
        </w:rPr>
        <w:t>林</w:t>
      </w:r>
      <w:r>
        <w:rPr>
          <w:rFonts w:hint="eastAsia" w:ascii="Times New Roman" w:hAnsi="Times New Roman" w:eastAsia="宋体" w:cs="Times New Roman"/>
          <w:color w:val="auto"/>
          <w:sz w:val="24"/>
          <w:lang w:val="zh-CN" w:eastAsia="zh-CN"/>
        </w:rPr>
        <w:t>地，</w:t>
      </w:r>
      <w:r>
        <w:rPr>
          <w:rFonts w:hint="default" w:ascii="Times New Roman" w:hAnsi="Times New Roman" w:eastAsia="宋体" w:cs="Times New Roman"/>
          <w:color w:val="auto"/>
          <w:sz w:val="24"/>
          <w:szCs w:val="24"/>
          <w:lang w:val="en-US" w:eastAsia="zh-CN"/>
        </w:rPr>
        <w:t>其次为</w:t>
      </w:r>
      <w:r>
        <w:rPr>
          <w:rFonts w:hint="eastAsia" w:cs="Times New Roman"/>
          <w:color w:val="auto"/>
          <w:sz w:val="24"/>
          <w:szCs w:val="24"/>
          <w:lang w:val="en-US" w:eastAsia="zh-CN"/>
        </w:rPr>
        <w:t>耕</w:t>
      </w:r>
      <w:r>
        <w:rPr>
          <w:rFonts w:hint="eastAsia" w:ascii="Times New Roman" w:hAnsi="Times New Roman" w:eastAsia="宋体" w:cs="Times New Roman"/>
          <w:color w:val="auto"/>
          <w:sz w:val="24"/>
          <w:szCs w:val="24"/>
          <w:lang w:val="en-US" w:eastAsia="zh-CN"/>
        </w:rPr>
        <w:t>地、</w:t>
      </w:r>
      <w:r>
        <w:rPr>
          <w:rFonts w:hint="default" w:ascii="Times New Roman" w:hAnsi="Times New Roman" w:eastAsia="宋体" w:cs="Times New Roman"/>
          <w:color w:val="auto"/>
          <w:sz w:val="24"/>
          <w:szCs w:val="24"/>
          <w:lang w:val="en-US" w:eastAsia="zh-CN"/>
        </w:rPr>
        <w:t>水域</w:t>
      </w:r>
      <w:r>
        <w:rPr>
          <w:rFonts w:hint="eastAsia" w:ascii="Times New Roman" w:hAnsi="Times New Roman" w:eastAsia="宋体" w:cs="Times New Roman"/>
          <w:color w:val="auto"/>
          <w:sz w:val="24"/>
          <w:szCs w:val="24"/>
          <w:lang w:val="en-US" w:eastAsia="zh-CN"/>
        </w:rPr>
        <w:t>及水利设施用地</w:t>
      </w:r>
      <w:r>
        <w:rPr>
          <w:rFonts w:hint="default" w:ascii="Times New Roman" w:hAnsi="Times New Roman" w:eastAsia="宋体" w:cs="Times New Roman"/>
          <w:color w:val="auto"/>
          <w:sz w:val="24"/>
          <w:szCs w:val="24"/>
          <w:lang w:val="en-US" w:eastAsia="zh-CN"/>
        </w:rPr>
        <w:t>。</w:t>
      </w:r>
    </w:p>
    <w:p w14:paraId="43949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szCs w:val="24"/>
          <w:lang w:val="en-US" w:eastAsia="zh-CN"/>
        </w:rPr>
        <w:t>评价区</w:t>
      </w:r>
      <w:r>
        <w:rPr>
          <w:rFonts w:hint="default" w:ascii="Times New Roman" w:hAnsi="Times New Roman" w:eastAsia="宋体" w:cs="Times New Roman"/>
          <w:color w:val="auto"/>
          <w:sz w:val="24"/>
          <w:szCs w:val="24"/>
        </w:rPr>
        <w:t>分布的动</w:t>
      </w:r>
      <w:r>
        <w:rPr>
          <w:rFonts w:hint="eastAsia" w:ascii="Times New Roman" w:hAnsi="Times New Roman" w:eastAsia="宋体" w:cs="Times New Roman"/>
          <w:color w:val="auto"/>
          <w:sz w:val="24"/>
          <w:szCs w:val="24"/>
          <w:lang w:val="en-US" w:eastAsia="zh-CN"/>
        </w:rPr>
        <w:t>植</w:t>
      </w:r>
      <w:r>
        <w:rPr>
          <w:rFonts w:hint="default" w:ascii="Times New Roman" w:hAnsi="Times New Roman" w:eastAsia="宋体" w:cs="Times New Roman"/>
          <w:color w:val="auto"/>
          <w:sz w:val="24"/>
          <w:szCs w:val="24"/>
        </w:rPr>
        <w:t>物种类基本是本地区常见种类。本</w:t>
      </w:r>
      <w:r>
        <w:rPr>
          <w:rFonts w:hint="eastAsia" w:ascii="Times New Roman" w:hAnsi="Times New Roman" w:eastAsia="宋体" w:cs="Times New Roman"/>
          <w:color w:val="auto"/>
          <w:sz w:val="24"/>
          <w:szCs w:val="24"/>
          <w:lang w:val="en-US" w:eastAsia="zh-CN"/>
        </w:rPr>
        <w:t>区域</w:t>
      </w:r>
      <w:r>
        <w:rPr>
          <w:rFonts w:hint="default" w:ascii="Times New Roman" w:hAnsi="Times New Roman" w:eastAsia="宋体" w:cs="Times New Roman"/>
          <w:color w:val="auto"/>
          <w:sz w:val="24"/>
          <w:szCs w:val="24"/>
        </w:rPr>
        <w:t>长期受人类活动的影响，自然植被仅存于交通不便的山区，在平原、低丘和盆地都已被农业植被、灌丛和草丛，以及用材林、经济林和茶园所代替。评价区植被覆盖度整体呈</w:t>
      </w:r>
      <w:r>
        <w:rPr>
          <w:rFonts w:hint="eastAsia" w:cs="Times New Roman"/>
          <w:color w:val="auto"/>
          <w:sz w:val="24"/>
          <w:szCs w:val="24"/>
          <w:lang w:val="en-US" w:eastAsia="zh-CN"/>
        </w:rPr>
        <w:t>高</w:t>
      </w:r>
      <w:r>
        <w:rPr>
          <w:rFonts w:hint="default" w:ascii="Times New Roman" w:hAnsi="Times New Roman" w:eastAsia="宋体" w:cs="Times New Roman"/>
          <w:color w:val="auto"/>
          <w:sz w:val="24"/>
          <w:szCs w:val="24"/>
        </w:rPr>
        <w:t>覆盖度</w:t>
      </w:r>
      <w:r>
        <w:rPr>
          <w:rFonts w:hint="eastAsia" w:ascii="Times New Roman" w:hAnsi="Times New Roman" w:eastAsia="宋体" w:cs="Times New Roman"/>
          <w:color w:val="auto"/>
          <w:sz w:val="24"/>
          <w:szCs w:val="24"/>
          <w:lang w:eastAsia="zh-CN"/>
        </w:rPr>
        <w:t>。分布最广泛的植被类型为</w:t>
      </w:r>
      <w:r>
        <w:rPr>
          <w:rFonts w:hint="eastAsia" w:cs="Times New Roman"/>
          <w:color w:val="auto"/>
          <w:sz w:val="24"/>
          <w:szCs w:val="24"/>
          <w:lang w:val="en-US" w:eastAsia="zh-CN"/>
        </w:rPr>
        <w:t>乔木林</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分布的野生动物以</w:t>
      </w:r>
      <w:r>
        <w:rPr>
          <w:rFonts w:hint="default" w:ascii="Times New Roman" w:hAnsi="Times New Roman" w:eastAsia="宋体" w:cs="Times New Roman"/>
          <w:color w:val="auto"/>
          <w:sz w:val="24"/>
          <w:szCs w:val="24"/>
        </w:rPr>
        <w:t>鸟类</w:t>
      </w:r>
      <w:r>
        <w:rPr>
          <w:rFonts w:hint="eastAsia" w:ascii="Times New Roman" w:hAnsi="Times New Roman" w:eastAsia="宋体" w:cs="Times New Roman"/>
          <w:color w:val="auto"/>
          <w:sz w:val="24"/>
          <w:szCs w:val="24"/>
          <w:lang w:val="en-US" w:eastAsia="zh-CN"/>
        </w:rPr>
        <w:t>为主</w:t>
      </w:r>
      <w:r>
        <w:rPr>
          <w:rFonts w:hint="default" w:ascii="Times New Roman" w:hAnsi="Times New Roman" w:eastAsia="宋体" w:cs="Times New Roman"/>
          <w:color w:val="auto"/>
          <w:sz w:val="24"/>
          <w:szCs w:val="24"/>
        </w:rPr>
        <w:t>，哺乳动物、两栖爬行动物和</w:t>
      </w:r>
      <w:r>
        <w:rPr>
          <w:rFonts w:hint="eastAsia" w:ascii="Times New Roman" w:hAnsi="Times New Roman" w:eastAsia="宋体" w:cs="Times New Roman"/>
          <w:color w:val="auto"/>
          <w:sz w:val="24"/>
          <w:szCs w:val="24"/>
          <w:lang w:val="en-US" w:eastAsia="zh-CN"/>
        </w:rPr>
        <w:t>水生生物种类</w:t>
      </w:r>
      <w:r>
        <w:rPr>
          <w:rFonts w:hint="default" w:ascii="Times New Roman" w:hAnsi="Times New Roman" w:eastAsia="宋体" w:cs="Times New Roman"/>
          <w:color w:val="auto"/>
          <w:sz w:val="24"/>
          <w:szCs w:val="24"/>
        </w:rPr>
        <w:t>较少。</w:t>
      </w:r>
    </w:p>
    <w:p w14:paraId="247838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lang w:val="en-US" w:eastAsia="zh-CN"/>
        </w:rPr>
        <w:t>综上，评价区</w:t>
      </w:r>
      <w:r>
        <w:rPr>
          <w:rFonts w:hint="eastAsia" w:ascii="Times New Roman" w:hAnsi="Times New Roman" w:eastAsia="宋体" w:cs="Times New Roman"/>
          <w:color w:val="auto"/>
          <w:sz w:val="24"/>
          <w:lang w:val="zh-CN" w:eastAsia="zh-CN"/>
        </w:rPr>
        <w:t>生态环境现状基本良好，生态系统层次结构仍基本保持完整，组成各生态系统各因子的匹配与协调性以及生物链的完整性依然存在，从现场调查结果看，</w:t>
      </w:r>
      <w:r>
        <w:rPr>
          <w:rFonts w:hint="eastAsia" w:ascii="Times New Roman" w:hAnsi="Times New Roman" w:eastAsia="宋体" w:cs="Times New Roman"/>
          <w:color w:val="auto"/>
          <w:sz w:val="24"/>
          <w:lang w:val="en-US" w:eastAsia="zh-CN"/>
        </w:rPr>
        <w:t>工程两侧区域内以耕地、人工林和建设用地占主要成分，</w:t>
      </w:r>
      <w:r>
        <w:rPr>
          <w:rFonts w:hint="eastAsia" w:ascii="Times New Roman" w:hAnsi="Times New Roman" w:eastAsia="宋体" w:cs="Times New Roman"/>
          <w:color w:val="auto"/>
          <w:sz w:val="24"/>
          <w:lang w:val="zh-CN" w:eastAsia="zh-CN"/>
        </w:rPr>
        <w:t>生态系统处于亚稳定状态，恢复势能较强。在本项目实施过程中应加强关于水土保持、生态环境保护与恢复的管理与监督、落实各项水土保持、生态环境保护与恢复的措施。</w:t>
      </w:r>
    </w:p>
    <w:p w14:paraId="0DC2EDFC">
      <w:pPr>
        <w:bidi w:val="0"/>
        <w:rPr>
          <w:color w:val="auto"/>
        </w:rPr>
      </w:pPr>
    </w:p>
    <w:p w14:paraId="493D1E88">
      <w:pPr>
        <w:bidi w:val="0"/>
        <w:rPr>
          <w:color w:val="auto"/>
        </w:rPr>
        <w:sectPr>
          <w:pgSz w:w="11906" w:h="16838"/>
          <w:pgMar w:top="1417" w:right="1417" w:bottom="1417" w:left="1417" w:header="851" w:footer="992" w:gutter="0"/>
          <w:pgBorders>
            <w:top w:val="none" w:sz="0" w:space="0"/>
            <w:left w:val="none" w:sz="0" w:space="0"/>
            <w:bottom w:val="none" w:sz="0" w:space="0"/>
            <w:right w:val="none" w:sz="0" w:space="0"/>
          </w:pgBorders>
          <w:pgNumType w:fmt="upperRoman"/>
          <w:cols w:space="425" w:num="1"/>
          <w:docGrid w:type="lines" w:linePitch="312" w:charSpace="0"/>
        </w:sectPr>
      </w:pPr>
    </w:p>
    <w:p w14:paraId="20E86D25">
      <w:pPr>
        <w:pStyle w:val="2"/>
        <w:bidi w:val="0"/>
        <w:rPr>
          <w:rFonts w:hint="eastAsia"/>
          <w:color w:val="auto"/>
          <w:lang w:val="zh-CN" w:eastAsia="zh-CN"/>
        </w:rPr>
      </w:pPr>
      <w:bookmarkStart w:id="176" w:name="_Toc3551"/>
      <w:r>
        <w:rPr>
          <w:rFonts w:hint="eastAsia"/>
          <w:color w:val="auto"/>
          <w:lang w:val="zh-CN" w:eastAsia="zh-CN"/>
        </w:rPr>
        <w:t>环境影响预测与评价</w:t>
      </w:r>
      <w:bookmarkEnd w:id="176"/>
    </w:p>
    <w:p w14:paraId="792E21D3">
      <w:pPr>
        <w:pStyle w:val="3"/>
        <w:bidi w:val="0"/>
        <w:ind w:left="480" w:leftChars="0" w:firstLineChars="0"/>
        <w:rPr>
          <w:rFonts w:hint="eastAsia"/>
          <w:color w:val="auto"/>
          <w:lang w:val="zh-CN" w:eastAsia="zh-CN"/>
        </w:rPr>
      </w:pPr>
      <w:bookmarkStart w:id="177" w:name="_Toc7693"/>
      <w:bookmarkStart w:id="178" w:name="_Toc25670"/>
      <w:r>
        <w:rPr>
          <w:rFonts w:hint="eastAsia"/>
          <w:color w:val="auto"/>
          <w:lang w:val="en-US" w:eastAsia="zh-CN"/>
        </w:rPr>
        <w:t>施工期环境影响预测与评价</w:t>
      </w:r>
      <w:bookmarkEnd w:id="177"/>
      <w:bookmarkEnd w:id="178"/>
    </w:p>
    <w:p w14:paraId="1232BB73">
      <w:pPr>
        <w:pStyle w:val="4"/>
        <w:bidi w:val="0"/>
        <w:rPr>
          <w:rFonts w:hint="eastAsia"/>
          <w:color w:val="auto"/>
          <w:lang w:val="zh-CN" w:eastAsia="zh-CN"/>
        </w:rPr>
      </w:pPr>
      <w:bookmarkStart w:id="179" w:name="_Toc28573"/>
      <w:r>
        <w:rPr>
          <w:rFonts w:hint="eastAsia"/>
          <w:color w:val="auto"/>
          <w:lang w:val="en-US" w:eastAsia="zh-CN"/>
        </w:rPr>
        <w:t>施工期</w:t>
      </w:r>
      <w:r>
        <w:rPr>
          <w:rFonts w:hint="eastAsia"/>
          <w:color w:val="auto"/>
          <w:lang w:val="zh-CN" w:eastAsia="zh-CN"/>
        </w:rPr>
        <w:t>地表水环境影响预测和评价</w:t>
      </w:r>
      <w:bookmarkEnd w:id="179"/>
    </w:p>
    <w:p w14:paraId="1938E70D">
      <w:pPr>
        <w:bidi w:val="0"/>
        <w:rPr>
          <w:rFonts w:hint="eastAsia"/>
          <w:color w:val="auto"/>
          <w:lang w:val="zh-CN" w:eastAsia="zh-CN"/>
        </w:rPr>
      </w:pPr>
      <w:r>
        <w:rPr>
          <w:rFonts w:hint="eastAsia"/>
          <w:color w:val="auto"/>
          <w:lang w:val="zh-CN" w:eastAsia="zh-CN"/>
        </w:rPr>
        <w:t>工程施工期对地表水环境的影响主要是施工废水及生活污水。本工程施工废水主要为施工车辆、设备冲洗废水</w:t>
      </w:r>
      <w:r>
        <w:rPr>
          <w:rFonts w:hint="eastAsia"/>
          <w:color w:val="auto"/>
          <w:lang w:val="en-US" w:eastAsia="zh-CN"/>
        </w:rPr>
        <w:t>及</w:t>
      </w:r>
      <w:r>
        <w:rPr>
          <w:rFonts w:hint="eastAsia"/>
          <w:color w:val="auto"/>
          <w:lang w:val="zh-CN" w:eastAsia="zh-CN"/>
        </w:rPr>
        <w:t>开挖过程坑槽排水。生活污水主要来自工程施工期间施工人员日常生活产生的废水。</w:t>
      </w:r>
    </w:p>
    <w:p w14:paraId="12147196">
      <w:pPr>
        <w:pStyle w:val="5"/>
        <w:bidi w:val="0"/>
        <w:rPr>
          <w:rFonts w:hint="eastAsia"/>
          <w:color w:val="auto"/>
          <w:lang w:val="zh-CN" w:eastAsia="zh-CN"/>
        </w:rPr>
      </w:pPr>
      <w:r>
        <w:rPr>
          <w:rFonts w:hint="eastAsia"/>
          <w:color w:val="auto"/>
          <w:lang w:val="zh-CN" w:eastAsia="zh-CN"/>
        </w:rPr>
        <w:t>施工废水对水环境影响分析</w:t>
      </w:r>
    </w:p>
    <w:p w14:paraId="5929C034">
      <w:pPr>
        <w:bidi w:val="0"/>
        <w:rPr>
          <w:rFonts w:hint="eastAsia"/>
          <w:color w:val="auto"/>
          <w:lang w:val="zh-CN" w:eastAsia="zh-CN"/>
        </w:rPr>
      </w:pPr>
      <w:r>
        <w:rPr>
          <w:rFonts w:hint="eastAsia"/>
          <w:color w:val="auto"/>
          <w:lang w:val="zh-CN" w:eastAsia="zh-CN"/>
        </w:rPr>
        <w:t>本工程有挖掘机、推土机、自卸汽车等施工设备，本项目施工不设施工机械大修点，仅日常保养，需维修的机械设备外协解决。施工机械设备运转和施工会产生含石油类较高的废水，主要污染物为COD、石油类和SS。含油废水若随意排放，会降低土壤肥力，改变土壤结构，不利于施工场地恢复；若直接排放至附近河段，在水体表面形成油膜，使水中溶解氧难以补充，影响施工河段水质。</w:t>
      </w:r>
    </w:p>
    <w:p w14:paraId="3BC4789D">
      <w:pPr>
        <w:bidi w:val="0"/>
        <w:rPr>
          <w:rFonts w:hint="eastAsia"/>
          <w:color w:val="auto"/>
          <w:lang w:val="zh-CN" w:eastAsia="zh-CN"/>
        </w:rPr>
      </w:pPr>
      <w:r>
        <w:rPr>
          <w:rFonts w:hint="eastAsia"/>
          <w:color w:val="auto"/>
          <w:lang w:val="zh-CN" w:eastAsia="zh-CN"/>
        </w:rPr>
        <w:t>施工机械集中清洗场所设置隔油池，使用油水分离器进行含油废水的处理，达标后回用，不外排。隔油池定期清理。由于机械冲洗废水中可能含有一定量的泥沙，因此在隔油池前设置，对大颗粒泥沙进行沉淀去除，沉淀池采用砖混结构。在此基础上，施工含油废水对水环境影响较小。</w:t>
      </w:r>
    </w:p>
    <w:p w14:paraId="680D2D20">
      <w:pPr>
        <w:pStyle w:val="5"/>
        <w:bidi w:val="0"/>
        <w:rPr>
          <w:rFonts w:hint="eastAsia"/>
          <w:color w:val="auto"/>
          <w:lang w:val="zh-CN" w:eastAsia="zh-CN"/>
        </w:rPr>
      </w:pPr>
      <w:r>
        <w:rPr>
          <w:rFonts w:hint="eastAsia"/>
          <w:color w:val="auto"/>
          <w:lang w:val="zh-CN" w:eastAsia="zh-CN"/>
        </w:rPr>
        <w:t>施工生活废水环境影响分析</w:t>
      </w:r>
    </w:p>
    <w:p w14:paraId="11F389C4">
      <w:pPr>
        <w:bidi w:val="0"/>
        <w:rPr>
          <w:rFonts w:hint="eastAsia"/>
          <w:color w:val="auto"/>
          <w:lang w:val="zh-CN" w:eastAsia="zh-CN"/>
        </w:rPr>
      </w:pPr>
      <w:r>
        <w:rPr>
          <w:rFonts w:hint="eastAsia"/>
          <w:color w:val="auto"/>
          <w:lang w:val="zh-CN" w:eastAsia="zh-CN"/>
        </w:rPr>
        <w:t>本项目施工人员住宿通过就近租住民宅解决，生活污水主要考虑来自施工人员产生日常生活废水。根据工程分析，本工程施工期高峰生活用水量为</w:t>
      </w:r>
      <w:r>
        <w:rPr>
          <w:rFonts w:hint="eastAsia"/>
          <w:color w:val="auto"/>
          <w:lang w:val="en-US" w:eastAsia="zh-CN"/>
        </w:rPr>
        <w:t>1</w:t>
      </w:r>
      <w:r>
        <w:rPr>
          <w:rFonts w:hint="eastAsia"/>
          <w:color w:val="auto"/>
          <w:lang w:val="zh-CN" w:eastAsia="zh-CN"/>
        </w:rPr>
        <w:t>0.0m</w:t>
      </w:r>
      <w:r>
        <w:rPr>
          <w:rFonts w:hint="eastAsia"/>
          <w:color w:val="auto"/>
          <w:vertAlign w:val="superscript"/>
          <w:lang w:val="zh-CN" w:eastAsia="zh-CN"/>
        </w:rPr>
        <w:t>3</w:t>
      </w:r>
      <w:r>
        <w:rPr>
          <w:rFonts w:hint="eastAsia"/>
          <w:color w:val="auto"/>
          <w:lang w:val="zh-CN" w:eastAsia="zh-CN"/>
        </w:rPr>
        <w:t>/d，生活污水为</w:t>
      </w:r>
      <w:r>
        <w:rPr>
          <w:rFonts w:hint="eastAsia"/>
          <w:color w:val="auto"/>
          <w:lang w:val="en-US" w:eastAsia="zh-CN"/>
        </w:rPr>
        <w:t>8</w:t>
      </w:r>
      <w:r>
        <w:rPr>
          <w:rFonts w:hint="eastAsia"/>
          <w:color w:val="auto"/>
          <w:lang w:val="zh-CN" w:eastAsia="zh-CN"/>
        </w:rPr>
        <w:t>m</w:t>
      </w:r>
      <w:r>
        <w:rPr>
          <w:rFonts w:hint="eastAsia"/>
          <w:color w:val="auto"/>
          <w:vertAlign w:val="superscript"/>
          <w:lang w:val="zh-CN" w:eastAsia="zh-CN"/>
        </w:rPr>
        <w:t>3</w:t>
      </w:r>
      <w:r>
        <w:rPr>
          <w:rFonts w:hint="eastAsia"/>
          <w:color w:val="auto"/>
          <w:lang w:val="zh-CN" w:eastAsia="zh-CN"/>
        </w:rPr>
        <w:t>/d。</w:t>
      </w:r>
      <w:r>
        <w:rPr>
          <w:rFonts w:hint="eastAsia"/>
          <w:color w:val="auto"/>
          <w:lang w:val="en-US" w:eastAsia="zh-CN"/>
        </w:rPr>
        <w:t>本项目</w:t>
      </w:r>
      <w:r>
        <w:rPr>
          <w:rFonts w:hint="eastAsia"/>
          <w:color w:val="auto"/>
          <w:lang w:val="zh-CN" w:eastAsia="zh-CN"/>
        </w:rPr>
        <w:t>施工期废水中COD产生量为0.00</w:t>
      </w:r>
      <w:r>
        <w:rPr>
          <w:rFonts w:hint="eastAsia"/>
          <w:color w:val="auto"/>
          <w:lang w:val="en-US" w:eastAsia="zh-CN"/>
        </w:rPr>
        <w:t>28</w:t>
      </w:r>
      <w:r>
        <w:rPr>
          <w:rFonts w:hint="eastAsia"/>
          <w:color w:val="auto"/>
          <w:lang w:val="zh-CN" w:eastAsia="zh-CN"/>
        </w:rPr>
        <w:t>t/d，BOD</w:t>
      </w:r>
      <w:r>
        <w:rPr>
          <w:rFonts w:hint="eastAsia"/>
          <w:color w:val="auto"/>
          <w:vertAlign w:val="subscript"/>
          <w:lang w:val="zh-CN" w:eastAsia="zh-CN"/>
        </w:rPr>
        <w:t>5</w:t>
      </w:r>
      <w:r>
        <w:rPr>
          <w:rFonts w:hint="eastAsia"/>
          <w:color w:val="auto"/>
          <w:lang w:val="zh-CN" w:eastAsia="zh-CN"/>
        </w:rPr>
        <w:t>产生量为0.00</w:t>
      </w:r>
      <w:r>
        <w:rPr>
          <w:rFonts w:hint="eastAsia"/>
          <w:color w:val="auto"/>
          <w:lang w:val="en-US" w:eastAsia="zh-CN"/>
        </w:rPr>
        <w:t>16</w:t>
      </w:r>
      <w:r>
        <w:rPr>
          <w:rFonts w:hint="eastAsia"/>
          <w:color w:val="auto"/>
          <w:lang w:val="zh-CN" w:eastAsia="zh-CN"/>
        </w:rPr>
        <w:t>t/d，NH</w:t>
      </w:r>
      <w:r>
        <w:rPr>
          <w:rFonts w:hint="eastAsia"/>
          <w:color w:val="auto"/>
          <w:vertAlign w:val="subscript"/>
          <w:lang w:val="zh-CN" w:eastAsia="zh-CN"/>
        </w:rPr>
        <w:t>3</w:t>
      </w:r>
      <w:r>
        <w:rPr>
          <w:rFonts w:hint="eastAsia"/>
          <w:color w:val="auto"/>
          <w:lang w:val="zh-CN" w:eastAsia="zh-CN"/>
        </w:rPr>
        <w:t>-N产生量为0.000</w:t>
      </w:r>
      <w:r>
        <w:rPr>
          <w:rFonts w:hint="eastAsia"/>
          <w:color w:val="auto"/>
          <w:lang w:val="en-US" w:eastAsia="zh-CN"/>
        </w:rPr>
        <w:t>28</w:t>
      </w:r>
      <w:r>
        <w:rPr>
          <w:rFonts w:hint="eastAsia"/>
          <w:color w:val="auto"/>
          <w:lang w:val="zh-CN" w:eastAsia="zh-CN"/>
        </w:rPr>
        <w:t>t/d，SS产生量为0.00</w:t>
      </w:r>
      <w:r>
        <w:rPr>
          <w:rFonts w:hint="eastAsia"/>
          <w:color w:val="auto"/>
          <w:lang w:val="en-US" w:eastAsia="zh-CN"/>
        </w:rPr>
        <w:t>2</w:t>
      </w:r>
      <w:r>
        <w:rPr>
          <w:rFonts w:hint="eastAsia"/>
          <w:color w:val="auto"/>
          <w:lang w:val="zh-CN" w:eastAsia="zh-CN"/>
        </w:rPr>
        <w:t>t/d。</w:t>
      </w:r>
    </w:p>
    <w:p w14:paraId="2C21573C">
      <w:pPr>
        <w:bidi w:val="0"/>
        <w:rPr>
          <w:rFonts w:hint="eastAsia"/>
          <w:color w:val="auto"/>
          <w:lang w:val="zh-CN" w:eastAsia="zh-CN"/>
        </w:rPr>
      </w:pPr>
      <w:r>
        <w:rPr>
          <w:rFonts w:hint="eastAsia"/>
          <w:color w:val="auto"/>
          <w:lang w:val="zh-CN" w:eastAsia="zh-CN"/>
        </w:rPr>
        <w:t>本项目施工人员住宿全部通过就近租住民宅解决，生活污水经租住的民宅内的化粪池或旱厕收集后用于农田灌溉，在此基础上生活污水不会对周边水环境造成不利影响。</w:t>
      </w:r>
    </w:p>
    <w:p w14:paraId="269463A6">
      <w:pPr>
        <w:pStyle w:val="4"/>
        <w:bidi w:val="0"/>
        <w:rPr>
          <w:rFonts w:hint="eastAsia"/>
          <w:color w:val="auto"/>
          <w:lang w:val="zh-CN" w:eastAsia="zh-CN"/>
        </w:rPr>
      </w:pPr>
      <w:bookmarkStart w:id="180" w:name="_Toc12262"/>
      <w:r>
        <w:rPr>
          <w:rFonts w:hint="eastAsia"/>
          <w:color w:val="auto"/>
          <w:lang w:val="en-US" w:eastAsia="zh-CN"/>
        </w:rPr>
        <w:t>施工期</w:t>
      </w:r>
      <w:r>
        <w:rPr>
          <w:rFonts w:hint="eastAsia"/>
          <w:color w:val="auto"/>
          <w:lang w:val="zh-CN" w:eastAsia="zh-CN"/>
        </w:rPr>
        <w:t>大气环境影响预测</w:t>
      </w:r>
      <w:r>
        <w:rPr>
          <w:rFonts w:hint="eastAsia"/>
          <w:color w:val="auto"/>
          <w:lang w:val="en-US" w:eastAsia="zh-CN"/>
        </w:rPr>
        <w:t>与评价</w:t>
      </w:r>
      <w:bookmarkEnd w:id="180"/>
    </w:p>
    <w:p w14:paraId="5309833E">
      <w:pPr>
        <w:bidi w:val="0"/>
        <w:rPr>
          <w:color w:val="auto"/>
        </w:rPr>
      </w:pPr>
      <w:r>
        <w:rPr>
          <w:color w:val="auto"/>
        </w:rPr>
        <w:t>本工程仅在施工期对大气环境有影响，运行期无污染物产生。因此仅对施工期的大气环境进行影响评价。</w:t>
      </w:r>
    </w:p>
    <w:p w14:paraId="1ABD8641">
      <w:pPr>
        <w:bidi w:val="0"/>
        <w:rPr>
          <w:color w:val="auto"/>
        </w:rPr>
      </w:pPr>
      <w:r>
        <w:rPr>
          <w:color w:val="auto"/>
        </w:rPr>
        <w:t>本工程施工活动对区域环境空气质量的影响主要源自施工过程中土方开挖、回填、堆放和车辆交通运输过程中产生的粉尘、扬尘；施工机械和运输车辆运行时排放的燃油机械废气、底泥</w:t>
      </w:r>
      <w:r>
        <w:rPr>
          <w:rFonts w:hint="eastAsia"/>
          <w:color w:val="auto"/>
          <w:lang w:val="en-US" w:eastAsia="zh-CN"/>
        </w:rPr>
        <w:t>清除</w:t>
      </w:r>
      <w:r>
        <w:rPr>
          <w:color w:val="auto"/>
        </w:rPr>
        <w:t>产生的</w:t>
      </w:r>
      <w:r>
        <w:rPr>
          <w:rFonts w:hint="eastAsia"/>
          <w:color w:val="auto"/>
          <w:lang w:val="en-US" w:eastAsia="zh-CN"/>
        </w:rPr>
        <w:t>恶臭</w:t>
      </w:r>
      <w:r>
        <w:rPr>
          <w:color w:val="auto"/>
        </w:rPr>
        <w:t>等。</w:t>
      </w:r>
    </w:p>
    <w:p w14:paraId="73818548">
      <w:pPr>
        <w:pStyle w:val="5"/>
        <w:bidi w:val="0"/>
        <w:rPr>
          <w:color w:val="auto"/>
        </w:rPr>
      </w:pPr>
      <w:r>
        <w:rPr>
          <w:color w:val="auto"/>
        </w:rPr>
        <w:t>施工扬尘</w:t>
      </w:r>
    </w:p>
    <w:p w14:paraId="7D056B13">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施工产生的扬尘主要包括</w:t>
      </w:r>
      <w:r>
        <w:rPr>
          <w:rFonts w:hint="eastAsia"/>
          <w:color w:val="auto"/>
          <w:sz w:val="24"/>
          <w:szCs w:val="24"/>
          <w:lang w:val="en-US" w:eastAsia="zh-CN"/>
        </w:rPr>
        <w:t>建筑物拆除、</w:t>
      </w:r>
      <w:r>
        <w:rPr>
          <w:rFonts w:ascii="Times New Roman" w:hAnsi="Times New Roman"/>
          <w:color w:val="auto"/>
          <w:sz w:val="24"/>
          <w:szCs w:val="24"/>
        </w:rPr>
        <w:t>土方挖掘、堆放、清运、回填和场地平整等过程产生的扬尘；运输车辆往来造成地面扬尘；建筑材料水泥、砂子以及土方等在其装卸、运输、堆放等过程中，因风力作用而产生的扬尘污染等。</w:t>
      </w:r>
    </w:p>
    <w:p w14:paraId="504D561E">
      <w:pPr>
        <w:bidi w:val="0"/>
        <w:rPr>
          <w:color w:val="auto"/>
        </w:rPr>
      </w:pPr>
      <w:r>
        <w:rPr>
          <w:color w:val="auto"/>
        </w:rPr>
        <w:t>（1）土方挖掘、堆放、清运、回填和场地平整等过程产生的扬尘</w:t>
      </w:r>
    </w:p>
    <w:p w14:paraId="190A123C">
      <w:pPr>
        <w:bidi w:val="0"/>
        <w:rPr>
          <w:rFonts w:ascii="Times New Roman" w:hAnsi="Times New Roman"/>
          <w:color w:val="auto"/>
          <w:szCs w:val="24"/>
        </w:rPr>
      </w:pPr>
      <w:r>
        <w:rPr>
          <w:color w:val="auto"/>
        </w:rPr>
        <w:t>此类扬尘与砂土的粒度、湿度有关，并随天气条件而变化，难以定量估算。但就正常情况而言，扬尘量与砂土的粒度、湿度成反比，而与地面风速及地面扬尘启动风速的三次方成正比。由于在施工过程中，土质一般较松散，因此，在大风、天气干燥尤其是秋冬少雨季节的气象条件下施工场地的地面扬尘可能对项目近邻的周边区域产生较大的影响。在未采取遮挡和洒水的措施情况下，一般气象</w:t>
      </w:r>
      <w:r>
        <w:rPr>
          <w:rFonts w:ascii="Times New Roman" w:hAnsi="Times New Roman"/>
          <w:color w:val="auto"/>
          <w:szCs w:val="24"/>
        </w:rPr>
        <w:t>条件在风速为2.5m/s时，扬尘的影响范围可达到下风向150m，影响范围内TSP浓度平均值可达到0.49mg/m</w:t>
      </w:r>
      <w:r>
        <w:rPr>
          <w:rFonts w:ascii="Times New Roman" w:hAnsi="Times New Roman"/>
          <w:color w:val="auto"/>
          <w:szCs w:val="24"/>
          <w:vertAlign w:val="superscript"/>
        </w:rPr>
        <w:t>3</w:t>
      </w:r>
      <w:r>
        <w:rPr>
          <w:rFonts w:ascii="Times New Roman" w:hAnsi="Times New Roman"/>
          <w:color w:val="auto"/>
          <w:szCs w:val="24"/>
        </w:rPr>
        <w:t>；当有围挡或采取洒水措施后时，同等条件下其影响距离可缩短40%。当风速大于5m/s时，施工现场和其下风向部分区域TSP浓度将超过环境空气质量标准中的二级标准，且随着风速的增加，施工粉尘产生的污染程度和超标范围也将随着增强和扩大。</w:t>
      </w:r>
    </w:p>
    <w:p w14:paraId="67089A3C">
      <w:pPr>
        <w:spacing w:line="360" w:lineRule="auto"/>
        <w:ind w:firstLine="480" w:firstLineChars="200"/>
        <w:rPr>
          <w:rFonts w:ascii="Times New Roman" w:hAnsi="Times New Roman"/>
          <w:color w:val="auto"/>
          <w:sz w:val="24"/>
          <w:szCs w:val="24"/>
        </w:rPr>
      </w:pPr>
      <w:r>
        <w:rPr>
          <w:rFonts w:hint="eastAsia"/>
          <w:color w:val="auto"/>
          <w:lang w:val="en-US" w:eastAsia="zh-CN"/>
        </w:rPr>
        <w:t>根据工程分析，</w:t>
      </w:r>
      <w:r>
        <w:rPr>
          <w:rFonts w:ascii="Times New Roman" w:hAnsi="Times New Roman"/>
          <w:color w:val="auto"/>
          <w:sz w:val="24"/>
          <w:szCs w:val="24"/>
        </w:rPr>
        <w:t>本项目土石方含水率较高，施工过程土石方开挖、回填、装卸等扬尘产生量较小。加强管理、采取洒水增湿作业等措施后，场地平整和土石方开挖过程中扬尘可以得到适当的控制，但是由于本工程周边多为居民点，施工场地与部分环境空气敏感目标的距离较近，故此类工程施工仍将对区域和环境敏感目标的环境空气质量造成一定程度的不利影响，但其影响是暂时的，随着前期准备施工活动的结束，其不利影响也将结束。</w:t>
      </w:r>
    </w:p>
    <w:p w14:paraId="5C9B029A">
      <w:pPr>
        <w:bidi w:val="0"/>
        <w:rPr>
          <w:color w:val="auto"/>
        </w:rPr>
      </w:pPr>
      <w:r>
        <w:rPr>
          <w:color w:val="auto"/>
        </w:rPr>
        <w:t>（2）施工物料堆放及装卸过程中产生的扬尘</w:t>
      </w:r>
    </w:p>
    <w:p w14:paraId="49FF037E">
      <w:pPr>
        <w:bidi w:val="0"/>
        <w:rPr>
          <w:color w:val="auto"/>
        </w:rPr>
      </w:pPr>
      <w:r>
        <w:rPr>
          <w:color w:val="auto"/>
        </w:rPr>
        <w:t>施工期扬尘的另外一个主要原因是露天物料临时堆放和裸露场地的风力扬尘。施工工地的地面粉尘，在风速足够大时（大于颗粒土沙的起动速度时）就产生了扬尘，其源强大小与颗粒物的粒径大小、比重及环境风速、湿度等有关，风速越大，颗粒越小，土沙的含水率越小，扬尘的产生量就越大。扬尘属于面源，排放高度低。扬尘量可按堆场起尘的经验公式计算：</w:t>
      </w:r>
    </w:p>
    <w:p w14:paraId="5B17B804">
      <w:pPr>
        <w:spacing w:line="360" w:lineRule="auto"/>
        <w:jc w:val="center"/>
        <w:rPr>
          <w:rFonts w:ascii="Times New Roman" w:hAnsi="Times New Roman"/>
          <w:color w:val="auto"/>
          <w:sz w:val="24"/>
        </w:rPr>
      </w:pPr>
      <w:r>
        <w:rPr>
          <w:rFonts w:ascii="Times New Roman" w:hAnsi="Times New Roman"/>
          <w:color w:val="auto"/>
        </w:rPr>
        <w:drawing>
          <wp:inline distT="0" distB="0" distL="0" distR="0">
            <wp:extent cx="2125980" cy="337185"/>
            <wp:effectExtent l="0" t="0" r="7620" b="571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0" y="0"/>
                      <a:ext cx="2126360" cy="337678"/>
                    </a:xfrm>
                    <a:prstGeom prst="rect">
                      <a:avLst/>
                    </a:prstGeom>
                    <a:noFill/>
                    <a:ln>
                      <a:noFill/>
                    </a:ln>
                  </pic:spPr>
                </pic:pic>
              </a:graphicData>
            </a:graphic>
          </wp:inline>
        </w:drawing>
      </w:r>
    </w:p>
    <w:p w14:paraId="6A55C387">
      <w:pPr>
        <w:spacing w:line="360" w:lineRule="auto"/>
        <w:rPr>
          <w:rFonts w:ascii="Times New Roman" w:hAnsi="Times New Roman"/>
          <w:color w:val="auto"/>
          <w:sz w:val="24"/>
        </w:rPr>
      </w:pPr>
      <w:r>
        <w:rPr>
          <w:rFonts w:ascii="Times New Roman" w:hAnsi="Times New Roman"/>
          <w:color w:val="auto"/>
          <w:sz w:val="24"/>
        </w:rPr>
        <w:t>式中：Q——起尘量，kg/t•a；</w:t>
      </w:r>
    </w:p>
    <w:p w14:paraId="74319874">
      <w:pPr>
        <w:spacing w:line="360" w:lineRule="auto"/>
        <w:ind w:firstLine="840" w:firstLineChars="350"/>
        <w:rPr>
          <w:rFonts w:ascii="Times New Roman" w:hAnsi="Times New Roman"/>
          <w:color w:val="auto"/>
          <w:sz w:val="24"/>
        </w:rPr>
      </w:pPr>
      <w:r>
        <w:rPr>
          <w:rFonts w:ascii="Times New Roman" w:hAnsi="Times New Roman"/>
          <w:color w:val="auto"/>
          <w:sz w:val="24"/>
        </w:rPr>
        <w:t>V</w:t>
      </w:r>
      <w:r>
        <w:rPr>
          <w:rFonts w:ascii="Times New Roman" w:hAnsi="Times New Roman"/>
          <w:color w:val="auto"/>
          <w:sz w:val="24"/>
          <w:vertAlign w:val="subscript"/>
        </w:rPr>
        <w:t>50</w:t>
      </w:r>
      <w:r>
        <w:rPr>
          <w:rFonts w:ascii="Times New Roman" w:hAnsi="Times New Roman"/>
          <w:color w:val="auto"/>
          <w:sz w:val="24"/>
        </w:rPr>
        <w:t>——距地面50m风速，m/s；</w:t>
      </w:r>
    </w:p>
    <w:p w14:paraId="40C45AFF">
      <w:pPr>
        <w:spacing w:line="360" w:lineRule="auto"/>
        <w:ind w:firstLine="840" w:firstLineChars="350"/>
        <w:rPr>
          <w:rFonts w:ascii="Times New Roman" w:hAnsi="Times New Roman"/>
          <w:color w:val="auto"/>
          <w:sz w:val="24"/>
        </w:rPr>
      </w:pPr>
      <w:r>
        <w:rPr>
          <w:rFonts w:ascii="Times New Roman" w:hAnsi="Times New Roman"/>
          <w:color w:val="auto"/>
          <w:sz w:val="24"/>
        </w:rPr>
        <w:t>V</w:t>
      </w:r>
      <w:r>
        <w:rPr>
          <w:rFonts w:ascii="Times New Roman" w:hAnsi="Times New Roman"/>
          <w:color w:val="auto"/>
          <w:sz w:val="24"/>
          <w:vertAlign w:val="subscript"/>
        </w:rPr>
        <w:t>0</w:t>
      </w:r>
      <w:r>
        <w:rPr>
          <w:rFonts w:ascii="Times New Roman" w:hAnsi="Times New Roman"/>
          <w:color w:val="auto"/>
          <w:sz w:val="24"/>
        </w:rPr>
        <w:t>——起尘风速，m/s；</w:t>
      </w:r>
    </w:p>
    <w:p w14:paraId="597DB8A4">
      <w:pPr>
        <w:spacing w:line="360" w:lineRule="auto"/>
        <w:ind w:firstLine="840" w:firstLineChars="350"/>
        <w:rPr>
          <w:rFonts w:ascii="Times New Roman" w:hAnsi="Times New Roman"/>
          <w:color w:val="auto"/>
          <w:sz w:val="24"/>
        </w:rPr>
      </w:pPr>
      <w:r>
        <w:rPr>
          <w:rFonts w:ascii="Times New Roman" w:hAnsi="Times New Roman"/>
          <w:color w:val="auto"/>
          <w:sz w:val="24"/>
        </w:rPr>
        <w:t>W——尘粒的含水率，%。</w:t>
      </w:r>
    </w:p>
    <w:p w14:paraId="1E583BB7">
      <w:pPr>
        <w:spacing w:line="360" w:lineRule="auto"/>
        <w:ind w:firstLine="480" w:firstLineChars="200"/>
        <w:rPr>
          <w:rFonts w:ascii="Times New Roman" w:hAnsi="Times New Roman"/>
          <w:color w:val="auto"/>
          <w:sz w:val="24"/>
        </w:rPr>
      </w:pPr>
      <w:r>
        <w:rPr>
          <w:rFonts w:ascii="Times New Roman" w:hAnsi="Times New Roman"/>
          <w:color w:val="auto"/>
          <w:sz w:val="24"/>
        </w:rPr>
        <w:t>由上述公式可知，V</w:t>
      </w:r>
      <w:r>
        <w:rPr>
          <w:rFonts w:ascii="Times New Roman" w:hAnsi="Times New Roman"/>
          <w:color w:val="auto"/>
          <w:sz w:val="24"/>
          <w:vertAlign w:val="subscript"/>
        </w:rPr>
        <w:t>0</w:t>
      </w:r>
      <w:r>
        <w:rPr>
          <w:rFonts w:ascii="Times New Roman" w:hAnsi="Times New Roman"/>
          <w:color w:val="auto"/>
          <w:sz w:val="24"/>
        </w:rPr>
        <w:t>与粒径和含水率有关。</w:t>
      </w:r>
    </w:p>
    <w:p w14:paraId="5617D5C7">
      <w:pPr>
        <w:spacing w:line="360" w:lineRule="auto"/>
        <w:ind w:firstLine="480" w:firstLineChars="200"/>
        <w:rPr>
          <w:rFonts w:ascii="Times New Roman" w:hAnsi="Times New Roman"/>
          <w:color w:val="auto"/>
          <w:sz w:val="24"/>
        </w:rPr>
      </w:pPr>
      <w:r>
        <w:rPr>
          <w:rFonts w:ascii="Times New Roman" w:hAnsi="Times New Roman"/>
          <w:color w:val="auto"/>
          <w:sz w:val="24"/>
        </w:rPr>
        <w:t>起尘风速与粒径和含水率有关，因此减小露天堆场和保证一定的含水率及减少裸露地面是减少风力起尘的有效手段。粉尘在空气中的扩散稀散与风速等气象条件有关，也与粉尘的沉降速度有关。不同粒径的沉降速度见下表。</w:t>
      </w:r>
    </w:p>
    <w:p w14:paraId="39BD22C8">
      <w:pPr>
        <w:pStyle w:val="11"/>
        <w:bidi w:val="0"/>
      </w:pPr>
      <w: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1</w:t>
      </w:r>
      <w:r>
        <w:fldChar w:fldCharType="end"/>
      </w:r>
      <w:r>
        <w:t>不同粒径尘粒的沉降速度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2"/>
        <w:gridCol w:w="912"/>
        <w:gridCol w:w="912"/>
        <w:gridCol w:w="911"/>
        <w:gridCol w:w="912"/>
        <w:gridCol w:w="885"/>
        <w:gridCol w:w="970"/>
        <w:gridCol w:w="1138"/>
      </w:tblGrid>
      <w:tr w14:paraId="349B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1" w:type="dxa"/>
            <w:vAlign w:val="center"/>
          </w:tcPr>
          <w:p w14:paraId="018AFA60">
            <w:pPr>
              <w:pStyle w:val="31"/>
              <w:bidi w:val="0"/>
              <w:rPr>
                <w:color w:val="auto"/>
              </w:rPr>
            </w:pPr>
            <w:r>
              <w:rPr>
                <w:color w:val="auto"/>
              </w:rPr>
              <w:t>粉尘粒径（μm）</w:t>
            </w:r>
          </w:p>
        </w:tc>
        <w:tc>
          <w:tcPr>
            <w:tcW w:w="950" w:type="dxa"/>
            <w:vAlign w:val="center"/>
          </w:tcPr>
          <w:p w14:paraId="1A10071A">
            <w:pPr>
              <w:pStyle w:val="31"/>
              <w:bidi w:val="0"/>
              <w:rPr>
                <w:color w:val="auto"/>
              </w:rPr>
            </w:pPr>
            <w:r>
              <w:rPr>
                <w:color w:val="auto"/>
              </w:rPr>
              <w:t>10</w:t>
            </w:r>
          </w:p>
        </w:tc>
        <w:tc>
          <w:tcPr>
            <w:tcW w:w="950" w:type="dxa"/>
            <w:vAlign w:val="center"/>
          </w:tcPr>
          <w:p w14:paraId="496B1212">
            <w:pPr>
              <w:pStyle w:val="31"/>
              <w:bidi w:val="0"/>
              <w:rPr>
                <w:color w:val="auto"/>
              </w:rPr>
            </w:pPr>
            <w:r>
              <w:rPr>
                <w:color w:val="auto"/>
              </w:rPr>
              <w:t>20</w:t>
            </w:r>
          </w:p>
        </w:tc>
        <w:tc>
          <w:tcPr>
            <w:tcW w:w="949" w:type="dxa"/>
            <w:vAlign w:val="center"/>
          </w:tcPr>
          <w:p w14:paraId="1936CA65">
            <w:pPr>
              <w:pStyle w:val="31"/>
              <w:bidi w:val="0"/>
              <w:rPr>
                <w:color w:val="auto"/>
              </w:rPr>
            </w:pPr>
            <w:r>
              <w:rPr>
                <w:color w:val="auto"/>
              </w:rPr>
              <w:t>30</w:t>
            </w:r>
          </w:p>
        </w:tc>
        <w:tc>
          <w:tcPr>
            <w:tcW w:w="950" w:type="dxa"/>
            <w:vAlign w:val="center"/>
          </w:tcPr>
          <w:p w14:paraId="3EB271B4">
            <w:pPr>
              <w:pStyle w:val="31"/>
              <w:bidi w:val="0"/>
              <w:rPr>
                <w:color w:val="auto"/>
              </w:rPr>
            </w:pPr>
            <w:r>
              <w:rPr>
                <w:color w:val="auto"/>
              </w:rPr>
              <w:t>40</w:t>
            </w:r>
          </w:p>
        </w:tc>
        <w:tc>
          <w:tcPr>
            <w:tcW w:w="918" w:type="dxa"/>
            <w:vAlign w:val="center"/>
          </w:tcPr>
          <w:p w14:paraId="3FE4592D">
            <w:pPr>
              <w:pStyle w:val="31"/>
              <w:bidi w:val="0"/>
              <w:rPr>
                <w:color w:val="auto"/>
              </w:rPr>
            </w:pPr>
            <w:r>
              <w:rPr>
                <w:color w:val="auto"/>
              </w:rPr>
              <w:t>50</w:t>
            </w:r>
          </w:p>
        </w:tc>
        <w:tc>
          <w:tcPr>
            <w:tcW w:w="1017" w:type="dxa"/>
            <w:vAlign w:val="center"/>
          </w:tcPr>
          <w:p w14:paraId="7D199AE2">
            <w:pPr>
              <w:pStyle w:val="31"/>
              <w:bidi w:val="0"/>
              <w:rPr>
                <w:color w:val="auto"/>
              </w:rPr>
            </w:pPr>
            <w:r>
              <w:rPr>
                <w:color w:val="auto"/>
              </w:rPr>
              <w:t>60</w:t>
            </w:r>
          </w:p>
        </w:tc>
        <w:tc>
          <w:tcPr>
            <w:tcW w:w="1213" w:type="dxa"/>
            <w:vAlign w:val="center"/>
          </w:tcPr>
          <w:p w14:paraId="173C45A9">
            <w:pPr>
              <w:pStyle w:val="31"/>
              <w:bidi w:val="0"/>
              <w:rPr>
                <w:color w:val="auto"/>
              </w:rPr>
            </w:pPr>
            <w:r>
              <w:rPr>
                <w:color w:val="auto"/>
              </w:rPr>
              <w:t>70</w:t>
            </w:r>
          </w:p>
        </w:tc>
      </w:tr>
      <w:tr w14:paraId="4B9CA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1" w:type="dxa"/>
            <w:vAlign w:val="center"/>
          </w:tcPr>
          <w:p w14:paraId="268FB70E">
            <w:pPr>
              <w:pStyle w:val="31"/>
              <w:bidi w:val="0"/>
              <w:rPr>
                <w:color w:val="auto"/>
              </w:rPr>
            </w:pPr>
            <w:r>
              <w:rPr>
                <w:color w:val="auto"/>
              </w:rPr>
              <w:t>沉降速度（m/s）</w:t>
            </w:r>
          </w:p>
        </w:tc>
        <w:tc>
          <w:tcPr>
            <w:tcW w:w="950" w:type="dxa"/>
            <w:vAlign w:val="center"/>
          </w:tcPr>
          <w:p w14:paraId="4D398B59">
            <w:pPr>
              <w:pStyle w:val="31"/>
              <w:bidi w:val="0"/>
              <w:rPr>
                <w:color w:val="auto"/>
              </w:rPr>
            </w:pPr>
            <w:r>
              <w:rPr>
                <w:color w:val="auto"/>
              </w:rPr>
              <w:t>0.003</w:t>
            </w:r>
          </w:p>
        </w:tc>
        <w:tc>
          <w:tcPr>
            <w:tcW w:w="950" w:type="dxa"/>
            <w:vAlign w:val="center"/>
          </w:tcPr>
          <w:p w14:paraId="2894755D">
            <w:pPr>
              <w:pStyle w:val="31"/>
              <w:bidi w:val="0"/>
              <w:rPr>
                <w:color w:val="auto"/>
              </w:rPr>
            </w:pPr>
            <w:r>
              <w:rPr>
                <w:color w:val="auto"/>
              </w:rPr>
              <w:t>0.012</w:t>
            </w:r>
          </w:p>
        </w:tc>
        <w:tc>
          <w:tcPr>
            <w:tcW w:w="949" w:type="dxa"/>
            <w:vAlign w:val="center"/>
          </w:tcPr>
          <w:p w14:paraId="2CFCFD29">
            <w:pPr>
              <w:pStyle w:val="31"/>
              <w:bidi w:val="0"/>
              <w:rPr>
                <w:color w:val="auto"/>
              </w:rPr>
            </w:pPr>
            <w:r>
              <w:rPr>
                <w:color w:val="auto"/>
              </w:rPr>
              <w:t>0.027</w:t>
            </w:r>
          </w:p>
        </w:tc>
        <w:tc>
          <w:tcPr>
            <w:tcW w:w="950" w:type="dxa"/>
            <w:vAlign w:val="center"/>
          </w:tcPr>
          <w:p w14:paraId="36A943B3">
            <w:pPr>
              <w:pStyle w:val="31"/>
              <w:bidi w:val="0"/>
              <w:rPr>
                <w:color w:val="auto"/>
              </w:rPr>
            </w:pPr>
            <w:r>
              <w:rPr>
                <w:color w:val="auto"/>
              </w:rPr>
              <w:t>0.048</w:t>
            </w:r>
          </w:p>
        </w:tc>
        <w:tc>
          <w:tcPr>
            <w:tcW w:w="918" w:type="dxa"/>
            <w:vAlign w:val="center"/>
          </w:tcPr>
          <w:p w14:paraId="15E9D465">
            <w:pPr>
              <w:pStyle w:val="31"/>
              <w:bidi w:val="0"/>
              <w:rPr>
                <w:color w:val="auto"/>
              </w:rPr>
            </w:pPr>
            <w:r>
              <w:rPr>
                <w:color w:val="auto"/>
              </w:rPr>
              <w:t>0.075</w:t>
            </w:r>
          </w:p>
        </w:tc>
        <w:tc>
          <w:tcPr>
            <w:tcW w:w="1017" w:type="dxa"/>
            <w:vAlign w:val="center"/>
          </w:tcPr>
          <w:p w14:paraId="535EC3D5">
            <w:pPr>
              <w:pStyle w:val="31"/>
              <w:bidi w:val="0"/>
              <w:rPr>
                <w:color w:val="auto"/>
              </w:rPr>
            </w:pPr>
            <w:r>
              <w:rPr>
                <w:color w:val="auto"/>
              </w:rPr>
              <w:t>0.108</w:t>
            </w:r>
          </w:p>
        </w:tc>
        <w:tc>
          <w:tcPr>
            <w:tcW w:w="1213" w:type="dxa"/>
            <w:vAlign w:val="center"/>
          </w:tcPr>
          <w:p w14:paraId="16801C75">
            <w:pPr>
              <w:pStyle w:val="31"/>
              <w:bidi w:val="0"/>
              <w:rPr>
                <w:color w:val="auto"/>
              </w:rPr>
            </w:pPr>
            <w:r>
              <w:rPr>
                <w:color w:val="auto"/>
              </w:rPr>
              <w:t>0.147</w:t>
            </w:r>
          </w:p>
        </w:tc>
      </w:tr>
      <w:tr w14:paraId="3E10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1" w:type="dxa"/>
            <w:vAlign w:val="center"/>
          </w:tcPr>
          <w:p w14:paraId="6F6D95D6">
            <w:pPr>
              <w:pStyle w:val="31"/>
              <w:bidi w:val="0"/>
              <w:rPr>
                <w:color w:val="auto"/>
              </w:rPr>
            </w:pPr>
            <w:r>
              <w:rPr>
                <w:color w:val="auto"/>
              </w:rPr>
              <w:t>粉尘粒径（μm）</w:t>
            </w:r>
          </w:p>
        </w:tc>
        <w:tc>
          <w:tcPr>
            <w:tcW w:w="950" w:type="dxa"/>
            <w:vAlign w:val="center"/>
          </w:tcPr>
          <w:p w14:paraId="59D8423E">
            <w:pPr>
              <w:pStyle w:val="31"/>
              <w:bidi w:val="0"/>
              <w:rPr>
                <w:color w:val="auto"/>
              </w:rPr>
            </w:pPr>
            <w:r>
              <w:rPr>
                <w:color w:val="auto"/>
              </w:rPr>
              <w:t>80</w:t>
            </w:r>
          </w:p>
        </w:tc>
        <w:tc>
          <w:tcPr>
            <w:tcW w:w="950" w:type="dxa"/>
            <w:vAlign w:val="center"/>
          </w:tcPr>
          <w:p w14:paraId="49FE8AC9">
            <w:pPr>
              <w:pStyle w:val="31"/>
              <w:bidi w:val="0"/>
              <w:rPr>
                <w:color w:val="auto"/>
              </w:rPr>
            </w:pPr>
            <w:r>
              <w:rPr>
                <w:color w:val="auto"/>
              </w:rPr>
              <w:t>90</w:t>
            </w:r>
          </w:p>
        </w:tc>
        <w:tc>
          <w:tcPr>
            <w:tcW w:w="949" w:type="dxa"/>
            <w:vAlign w:val="center"/>
          </w:tcPr>
          <w:p w14:paraId="5C12D6C7">
            <w:pPr>
              <w:pStyle w:val="31"/>
              <w:bidi w:val="0"/>
              <w:rPr>
                <w:color w:val="auto"/>
              </w:rPr>
            </w:pPr>
            <w:r>
              <w:rPr>
                <w:color w:val="auto"/>
              </w:rPr>
              <w:t>100</w:t>
            </w:r>
          </w:p>
        </w:tc>
        <w:tc>
          <w:tcPr>
            <w:tcW w:w="950" w:type="dxa"/>
            <w:vAlign w:val="center"/>
          </w:tcPr>
          <w:p w14:paraId="0A168B17">
            <w:pPr>
              <w:pStyle w:val="31"/>
              <w:bidi w:val="0"/>
              <w:rPr>
                <w:color w:val="auto"/>
              </w:rPr>
            </w:pPr>
            <w:r>
              <w:rPr>
                <w:color w:val="auto"/>
              </w:rPr>
              <w:t>150</w:t>
            </w:r>
          </w:p>
        </w:tc>
        <w:tc>
          <w:tcPr>
            <w:tcW w:w="918" w:type="dxa"/>
            <w:vAlign w:val="center"/>
          </w:tcPr>
          <w:p w14:paraId="6622D933">
            <w:pPr>
              <w:pStyle w:val="31"/>
              <w:bidi w:val="0"/>
              <w:rPr>
                <w:color w:val="auto"/>
              </w:rPr>
            </w:pPr>
            <w:r>
              <w:rPr>
                <w:color w:val="auto"/>
              </w:rPr>
              <w:t>200</w:t>
            </w:r>
          </w:p>
        </w:tc>
        <w:tc>
          <w:tcPr>
            <w:tcW w:w="1017" w:type="dxa"/>
            <w:vAlign w:val="center"/>
          </w:tcPr>
          <w:p w14:paraId="702CAE56">
            <w:pPr>
              <w:pStyle w:val="31"/>
              <w:bidi w:val="0"/>
              <w:rPr>
                <w:color w:val="auto"/>
              </w:rPr>
            </w:pPr>
            <w:r>
              <w:rPr>
                <w:color w:val="auto"/>
              </w:rPr>
              <w:t>250</w:t>
            </w:r>
          </w:p>
        </w:tc>
        <w:tc>
          <w:tcPr>
            <w:tcW w:w="1213" w:type="dxa"/>
            <w:vAlign w:val="center"/>
          </w:tcPr>
          <w:p w14:paraId="7C4DF33B">
            <w:pPr>
              <w:pStyle w:val="31"/>
              <w:bidi w:val="0"/>
              <w:rPr>
                <w:color w:val="auto"/>
              </w:rPr>
            </w:pPr>
            <w:r>
              <w:rPr>
                <w:color w:val="auto"/>
              </w:rPr>
              <w:t>350</w:t>
            </w:r>
          </w:p>
        </w:tc>
      </w:tr>
      <w:tr w14:paraId="1555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1" w:type="dxa"/>
            <w:vAlign w:val="center"/>
          </w:tcPr>
          <w:p w14:paraId="2E826963">
            <w:pPr>
              <w:pStyle w:val="31"/>
              <w:bidi w:val="0"/>
              <w:rPr>
                <w:color w:val="auto"/>
              </w:rPr>
            </w:pPr>
            <w:r>
              <w:rPr>
                <w:color w:val="auto"/>
              </w:rPr>
              <w:t>沉降速度（m/s）</w:t>
            </w:r>
          </w:p>
        </w:tc>
        <w:tc>
          <w:tcPr>
            <w:tcW w:w="950" w:type="dxa"/>
            <w:vAlign w:val="center"/>
          </w:tcPr>
          <w:p w14:paraId="609D5A86">
            <w:pPr>
              <w:pStyle w:val="31"/>
              <w:bidi w:val="0"/>
              <w:rPr>
                <w:color w:val="auto"/>
              </w:rPr>
            </w:pPr>
            <w:r>
              <w:rPr>
                <w:color w:val="auto"/>
              </w:rPr>
              <w:t>0.158</w:t>
            </w:r>
          </w:p>
        </w:tc>
        <w:tc>
          <w:tcPr>
            <w:tcW w:w="950" w:type="dxa"/>
            <w:vAlign w:val="center"/>
          </w:tcPr>
          <w:p w14:paraId="78EBFD2F">
            <w:pPr>
              <w:pStyle w:val="31"/>
              <w:bidi w:val="0"/>
              <w:rPr>
                <w:color w:val="auto"/>
              </w:rPr>
            </w:pPr>
            <w:r>
              <w:rPr>
                <w:color w:val="auto"/>
              </w:rPr>
              <w:t>0.17</w:t>
            </w:r>
          </w:p>
        </w:tc>
        <w:tc>
          <w:tcPr>
            <w:tcW w:w="949" w:type="dxa"/>
            <w:vAlign w:val="center"/>
          </w:tcPr>
          <w:p w14:paraId="43A583A2">
            <w:pPr>
              <w:pStyle w:val="31"/>
              <w:bidi w:val="0"/>
              <w:rPr>
                <w:color w:val="auto"/>
              </w:rPr>
            </w:pPr>
            <w:r>
              <w:rPr>
                <w:color w:val="auto"/>
              </w:rPr>
              <w:t>0.182</w:t>
            </w:r>
          </w:p>
        </w:tc>
        <w:tc>
          <w:tcPr>
            <w:tcW w:w="950" w:type="dxa"/>
            <w:vAlign w:val="center"/>
          </w:tcPr>
          <w:p w14:paraId="40E82F38">
            <w:pPr>
              <w:pStyle w:val="31"/>
              <w:bidi w:val="0"/>
              <w:rPr>
                <w:color w:val="auto"/>
              </w:rPr>
            </w:pPr>
            <w:r>
              <w:rPr>
                <w:color w:val="auto"/>
              </w:rPr>
              <w:t>0.239</w:t>
            </w:r>
          </w:p>
        </w:tc>
        <w:tc>
          <w:tcPr>
            <w:tcW w:w="918" w:type="dxa"/>
            <w:vAlign w:val="center"/>
          </w:tcPr>
          <w:p w14:paraId="21D7174F">
            <w:pPr>
              <w:pStyle w:val="31"/>
              <w:bidi w:val="0"/>
              <w:rPr>
                <w:color w:val="auto"/>
              </w:rPr>
            </w:pPr>
            <w:r>
              <w:rPr>
                <w:color w:val="auto"/>
              </w:rPr>
              <w:t>0.804</w:t>
            </w:r>
          </w:p>
        </w:tc>
        <w:tc>
          <w:tcPr>
            <w:tcW w:w="1017" w:type="dxa"/>
            <w:vAlign w:val="center"/>
          </w:tcPr>
          <w:p w14:paraId="16074A68">
            <w:pPr>
              <w:pStyle w:val="31"/>
              <w:bidi w:val="0"/>
              <w:rPr>
                <w:color w:val="auto"/>
              </w:rPr>
            </w:pPr>
            <w:r>
              <w:rPr>
                <w:color w:val="auto"/>
              </w:rPr>
              <w:t>1.005</w:t>
            </w:r>
          </w:p>
        </w:tc>
        <w:tc>
          <w:tcPr>
            <w:tcW w:w="1213" w:type="dxa"/>
            <w:vAlign w:val="center"/>
          </w:tcPr>
          <w:p w14:paraId="7B1A7118">
            <w:pPr>
              <w:pStyle w:val="31"/>
              <w:bidi w:val="0"/>
              <w:rPr>
                <w:color w:val="auto"/>
              </w:rPr>
            </w:pPr>
            <w:r>
              <w:rPr>
                <w:color w:val="auto"/>
              </w:rPr>
              <w:t>1.829</w:t>
            </w:r>
          </w:p>
        </w:tc>
      </w:tr>
      <w:tr w14:paraId="3534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1" w:type="dxa"/>
            <w:vAlign w:val="center"/>
          </w:tcPr>
          <w:p w14:paraId="50EE76FB">
            <w:pPr>
              <w:pStyle w:val="31"/>
              <w:bidi w:val="0"/>
              <w:rPr>
                <w:color w:val="auto"/>
              </w:rPr>
            </w:pPr>
            <w:r>
              <w:rPr>
                <w:color w:val="auto"/>
              </w:rPr>
              <w:t>粉尘粒径（μm）</w:t>
            </w:r>
          </w:p>
        </w:tc>
        <w:tc>
          <w:tcPr>
            <w:tcW w:w="950" w:type="dxa"/>
            <w:vAlign w:val="center"/>
          </w:tcPr>
          <w:p w14:paraId="630C286D">
            <w:pPr>
              <w:pStyle w:val="31"/>
              <w:bidi w:val="0"/>
              <w:rPr>
                <w:color w:val="auto"/>
              </w:rPr>
            </w:pPr>
            <w:r>
              <w:rPr>
                <w:color w:val="auto"/>
              </w:rPr>
              <w:t>450</w:t>
            </w:r>
          </w:p>
        </w:tc>
        <w:tc>
          <w:tcPr>
            <w:tcW w:w="950" w:type="dxa"/>
            <w:vAlign w:val="center"/>
          </w:tcPr>
          <w:p w14:paraId="5EE66E43">
            <w:pPr>
              <w:pStyle w:val="31"/>
              <w:bidi w:val="0"/>
              <w:rPr>
                <w:color w:val="auto"/>
              </w:rPr>
            </w:pPr>
            <w:r>
              <w:rPr>
                <w:color w:val="auto"/>
              </w:rPr>
              <w:t>550</w:t>
            </w:r>
          </w:p>
        </w:tc>
        <w:tc>
          <w:tcPr>
            <w:tcW w:w="949" w:type="dxa"/>
            <w:vAlign w:val="center"/>
          </w:tcPr>
          <w:p w14:paraId="33DB498C">
            <w:pPr>
              <w:pStyle w:val="31"/>
              <w:bidi w:val="0"/>
              <w:rPr>
                <w:color w:val="auto"/>
              </w:rPr>
            </w:pPr>
            <w:r>
              <w:rPr>
                <w:color w:val="auto"/>
              </w:rPr>
              <w:t>650</w:t>
            </w:r>
          </w:p>
        </w:tc>
        <w:tc>
          <w:tcPr>
            <w:tcW w:w="950" w:type="dxa"/>
            <w:vAlign w:val="center"/>
          </w:tcPr>
          <w:p w14:paraId="1C7E7103">
            <w:pPr>
              <w:pStyle w:val="31"/>
              <w:bidi w:val="0"/>
              <w:rPr>
                <w:color w:val="auto"/>
              </w:rPr>
            </w:pPr>
            <w:r>
              <w:rPr>
                <w:color w:val="auto"/>
              </w:rPr>
              <w:t>750</w:t>
            </w:r>
          </w:p>
        </w:tc>
        <w:tc>
          <w:tcPr>
            <w:tcW w:w="918" w:type="dxa"/>
            <w:vAlign w:val="center"/>
          </w:tcPr>
          <w:p w14:paraId="68368DDC">
            <w:pPr>
              <w:pStyle w:val="31"/>
              <w:bidi w:val="0"/>
              <w:rPr>
                <w:color w:val="auto"/>
              </w:rPr>
            </w:pPr>
            <w:r>
              <w:rPr>
                <w:color w:val="auto"/>
              </w:rPr>
              <w:t>850</w:t>
            </w:r>
          </w:p>
        </w:tc>
        <w:tc>
          <w:tcPr>
            <w:tcW w:w="1017" w:type="dxa"/>
            <w:vAlign w:val="center"/>
          </w:tcPr>
          <w:p w14:paraId="76377298">
            <w:pPr>
              <w:pStyle w:val="31"/>
              <w:bidi w:val="0"/>
              <w:rPr>
                <w:color w:val="auto"/>
              </w:rPr>
            </w:pPr>
            <w:r>
              <w:rPr>
                <w:color w:val="auto"/>
              </w:rPr>
              <w:t>950</w:t>
            </w:r>
          </w:p>
        </w:tc>
        <w:tc>
          <w:tcPr>
            <w:tcW w:w="1213" w:type="dxa"/>
            <w:vAlign w:val="center"/>
          </w:tcPr>
          <w:p w14:paraId="2ACC5432">
            <w:pPr>
              <w:pStyle w:val="31"/>
              <w:bidi w:val="0"/>
              <w:rPr>
                <w:color w:val="auto"/>
              </w:rPr>
            </w:pPr>
            <w:r>
              <w:rPr>
                <w:color w:val="auto"/>
              </w:rPr>
              <w:t>1050</w:t>
            </w:r>
          </w:p>
        </w:tc>
      </w:tr>
      <w:tr w14:paraId="13F8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1" w:type="dxa"/>
            <w:vAlign w:val="center"/>
          </w:tcPr>
          <w:p w14:paraId="5EB18647">
            <w:pPr>
              <w:pStyle w:val="31"/>
              <w:bidi w:val="0"/>
              <w:rPr>
                <w:color w:val="auto"/>
              </w:rPr>
            </w:pPr>
            <w:r>
              <w:rPr>
                <w:color w:val="auto"/>
              </w:rPr>
              <w:t>沉降速度（m/s）</w:t>
            </w:r>
          </w:p>
        </w:tc>
        <w:tc>
          <w:tcPr>
            <w:tcW w:w="950" w:type="dxa"/>
            <w:vAlign w:val="center"/>
          </w:tcPr>
          <w:p w14:paraId="7B86F43A">
            <w:pPr>
              <w:pStyle w:val="31"/>
              <w:bidi w:val="0"/>
              <w:rPr>
                <w:color w:val="auto"/>
              </w:rPr>
            </w:pPr>
            <w:r>
              <w:rPr>
                <w:color w:val="auto"/>
              </w:rPr>
              <w:t>2.211</w:t>
            </w:r>
          </w:p>
        </w:tc>
        <w:tc>
          <w:tcPr>
            <w:tcW w:w="950" w:type="dxa"/>
            <w:vAlign w:val="center"/>
          </w:tcPr>
          <w:p w14:paraId="64366956">
            <w:pPr>
              <w:pStyle w:val="31"/>
              <w:bidi w:val="0"/>
              <w:rPr>
                <w:color w:val="auto"/>
              </w:rPr>
            </w:pPr>
            <w:r>
              <w:rPr>
                <w:color w:val="auto"/>
              </w:rPr>
              <w:t>2.614</w:t>
            </w:r>
          </w:p>
        </w:tc>
        <w:tc>
          <w:tcPr>
            <w:tcW w:w="949" w:type="dxa"/>
            <w:vAlign w:val="center"/>
          </w:tcPr>
          <w:p w14:paraId="5E0AF27D">
            <w:pPr>
              <w:pStyle w:val="31"/>
              <w:bidi w:val="0"/>
              <w:rPr>
                <w:color w:val="auto"/>
              </w:rPr>
            </w:pPr>
            <w:r>
              <w:rPr>
                <w:color w:val="auto"/>
              </w:rPr>
              <w:t>3.016</w:t>
            </w:r>
          </w:p>
        </w:tc>
        <w:tc>
          <w:tcPr>
            <w:tcW w:w="950" w:type="dxa"/>
            <w:vAlign w:val="center"/>
          </w:tcPr>
          <w:p w14:paraId="300BFC8F">
            <w:pPr>
              <w:pStyle w:val="31"/>
              <w:bidi w:val="0"/>
              <w:rPr>
                <w:color w:val="auto"/>
              </w:rPr>
            </w:pPr>
            <w:r>
              <w:rPr>
                <w:color w:val="auto"/>
              </w:rPr>
              <w:t>3.418</w:t>
            </w:r>
          </w:p>
        </w:tc>
        <w:tc>
          <w:tcPr>
            <w:tcW w:w="918" w:type="dxa"/>
            <w:vAlign w:val="center"/>
          </w:tcPr>
          <w:p w14:paraId="67602235">
            <w:pPr>
              <w:pStyle w:val="31"/>
              <w:bidi w:val="0"/>
              <w:rPr>
                <w:color w:val="auto"/>
              </w:rPr>
            </w:pPr>
            <w:r>
              <w:rPr>
                <w:color w:val="auto"/>
              </w:rPr>
              <w:t>3.82</w:t>
            </w:r>
          </w:p>
        </w:tc>
        <w:tc>
          <w:tcPr>
            <w:tcW w:w="1017" w:type="dxa"/>
            <w:vAlign w:val="center"/>
          </w:tcPr>
          <w:p w14:paraId="765EB6F5">
            <w:pPr>
              <w:pStyle w:val="31"/>
              <w:bidi w:val="0"/>
              <w:rPr>
                <w:color w:val="auto"/>
              </w:rPr>
            </w:pPr>
            <w:r>
              <w:rPr>
                <w:color w:val="auto"/>
              </w:rPr>
              <w:t>4.222</w:t>
            </w:r>
          </w:p>
        </w:tc>
        <w:tc>
          <w:tcPr>
            <w:tcW w:w="1213" w:type="dxa"/>
            <w:vAlign w:val="center"/>
          </w:tcPr>
          <w:p w14:paraId="6BCA1EB8">
            <w:pPr>
              <w:pStyle w:val="31"/>
              <w:bidi w:val="0"/>
              <w:rPr>
                <w:color w:val="auto"/>
              </w:rPr>
            </w:pPr>
            <w:r>
              <w:rPr>
                <w:color w:val="auto"/>
              </w:rPr>
              <w:t>4.624</w:t>
            </w:r>
          </w:p>
        </w:tc>
      </w:tr>
    </w:tbl>
    <w:p w14:paraId="4F3853D9">
      <w:pPr>
        <w:bidi w:val="0"/>
        <w:rPr>
          <w:color w:val="auto"/>
        </w:rPr>
      </w:pPr>
      <w:r>
        <w:rPr>
          <w:color w:val="auto"/>
        </w:rPr>
        <w:t>从上表可知，粉尘的沉降速度随粒径的增大而迅速增大。当粒径为250</w:t>
      </w:r>
      <w:r>
        <w:rPr>
          <w:rFonts w:hint="eastAsia"/>
          <w:color w:val="auto"/>
          <w:lang w:eastAsia="zh-CN"/>
        </w:rPr>
        <w:t>（</w:t>
      </w:r>
      <w:r>
        <w:rPr>
          <w:color w:val="auto"/>
        </w:rPr>
        <w:t>m时，沉降速度为1.005m/s，因此可以认为当尘粒大于250</w:t>
      </w:r>
      <w:r>
        <w:rPr>
          <w:rFonts w:hint="eastAsia"/>
          <w:color w:val="auto"/>
          <w:lang w:eastAsia="zh-CN"/>
        </w:rPr>
        <w:t>（</w:t>
      </w:r>
      <w:r>
        <w:rPr>
          <w:color w:val="auto"/>
        </w:rPr>
        <w:t>m时，主要影响范围在扬尘点下风向近距离范围内，而真正对外环境产生影响的是一些微小粒径的粉尘。</w:t>
      </w:r>
    </w:p>
    <w:p w14:paraId="0FB4667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Times New Roman" w:hAnsi="Times New Roman"/>
          <w:color w:val="auto"/>
        </w:rPr>
      </w:pPr>
      <w:r>
        <w:rPr>
          <w:color w:val="auto"/>
        </w:rPr>
        <w:t>抑制扬尘的一个简洁有效的措施是洒水。如果在施工期内对车辆行驶的路面实施洒水抑尘，每天洒水4-5次，可使扬尘减少70%左右。表5.3-2为施工场地洒水抑尘的试验结果。由该表数据可看出对施工场地实施每天洒水4-5次进行抑尘，可有效地控制施工扬尘，并可将TSP污染距离缩小到20-50m范围。</w:t>
      </w:r>
    </w:p>
    <w:p w14:paraId="30789006">
      <w:pPr>
        <w:pStyle w:val="11"/>
        <w:bidi w:val="0"/>
      </w:pPr>
      <w: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2</w:t>
      </w:r>
      <w:r>
        <w:fldChar w:fldCharType="end"/>
      </w:r>
      <w:r>
        <w:t>施工场地洒水抑尘试验结果单位：mg/m3</w:t>
      </w:r>
    </w:p>
    <w:tbl>
      <w:tblPr>
        <w:tblStyle w:val="33"/>
        <w:tblW w:w="5000" w:type="pct"/>
        <w:tblInd w:w="0" w:type="dxa"/>
        <w:tblLayout w:type="autofit"/>
        <w:tblCellMar>
          <w:top w:w="0" w:type="dxa"/>
          <w:left w:w="0" w:type="dxa"/>
          <w:bottom w:w="0" w:type="dxa"/>
          <w:right w:w="0" w:type="dxa"/>
        </w:tblCellMar>
      </w:tblPr>
      <w:tblGrid>
        <w:gridCol w:w="2132"/>
        <w:gridCol w:w="1354"/>
        <w:gridCol w:w="1159"/>
        <w:gridCol w:w="1351"/>
        <w:gridCol w:w="1159"/>
        <w:gridCol w:w="1161"/>
      </w:tblGrid>
      <w:tr w14:paraId="3509FED3">
        <w:tblPrEx>
          <w:tblCellMar>
            <w:top w:w="0" w:type="dxa"/>
            <w:left w:w="0" w:type="dxa"/>
            <w:bottom w:w="0" w:type="dxa"/>
            <w:right w:w="0" w:type="dxa"/>
          </w:tblCellMar>
        </w:tblPrEx>
        <w:trPr>
          <w:trHeight w:val="346" w:hRule="exact"/>
        </w:trPr>
        <w:tc>
          <w:tcPr>
            <w:tcW w:w="2096" w:type="pct"/>
            <w:gridSpan w:val="2"/>
            <w:tcBorders>
              <w:top w:val="single" w:color="000000" w:sz="4" w:space="0"/>
              <w:left w:val="single" w:color="000000" w:sz="4" w:space="0"/>
              <w:bottom w:val="single" w:color="000000" w:sz="4" w:space="0"/>
              <w:right w:val="single" w:color="000000" w:sz="4" w:space="0"/>
            </w:tcBorders>
            <w:vAlign w:val="center"/>
          </w:tcPr>
          <w:p w14:paraId="364784B5">
            <w:pPr>
              <w:pStyle w:val="31"/>
              <w:widowControl w:val="0"/>
              <w:bidi w:val="0"/>
              <w:rPr>
                <w:color w:val="auto"/>
                <w:lang w:eastAsia="en-US"/>
              </w:rPr>
            </w:pPr>
            <w:r>
              <w:rPr>
                <w:color w:val="auto"/>
                <w:lang w:eastAsia="en-US"/>
              </w:rPr>
              <w:t>距离</w:t>
            </w:r>
          </w:p>
        </w:tc>
        <w:tc>
          <w:tcPr>
            <w:tcW w:w="697" w:type="pct"/>
            <w:tcBorders>
              <w:top w:val="single" w:color="000000" w:sz="4" w:space="0"/>
              <w:left w:val="single" w:color="000000" w:sz="4" w:space="0"/>
              <w:bottom w:val="single" w:color="000000" w:sz="4" w:space="0"/>
              <w:right w:val="single" w:color="000000" w:sz="4" w:space="0"/>
            </w:tcBorders>
            <w:vAlign w:val="center"/>
          </w:tcPr>
          <w:p w14:paraId="5961558A">
            <w:pPr>
              <w:pStyle w:val="31"/>
              <w:widowControl w:val="0"/>
              <w:bidi w:val="0"/>
              <w:rPr>
                <w:color w:val="auto"/>
                <w:lang w:eastAsia="en-US"/>
              </w:rPr>
            </w:pPr>
            <w:r>
              <w:rPr>
                <w:color w:val="auto"/>
                <w:lang w:eastAsia="en-US"/>
              </w:rPr>
              <w:t>5m</w:t>
            </w:r>
          </w:p>
        </w:tc>
        <w:tc>
          <w:tcPr>
            <w:tcW w:w="812" w:type="pct"/>
            <w:tcBorders>
              <w:top w:val="single" w:color="000000" w:sz="4" w:space="0"/>
              <w:left w:val="single" w:color="000000" w:sz="4" w:space="0"/>
              <w:bottom w:val="single" w:color="000000" w:sz="4" w:space="0"/>
              <w:right w:val="single" w:color="000000" w:sz="4" w:space="0"/>
            </w:tcBorders>
            <w:vAlign w:val="center"/>
          </w:tcPr>
          <w:p w14:paraId="07284CFC">
            <w:pPr>
              <w:pStyle w:val="31"/>
              <w:widowControl w:val="0"/>
              <w:bidi w:val="0"/>
              <w:rPr>
                <w:color w:val="auto"/>
                <w:lang w:eastAsia="en-US"/>
              </w:rPr>
            </w:pPr>
            <w:r>
              <w:rPr>
                <w:color w:val="auto"/>
                <w:lang w:eastAsia="en-US"/>
              </w:rPr>
              <w:t>20m</w:t>
            </w:r>
          </w:p>
        </w:tc>
        <w:tc>
          <w:tcPr>
            <w:tcW w:w="697" w:type="pct"/>
            <w:tcBorders>
              <w:top w:val="single" w:color="000000" w:sz="4" w:space="0"/>
              <w:left w:val="single" w:color="000000" w:sz="4" w:space="0"/>
              <w:bottom w:val="single" w:color="000000" w:sz="4" w:space="0"/>
              <w:right w:val="single" w:color="000000" w:sz="4" w:space="0"/>
            </w:tcBorders>
            <w:vAlign w:val="center"/>
          </w:tcPr>
          <w:p w14:paraId="7FDE2F3B">
            <w:pPr>
              <w:pStyle w:val="31"/>
              <w:widowControl w:val="0"/>
              <w:bidi w:val="0"/>
              <w:rPr>
                <w:color w:val="auto"/>
                <w:lang w:eastAsia="en-US"/>
              </w:rPr>
            </w:pPr>
            <w:r>
              <w:rPr>
                <w:color w:val="auto"/>
                <w:lang w:eastAsia="en-US"/>
              </w:rPr>
              <w:t>50m</w:t>
            </w:r>
          </w:p>
        </w:tc>
        <w:tc>
          <w:tcPr>
            <w:tcW w:w="698" w:type="pct"/>
            <w:tcBorders>
              <w:top w:val="single" w:color="000000" w:sz="4" w:space="0"/>
              <w:left w:val="single" w:color="000000" w:sz="4" w:space="0"/>
              <w:bottom w:val="single" w:color="000000" w:sz="4" w:space="0"/>
              <w:right w:val="single" w:color="000000" w:sz="4" w:space="0"/>
            </w:tcBorders>
            <w:vAlign w:val="center"/>
          </w:tcPr>
          <w:p w14:paraId="55666E22">
            <w:pPr>
              <w:pStyle w:val="31"/>
              <w:widowControl w:val="0"/>
              <w:bidi w:val="0"/>
              <w:rPr>
                <w:color w:val="auto"/>
                <w:lang w:eastAsia="en-US"/>
              </w:rPr>
            </w:pPr>
            <w:r>
              <w:rPr>
                <w:color w:val="auto"/>
                <w:lang w:eastAsia="en-US"/>
              </w:rPr>
              <w:t>100m</w:t>
            </w:r>
          </w:p>
        </w:tc>
      </w:tr>
      <w:tr w14:paraId="5D01641F">
        <w:tblPrEx>
          <w:tblCellMar>
            <w:top w:w="0" w:type="dxa"/>
            <w:left w:w="0" w:type="dxa"/>
            <w:bottom w:w="0" w:type="dxa"/>
            <w:right w:w="0" w:type="dxa"/>
          </w:tblCellMar>
        </w:tblPrEx>
        <w:trPr>
          <w:trHeight w:val="346" w:hRule="exact"/>
        </w:trPr>
        <w:tc>
          <w:tcPr>
            <w:tcW w:w="1282" w:type="pct"/>
            <w:vMerge w:val="restart"/>
            <w:tcBorders>
              <w:top w:val="single" w:color="000000" w:sz="4" w:space="0"/>
              <w:left w:val="single" w:color="000000" w:sz="4" w:space="0"/>
              <w:right w:val="single" w:color="000000" w:sz="4" w:space="0"/>
            </w:tcBorders>
            <w:vAlign w:val="center"/>
          </w:tcPr>
          <w:p w14:paraId="2FC7C410">
            <w:pPr>
              <w:pStyle w:val="31"/>
              <w:widowControl w:val="0"/>
              <w:bidi w:val="0"/>
              <w:rPr>
                <w:color w:val="auto"/>
                <w:lang w:eastAsia="en-US"/>
              </w:rPr>
            </w:pPr>
            <w:r>
              <w:rPr>
                <w:color w:val="auto"/>
                <w:lang w:eastAsia="en-US"/>
              </w:rPr>
              <w:t>TSP小时平均浓度</w:t>
            </w:r>
          </w:p>
        </w:tc>
        <w:tc>
          <w:tcPr>
            <w:tcW w:w="814" w:type="pct"/>
            <w:tcBorders>
              <w:top w:val="single" w:color="000000" w:sz="4" w:space="0"/>
              <w:left w:val="single" w:color="000000" w:sz="4" w:space="0"/>
              <w:bottom w:val="single" w:color="000000" w:sz="4" w:space="0"/>
              <w:right w:val="single" w:color="000000" w:sz="4" w:space="0"/>
            </w:tcBorders>
            <w:vAlign w:val="center"/>
          </w:tcPr>
          <w:p w14:paraId="2DC8A6B1">
            <w:pPr>
              <w:pStyle w:val="31"/>
              <w:widowControl w:val="0"/>
              <w:bidi w:val="0"/>
              <w:rPr>
                <w:color w:val="auto"/>
                <w:lang w:eastAsia="en-US"/>
              </w:rPr>
            </w:pPr>
            <w:r>
              <w:rPr>
                <w:color w:val="auto"/>
                <w:lang w:eastAsia="en-US"/>
              </w:rPr>
              <w:t>不洒水</w:t>
            </w:r>
          </w:p>
        </w:tc>
        <w:tc>
          <w:tcPr>
            <w:tcW w:w="697" w:type="pct"/>
            <w:tcBorders>
              <w:top w:val="single" w:color="000000" w:sz="4" w:space="0"/>
              <w:left w:val="single" w:color="000000" w:sz="4" w:space="0"/>
              <w:bottom w:val="single" w:color="000000" w:sz="4" w:space="0"/>
              <w:right w:val="single" w:color="000000" w:sz="4" w:space="0"/>
            </w:tcBorders>
            <w:vAlign w:val="center"/>
          </w:tcPr>
          <w:p w14:paraId="6BF7321C">
            <w:pPr>
              <w:pStyle w:val="31"/>
              <w:widowControl w:val="0"/>
              <w:bidi w:val="0"/>
              <w:rPr>
                <w:color w:val="auto"/>
                <w:lang w:eastAsia="en-US"/>
              </w:rPr>
            </w:pPr>
            <w:r>
              <w:rPr>
                <w:color w:val="auto"/>
                <w:lang w:eastAsia="en-US"/>
              </w:rPr>
              <w:t>10.14</w:t>
            </w:r>
          </w:p>
        </w:tc>
        <w:tc>
          <w:tcPr>
            <w:tcW w:w="812" w:type="pct"/>
            <w:tcBorders>
              <w:top w:val="single" w:color="000000" w:sz="4" w:space="0"/>
              <w:left w:val="single" w:color="000000" w:sz="4" w:space="0"/>
              <w:bottom w:val="single" w:color="000000" w:sz="4" w:space="0"/>
              <w:right w:val="single" w:color="000000" w:sz="4" w:space="0"/>
            </w:tcBorders>
            <w:vAlign w:val="center"/>
          </w:tcPr>
          <w:p w14:paraId="51419617">
            <w:pPr>
              <w:pStyle w:val="31"/>
              <w:widowControl w:val="0"/>
              <w:bidi w:val="0"/>
              <w:rPr>
                <w:color w:val="auto"/>
                <w:lang w:eastAsia="en-US"/>
              </w:rPr>
            </w:pPr>
            <w:r>
              <w:rPr>
                <w:color w:val="auto"/>
                <w:lang w:eastAsia="en-US"/>
              </w:rPr>
              <w:t>2.89</w:t>
            </w:r>
          </w:p>
        </w:tc>
        <w:tc>
          <w:tcPr>
            <w:tcW w:w="697" w:type="pct"/>
            <w:tcBorders>
              <w:top w:val="single" w:color="000000" w:sz="4" w:space="0"/>
              <w:left w:val="single" w:color="000000" w:sz="4" w:space="0"/>
              <w:bottom w:val="single" w:color="000000" w:sz="4" w:space="0"/>
              <w:right w:val="single" w:color="000000" w:sz="4" w:space="0"/>
            </w:tcBorders>
            <w:vAlign w:val="center"/>
          </w:tcPr>
          <w:p w14:paraId="19C5D4B5">
            <w:pPr>
              <w:pStyle w:val="31"/>
              <w:widowControl w:val="0"/>
              <w:bidi w:val="0"/>
              <w:rPr>
                <w:color w:val="auto"/>
                <w:lang w:eastAsia="en-US"/>
              </w:rPr>
            </w:pPr>
            <w:r>
              <w:rPr>
                <w:color w:val="auto"/>
                <w:lang w:eastAsia="en-US"/>
              </w:rPr>
              <w:t>1.15</w:t>
            </w:r>
          </w:p>
        </w:tc>
        <w:tc>
          <w:tcPr>
            <w:tcW w:w="698" w:type="pct"/>
            <w:tcBorders>
              <w:top w:val="single" w:color="000000" w:sz="4" w:space="0"/>
              <w:left w:val="single" w:color="000000" w:sz="4" w:space="0"/>
              <w:bottom w:val="single" w:color="000000" w:sz="4" w:space="0"/>
              <w:right w:val="single" w:color="000000" w:sz="4" w:space="0"/>
            </w:tcBorders>
            <w:vAlign w:val="center"/>
          </w:tcPr>
          <w:p w14:paraId="11F0CE24">
            <w:pPr>
              <w:pStyle w:val="31"/>
              <w:widowControl w:val="0"/>
              <w:bidi w:val="0"/>
              <w:rPr>
                <w:color w:val="auto"/>
                <w:lang w:eastAsia="en-US"/>
              </w:rPr>
            </w:pPr>
            <w:r>
              <w:rPr>
                <w:color w:val="auto"/>
                <w:lang w:eastAsia="en-US"/>
              </w:rPr>
              <w:t>0.86</w:t>
            </w:r>
          </w:p>
        </w:tc>
      </w:tr>
      <w:tr w14:paraId="485A48D1">
        <w:tblPrEx>
          <w:tblCellMar>
            <w:top w:w="0" w:type="dxa"/>
            <w:left w:w="0" w:type="dxa"/>
            <w:bottom w:w="0" w:type="dxa"/>
            <w:right w:w="0" w:type="dxa"/>
          </w:tblCellMar>
        </w:tblPrEx>
        <w:trPr>
          <w:trHeight w:val="346" w:hRule="exact"/>
        </w:trPr>
        <w:tc>
          <w:tcPr>
            <w:tcW w:w="1282" w:type="pct"/>
            <w:vMerge w:val="continue"/>
            <w:tcBorders>
              <w:left w:val="single" w:color="000000" w:sz="4" w:space="0"/>
              <w:bottom w:val="single" w:color="000000" w:sz="4" w:space="0"/>
              <w:right w:val="single" w:color="000000" w:sz="4" w:space="0"/>
            </w:tcBorders>
            <w:vAlign w:val="center"/>
          </w:tcPr>
          <w:p w14:paraId="3C35C359">
            <w:pPr>
              <w:pStyle w:val="31"/>
              <w:widowControl w:val="0"/>
              <w:bidi w:val="0"/>
              <w:rPr>
                <w:color w:val="auto"/>
                <w:lang w:eastAsia="en-US"/>
              </w:rPr>
            </w:pPr>
          </w:p>
        </w:tc>
        <w:tc>
          <w:tcPr>
            <w:tcW w:w="814" w:type="pct"/>
            <w:tcBorders>
              <w:top w:val="single" w:color="000000" w:sz="4" w:space="0"/>
              <w:left w:val="single" w:color="000000" w:sz="4" w:space="0"/>
              <w:bottom w:val="single" w:color="000000" w:sz="4" w:space="0"/>
              <w:right w:val="single" w:color="000000" w:sz="4" w:space="0"/>
            </w:tcBorders>
            <w:vAlign w:val="center"/>
          </w:tcPr>
          <w:p w14:paraId="76942888">
            <w:pPr>
              <w:pStyle w:val="31"/>
              <w:widowControl w:val="0"/>
              <w:bidi w:val="0"/>
              <w:rPr>
                <w:color w:val="auto"/>
                <w:lang w:eastAsia="en-US"/>
              </w:rPr>
            </w:pPr>
            <w:r>
              <w:rPr>
                <w:color w:val="auto"/>
                <w:lang w:eastAsia="en-US"/>
              </w:rPr>
              <w:t>洒水</w:t>
            </w:r>
          </w:p>
        </w:tc>
        <w:tc>
          <w:tcPr>
            <w:tcW w:w="697" w:type="pct"/>
            <w:tcBorders>
              <w:top w:val="single" w:color="000000" w:sz="4" w:space="0"/>
              <w:left w:val="single" w:color="000000" w:sz="4" w:space="0"/>
              <w:bottom w:val="single" w:color="000000" w:sz="4" w:space="0"/>
              <w:right w:val="single" w:color="000000" w:sz="4" w:space="0"/>
            </w:tcBorders>
            <w:vAlign w:val="center"/>
          </w:tcPr>
          <w:p w14:paraId="5ABEF5E9">
            <w:pPr>
              <w:pStyle w:val="31"/>
              <w:widowControl w:val="0"/>
              <w:bidi w:val="0"/>
              <w:rPr>
                <w:color w:val="auto"/>
                <w:lang w:eastAsia="en-US"/>
              </w:rPr>
            </w:pPr>
            <w:r>
              <w:rPr>
                <w:color w:val="auto"/>
                <w:lang w:eastAsia="en-US"/>
              </w:rPr>
              <w:t>2.01</w:t>
            </w:r>
          </w:p>
        </w:tc>
        <w:tc>
          <w:tcPr>
            <w:tcW w:w="812" w:type="pct"/>
            <w:tcBorders>
              <w:top w:val="single" w:color="000000" w:sz="4" w:space="0"/>
              <w:left w:val="single" w:color="000000" w:sz="4" w:space="0"/>
              <w:bottom w:val="single" w:color="000000" w:sz="4" w:space="0"/>
              <w:right w:val="single" w:color="000000" w:sz="4" w:space="0"/>
            </w:tcBorders>
            <w:vAlign w:val="center"/>
          </w:tcPr>
          <w:p w14:paraId="324FC64F">
            <w:pPr>
              <w:pStyle w:val="31"/>
              <w:widowControl w:val="0"/>
              <w:bidi w:val="0"/>
              <w:rPr>
                <w:color w:val="auto"/>
                <w:lang w:eastAsia="en-US"/>
              </w:rPr>
            </w:pPr>
            <w:r>
              <w:rPr>
                <w:color w:val="auto"/>
                <w:lang w:eastAsia="en-US"/>
              </w:rPr>
              <w:t>1.40</w:t>
            </w:r>
          </w:p>
        </w:tc>
        <w:tc>
          <w:tcPr>
            <w:tcW w:w="697" w:type="pct"/>
            <w:tcBorders>
              <w:top w:val="single" w:color="000000" w:sz="4" w:space="0"/>
              <w:left w:val="single" w:color="000000" w:sz="4" w:space="0"/>
              <w:bottom w:val="single" w:color="000000" w:sz="4" w:space="0"/>
              <w:right w:val="single" w:color="000000" w:sz="4" w:space="0"/>
            </w:tcBorders>
            <w:vAlign w:val="center"/>
          </w:tcPr>
          <w:p w14:paraId="31793AB4">
            <w:pPr>
              <w:pStyle w:val="31"/>
              <w:widowControl w:val="0"/>
              <w:bidi w:val="0"/>
              <w:rPr>
                <w:color w:val="auto"/>
                <w:lang w:eastAsia="en-US"/>
              </w:rPr>
            </w:pPr>
            <w:r>
              <w:rPr>
                <w:color w:val="auto"/>
                <w:lang w:eastAsia="en-US"/>
              </w:rPr>
              <w:t>0.74</w:t>
            </w:r>
          </w:p>
        </w:tc>
        <w:tc>
          <w:tcPr>
            <w:tcW w:w="698" w:type="pct"/>
            <w:tcBorders>
              <w:top w:val="single" w:color="000000" w:sz="4" w:space="0"/>
              <w:left w:val="single" w:color="000000" w:sz="4" w:space="0"/>
              <w:bottom w:val="single" w:color="000000" w:sz="4" w:space="0"/>
              <w:right w:val="single" w:color="000000" w:sz="4" w:space="0"/>
            </w:tcBorders>
            <w:vAlign w:val="center"/>
          </w:tcPr>
          <w:p w14:paraId="72E604F8">
            <w:pPr>
              <w:pStyle w:val="31"/>
              <w:widowControl w:val="0"/>
              <w:bidi w:val="0"/>
              <w:rPr>
                <w:color w:val="auto"/>
                <w:lang w:eastAsia="en-US"/>
              </w:rPr>
            </w:pPr>
            <w:r>
              <w:rPr>
                <w:color w:val="auto"/>
                <w:lang w:eastAsia="en-US"/>
              </w:rPr>
              <w:t>0.60</w:t>
            </w:r>
          </w:p>
        </w:tc>
      </w:tr>
    </w:tbl>
    <w:p w14:paraId="3EF8A386">
      <w:pPr>
        <w:bidi w:val="0"/>
        <w:rPr>
          <w:color w:val="auto"/>
        </w:rPr>
      </w:pPr>
      <w:r>
        <w:rPr>
          <w:color w:val="auto"/>
        </w:rPr>
        <w:t>因此本工程在建设期应对运输的道路及时清扫和浇水，并加强施工管理，配置工地细目滞尘防护网，同时必须采用封闭车辆运输，以便最大程度减少扬尘对周围大气环境、敏感点的影响。在此基础上，施工扬尘对区域大气环境影响能控制在地块20-50m范围内，对区域大气环境影响较小。</w:t>
      </w:r>
    </w:p>
    <w:p w14:paraId="7264D6A4">
      <w:pPr>
        <w:bidi w:val="0"/>
        <w:rPr>
          <w:color w:val="auto"/>
        </w:rPr>
      </w:pPr>
      <w:r>
        <w:rPr>
          <w:color w:val="auto"/>
        </w:rPr>
        <w:t>（3）运输车辆造成的道路扬尘</w:t>
      </w:r>
    </w:p>
    <w:p w14:paraId="0C953A8A">
      <w:pPr>
        <w:bidi w:val="0"/>
        <w:rPr>
          <w:color w:val="auto"/>
        </w:rPr>
      </w:pPr>
      <w:r>
        <w:rPr>
          <w:color w:val="auto"/>
        </w:rPr>
        <w:t>施工道路扬尘包括施工车辆行驶时产生的路面扬尘、车上物料的沿途散落和风致扬尘，主要集中在工程施工区内的进场道路和主要运输干道两侧，尤其是作为场外物资进入施工区的主要通道的场外进场公路段。路面扬尘与路况、天气条件密切相关。对施工车辆经过的路段而言，积尘相对较多，若不能经常清除、冲洗路面积尘，则车辆经过时引起的扬尘较一般交通路面大得多，尤其在干燥的天气条件下，对道路两侧的影响明显。在物料运输过程中，物料在起、迄点的装卸和沿途的散落也会产生一定数量的扬尘。据了解，施工现场土方湿度较大，运输、装卸过程所引起的风致扬尘量相对于水泥、沙土而言要少得多。</w:t>
      </w:r>
    </w:p>
    <w:p w14:paraId="64EBD4AD">
      <w:pPr>
        <w:bidi w:val="0"/>
        <w:rPr>
          <w:color w:val="auto"/>
        </w:rPr>
      </w:pPr>
      <w:r>
        <w:rPr>
          <w:color w:val="auto"/>
        </w:rPr>
        <w:t>根据有关资料，施工过程中车辆行驶产生的扬尘约占施工总扬尘量的60%以上。项目建设过程中的运输车辆以5吨的卡车居多，车辆行驶产生的扬尘，在完全干燥的条件下的经验计算公式为：</w:t>
      </w:r>
    </w:p>
    <w:p w14:paraId="6B5EB94A">
      <w:pPr>
        <w:spacing w:after="120" w:afterLines="50"/>
        <w:jc w:val="center"/>
        <w:rPr>
          <w:rFonts w:ascii="Times New Roman" w:hAnsi="Times New Roman"/>
          <w:color w:val="auto"/>
          <w:sz w:val="24"/>
          <w:szCs w:val="24"/>
        </w:rPr>
      </w:pPr>
      <w:r>
        <w:rPr>
          <w:rFonts w:ascii="Times New Roman" w:hAnsi="Times New Roman"/>
          <w:color w:val="auto"/>
        </w:rPr>
        <w:drawing>
          <wp:inline distT="0" distB="0" distL="0" distR="0">
            <wp:extent cx="2721610" cy="287020"/>
            <wp:effectExtent l="0" t="0" r="8890" b="508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a:xfrm>
                      <a:off x="0" y="0"/>
                      <a:ext cx="2721934" cy="287363"/>
                    </a:xfrm>
                    <a:prstGeom prst="rect">
                      <a:avLst/>
                    </a:prstGeom>
                    <a:noFill/>
                    <a:ln>
                      <a:noFill/>
                    </a:ln>
                  </pic:spPr>
                </pic:pic>
              </a:graphicData>
            </a:graphic>
          </wp:inline>
        </w:drawing>
      </w:r>
    </w:p>
    <w:p w14:paraId="1C752CDA">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其中：Q—汽车行驶的扬尘，kg/km•辆；</w:t>
      </w:r>
    </w:p>
    <w:p w14:paraId="2414C5B2">
      <w:pPr>
        <w:spacing w:line="360" w:lineRule="auto"/>
        <w:ind w:firstLine="1200" w:firstLineChars="500"/>
        <w:rPr>
          <w:rFonts w:ascii="Times New Roman" w:hAnsi="Times New Roman"/>
          <w:color w:val="auto"/>
          <w:sz w:val="24"/>
          <w:szCs w:val="24"/>
        </w:rPr>
      </w:pPr>
      <w:r>
        <w:rPr>
          <w:rFonts w:ascii="Times New Roman" w:hAnsi="Times New Roman"/>
          <w:color w:val="auto"/>
          <w:sz w:val="24"/>
          <w:szCs w:val="24"/>
        </w:rPr>
        <w:t>V—汽车行驶速度，km/h；</w:t>
      </w:r>
    </w:p>
    <w:p w14:paraId="37F25472">
      <w:pPr>
        <w:spacing w:line="360" w:lineRule="auto"/>
        <w:ind w:firstLine="1200" w:firstLineChars="500"/>
        <w:rPr>
          <w:rFonts w:ascii="Times New Roman" w:hAnsi="Times New Roman"/>
          <w:color w:val="auto"/>
          <w:sz w:val="24"/>
          <w:szCs w:val="24"/>
        </w:rPr>
      </w:pPr>
      <w:r>
        <w:rPr>
          <w:rFonts w:ascii="Times New Roman" w:hAnsi="Times New Roman"/>
          <w:color w:val="auto"/>
          <w:sz w:val="24"/>
          <w:szCs w:val="24"/>
        </w:rPr>
        <w:t>W—汽车载重量，吨；</w:t>
      </w:r>
    </w:p>
    <w:p w14:paraId="1B1827DA">
      <w:pPr>
        <w:spacing w:line="360" w:lineRule="auto"/>
        <w:ind w:firstLine="1200" w:firstLineChars="500"/>
        <w:rPr>
          <w:rFonts w:ascii="Times New Roman" w:hAnsi="Times New Roman"/>
          <w:color w:val="auto"/>
          <w:sz w:val="24"/>
          <w:szCs w:val="24"/>
        </w:rPr>
      </w:pPr>
      <w:r>
        <w:rPr>
          <w:rFonts w:ascii="Times New Roman" w:hAnsi="Times New Roman"/>
          <w:color w:val="auto"/>
          <w:sz w:val="24"/>
          <w:szCs w:val="24"/>
        </w:rPr>
        <w:t>P—道路表面粉尘量，kg/m</w:t>
      </w:r>
      <w:r>
        <w:rPr>
          <w:rFonts w:ascii="Times New Roman" w:hAnsi="Times New Roman"/>
          <w:color w:val="auto"/>
          <w:sz w:val="24"/>
          <w:szCs w:val="24"/>
          <w:vertAlign w:val="superscript"/>
        </w:rPr>
        <w:t>2</w:t>
      </w:r>
      <w:r>
        <w:rPr>
          <w:rFonts w:ascii="Times New Roman" w:hAnsi="Times New Roman"/>
          <w:color w:val="auto"/>
          <w:sz w:val="24"/>
          <w:szCs w:val="24"/>
        </w:rPr>
        <w:t>。</w:t>
      </w:r>
    </w:p>
    <w:p w14:paraId="773322D3">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下表为一辆5吨的卡车，通过一段长度为500m的路面时，不同路面洁净程度和不同行驶速度情况下的扬尘量。由此可见，在同样路面清洁程度条件下，车速越快，扬尘量越大；在同样车速条件下，路面越脏，则扬尘量越大。因此可以通过采取限速行驶及保持路面清洁等措施减少施工汽车运输产生的扬尘对环境的影响。</w:t>
      </w:r>
    </w:p>
    <w:p w14:paraId="143C5E08">
      <w:pPr>
        <w:pStyle w:val="11"/>
        <w:bidi w:val="0"/>
      </w:pPr>
      <w: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3</w:t>
      </w:r>
      <w:r>
        <w:fldChar w:fldCharType="end"/>
      </w:r>
      <w:r>
        <w:t>不同车速和地面洁净程度的汽车扬尘产生情况单位：kg/辆·km</w:t>
      </w:r>
    </w:p>
    <w:tbl>
      <w:tblPr>
        <w:tblStyle w:val="33"/>
        <w:tblW w:w="5042" w:type="pct"/>
        <w:tblInd w:w="0" w:type="dxa"/>
        <w:tblLayout w:type="autofit"/>
        <w:tblCellMar>
          <w:top w:w="0" w:type="dxa"/>
          <w:left w:w="0" w:type="dxa"/>
          <w:bottom w:w="0" w:type="dxa"/>
          <w:right w:w="0" w:type="dxa"/>
        </w:tblCellMar>
      </w:tblPr>
      <w:tblGrid>
        <w:gridCol w:w="2168"/>
        <w:gridCol w:w="1071"/>
        <w:gridCol w:w="1026"/>
        <w:gridCol w:w="1051"/>
        <w:gridCol w:w="975"/>
        <w:gridCol w:w="1002"/>
        <w:gridCol w:w="1093"/>
      </w:tblGrid>
      <w:tr w14:paraId="103511D1">
        <w:tblPrEx>
          <w:tblCellMar>
            <w:top w:w="0" w:type="dxa"/>
            <w:left w:w="0" w:type="dxa"/>
            <w:bottom w:w="0" w:type="dxa"/>
            <w:right w:w="0" w:type="dxa"/>
          </w:tblCellMar>
        </w:tblPrEx>
        <w:trPr>
          <w:trHeight w:val="340" w:hRule="atLeast"/>
        </w:trPr>
        <w:tc>
          <w:tcPr>
            <w:tcW w:w="1292" w:type="pct"/>
            <w:tcBorders>
              <w:top w:val="single" w:color="000000" w:sz="4" w:space="0"/>
              <w:left w:val="single" w:color="000000" w:sz="4" w:space="0"/>
              <w:bottom w:val="single" w:color="000000" w:sz="4" w:space="0"/>
              <w:right w:val="single" w:color="000000" w:sz="4" w:space="0"/>
              <w:tl2br w:val="single" w:color="000000" w:sz="4" w:space="0"/>
            </w:tcBorders>
            <w:vAlign w:val="center"/>
          </w:tcPr>
          <w:p w14:paraId="10AAA33F">
            <w:pPr>
              <w:pStyle w:val="31"/>
              <w:widowControl w:val="0"/>
              <w:bidi w:val="0"/>
              <w:jc w:val="right"/>
              <w:rPr>
                <w:color w:val="auto"/>
                <w:lang w:eastAsia="en-US"/>
              </w:rPr>
            </w:pPr>
            <w:r>
              <w:rPr>
                <w:color w:val="auto"/>
                <w:lang w:eastAsia="en-US"/>
              </w:rPr>
              <w:t>P（kg/m</w:t>
            </w:r>
            <w:r>
              <w:rPr>
                <w:color w:val="auto"/>
                <w:vertAlign w:val="superscript"/>
                <w:lang w:eastAsia="en-US"/>
              </w:rPr>
              <w:t>2</w:t>
            </w:r>
            <w:r>
              <w:rPr>
                <w:color w:val="auto"/>
                <w:lang w:eastAsia="en-US"/>
              </w:rPr>
              <w:t>）</w:t>
            </w:r>
          </w:p>
          <w:p w14:paraId="5E092706">
            <w:pPr>
              <w:pStyle w:val="31"/>
              <w:widowControl w:val="0"/>
              <w:bidi w:val="0"/>
              <w:jc w:val="left"/>
              <w:rPr>
                <w:color w:val="auto"/>
                <w:lang w:eastAsia="en-US"/>
              </w:rPr>
            </w:pPr>
            <w:r>
              <w:rPr>
                <w:color w:val="auto"/>
                <w:lang w:eastAsia="en-US"/>
              </w:rPr>
              <w:t>车速（km/h）</w:t>
            </w:r>
          </w:p>
        </w:tc>
        <w:tc>
          <w:tcPr>
            <w:tcW w:w="638" w:type="pct"/>
            <w:tcBorders>
              <w:top w:val="single" w:color="000000" w:sz="4" w:space="0"/>
              <w:left w:val="single" w:color="000000" w:sz="4" w:space="0"/>
              <w:bottom w:val="single" w:color="000000" w:sz="4" w:space="0"/>
              <w:right w:val="single" w:color="000000" w:sz="4" w:space="0"/>
            </w:tcBorders>
            <w:vAlign w:val="center"/>
          </w:tcPr>
          <w:p w14:paraId="2FDE6882">
            <w:pPr>
              <w:pStyle w:val="31"/>
              <w:widowControl w:val="0"/>
              <w:bidi w:val="0"/>
              <w:rPr>
                <w:color w:val="auto"/>
                <w:lang w:eastAsia="en-US"/>
              </w:rPr>
            </w:pPr>
            <w:r>
              <w:rPr>
                <w:color w:val="auto"/>
                <w:lang w:eastAsia="en-US"/>
              </w:rPr>
              <w:t>0.1</w:t>
            </w:r>
          </w:p>
        </w:tc>
        <w:tc>
          <w:tcPr>
            <w:tcW w:w="611" w:type="pct"/>
            <w:tcBorders>
              <w:top w:val="single" w:color="000000" w:sz="4" w:space="0"/>
              <w:left w:val="single" w:color="000000" w:sz="4" w:space="0"/>
              <w:bottom w:val="single" w:color="000000" w:sz="4" w:space="0"/>
              <w:right w:val="single" w:color="000000" w:sz="4" w:space="0"/>
            </w:tcBorders>
            <w:vAlign w:val="center"/>
          </w:tcPr>
          <w:p w14:paraId="6A5812DE">
            <w:pPr>
              <w:pStyle w:val="31"/>
              <w:widowControl w:val="0"/>
              <w:bidi w:val="0"/>
              <w:rPr>
                <w:color w:val="auto"/>
                <w:lang w:eastAsia="en-US"/>
              </w:rPr>
            </w:pPr>
            <w:r>
              <w:rPr>
                <w:color w:val="auto"/>
                <w:lang w:eastAsia="en-US"/>
              </w:rPr>
              <w:t>0.2</w:t>
            </w:r>
          </w:p>
        </w:tc>
        <w:tc>
          <w:tcPr>
            <w:tcW w:w="626" w:type="pct"/>
            <w:tcBorders>
              <w:top w:val="single" w:color="000000" w:sz="4" w:space="0"/>
              <w:left w:val="single" w:color="000000" w:sz="4" w:space="0"/>
              <w:bottom w:val="single" w:color="000000" w:sz="4" w:space="0"/>
              <w:right w:val="single" w:color="000000" w:sz="4" w:space="0"/>
            </w:tcBorders>
            <w:vAlign w:val="center"/>
          </w:tcPr>
          <w:p w14:paraId="0D432B5F">
            <w:pPr>
              <w:pStyle w:val="31"/>
              <w:widowControl w:val="0"/>
              <w:bidi w:val="0"/>
              <w:rPr>
                <w:color w:val="auto"/>
                <w:lang w:eastAsia="en-US"/>
              </w:rPr>
            </w:pPr>
            <w:r>
              <w:rPr>
                <w:color w:val="auto"/>
                <w:lang w:eastAsia="en-US"/>
              </w:rPr>
              <w:t>0.3</w:t>
            </w:r>
          </w:p>
        </w:tc>
        <w:tc>
          <w:tcPr>
            <w:tcW w:w="581" w:type="pct"/>
            <w:tcBorders>
              <w:top w:val="single" w:color="000000" w:sz="4" w:space="0"/>
              <w:left w:val="single" w:color="000000" w:sz="4" w:space="0"/>
              <w:bottom w:val="single" w:color="000000" w:sz="4" w:space="0"/>
              <w:right w:val="single" w:color="000000" w:sz="4" w:space="0"/>
            </w:tcBorders>
            <w:vAlign w:val="center"/>
          </w:tcPr>
          <w:p w14:paraId="088372DD">
            <w:pPr>
              <w:pStyle w:val="31"/>
              <w:widowControl w:val="0"/>
              <w:bidi w:val="0"/>
              <w:rPr>
                <w:color w:val="auto"/>
                <w:lang w:eastAsia="en-US"/>
              </w:rPr>
            </w:pPr>
            <w:r>
              <w:rPr>
                <w:color w:val="auto"/>
                <w:lang w:eastAsia="en-US"/>
              </w:rPr>
              <w:t>0.4</w:t>
            </w:r>
          </w:p>
        </w:tc>
        <w:tc>
          <w:tcPr>
            <w:tcW w:w="597" w:type="pct"/>
            <w:tcBorders>
              <w:top w:val="single" w:color="000000" w:sz="4" w:space="0"/>
              <w:left w:val="single" w:color="000000" w:sz="4" w:space="0"/>
              <w:bottom w:val="single" w:color="000000" w:sz="4" w:space="0"/>
              <w:right w:val="single" w:color="000000" w:sz="4" w:space="0"/>
            </w:tcBorders>
            <w:vAlign w:val="center"/>
          </w:tcPr>
          <w:p w14:paraId="40D28F2E">
            <w:pPr>
              <w:pStyle w:val="31"/>
              <w:widowControl w:val="0"/>
              <w:bidi w:val="0"/>
              <w:rPr>
                <w:color w:val="auto"/>
                <w:lang w:eastAsia="en-US"/>
              </w:rPr>
            </w:pPr>
            <w:r>
              <w:rPr>
                <w:color w:val="auto"/>
                <w:lang w:eastAsia="en-US"/>
              </w:rPr>
              <w:t>0.5</w:t>
            </w:r>
          </w:p>
        </w:tc>
        <w:tc>
          <w:tcPr>
            <w:tcW w:w="651" w:type="pct"/>
            <w:tcBorders>
              <w:top w:val="single" w:color="000000" w:sz="4" w:space="0"/>
              <w:left w:val="single" w:color="000000" w:sz="4" w:space="0"/>
              <w:bottom w:val="single" w:color="000000" w:sz="4" w:space="0"/>
              <w:right w:val="single" w:color="000000" w:sz="4" w:space="0"/>
            </w:tcBorders>
            <w:vAlign w:val="center"/>
          </w:tcPr>
          <w:p w14:paraId="7714A182">
            <w:pPr>
              <w:pStyle w:val="31"/>
              <w:widowControl w:val="0"/>
              <w:bidi w:val="0"/>
              <w:rPr>
                <w:color w:val="auto"/>
                <w:lang w:eastAsia="en-US"/>
              </w:rPr>
            </w:pPr>
            <w:r>
              <w:rPr>
                <w:color w:val="auto"/>
                <w:lang w:eastAsia="en-US"/>
              </w:rPr>
              <w:t>0.6</w:t>
            </w:r>
          </w:p>
        </w:tc>
      </w:tr>
      <w:tr w14:paraId="3A6149A5">
        <w:tblPrEx>
          <w:tblCellMar>
            <w:top w:w="0" w:type="dxa"/>
            <w:left w:w="0" w:type="dxa"/>
            <w:bottom w:w="0" w:type="dxa"/>
            <w:right w:w="0" w:type="dxa"/>
          </w:tblCellMar>
        </w:tblPrEx>
        <w:trPr>
          <w:trHeight w:val="340" w:hRule="atLeast"/>
        </w:trPr>
        <w:tc>
          <w:tcPr>
            <w:tcW w:w="1292" w:type="pct"/>
            <w:tcBorders>
              <w:top w:val="single" w:color="000000" w:sz="4" w:space="0"/>
              <w:left w:val="single" w:color="000000" w:sz="4" w:space="0"/>
              <w:bottom w:val="single" w:color="000000" w:sz="4" w:space="0"/>
              <w:right w:val="single" w:color="000000" w:sz="4" w:space="0"/>
            </w:tcBorders>
            <w:vAlign w:val="center"/>
          </w:tcPr>
          <w:p w14:paraId="15DD5B57">
            <w:pPr>
              <w:pStyle w:val="31"/>
              <w:widowControl w:val="0"/>
              <w:bidi w:val="0"/>
              <w:rPr>
                <w:color w:val="auto"/>
                <w:lang w:eastAsia="en-US"/>
              </w:rPr>
            </w:pPr>
            <w:r>
              <w:rPr>
                <w:color w:val="auto"/>
                <w:lang w:eastAsia="en-US"/>
              </w:rPr>
              <w:t>5</w:t>
            </w:r>
          </w:p>
        </w:tc>
        <w:tc>
          <w:tcPr>
            <w:tcW w:w="638" w:type="pct"/>
            <w:tcBorders>
              <w:top w:val="single" w:color="000000" w:sz="4" w:space="0"/>
              <w:left w:val="single" w:color="000000" w:sz="4" w:space="0"/>
              <w:bottom w:val="single" w:color="000000" w:sz="4" w:space="0"/>
              <w:right w:val="single" w:color="000000" w:sz="4" w:space="0"/>
            </w:tcBorders>
            <w:vAlign w:val="center"/>
          </w:tcPr>
          <w:p w14:paraId="63311CC2">
            <w:pPr>
              <w:pStyle w:val="31"/>
              <w:widowControl w:val="0"/>
              <w:bidi w:val="0"/>
              <w:rPr>
                <w:color w:val="auto"/>
                <w:lang w:eastAsia="en-US"/>
              </w:rPr>
            </w:pPr>
            <w:r>
              <w:rPr>
                <w:color w:val="auto"/>
                <w:lang w:eastAsia="en-US"/>
              </w:rPr>
              <w:t>0.028</w:t>
            </w:r>
          </w:p>
        </w:tc>
        <w:tc>
          <w:tcPr>
            <w:tcW w:w="611" w:type="pct"/>
            <w:tcBorders>
              <w:top w:val="single" w:color="000000" w:sz="4" w:space="0"/>
              <w:left w:val="single" w:color="000000" w:sz="4" w:space="0"/>
              <w:bottom w:val="single" w:color="000000" w:sz="4" w:space="0"/>
              <w:right w:val="single" w:color="000000" w:sz="4" w:space="0"/>
            </w:tcBorders>
            <w:vAlign w:val="center"/>
          </w:tcPr>
          <w:p w14:paraId="18BAA2E1">
            <w:pPr>
              <w:pStyle w:val="31"/>
              <w:widowControl w:val="0"/>
              <w:bidi w:val="0"/>
              <w:rPr>
                <w:color w:val="auto"/>
                <w:lang w:eastAsia="en-US"/>
              </w:rPr>
            </w:pPr>
            <w:r>
              <w:rPr>
                <w:color w:val="auto"/>
                <w:lang w:eastAsia="en-US"/>
              </w:rPr>
              <w:t>0.048</w:t>
            </w:r>
          </w:p>
        </w:tc>
        <w:tc>
          <w:tcPr>
            <w:tcW w:w="626" w:type="pct"/>
            <w:tcBorders>
              <w:top w:val="single" w:color="000000" w:sz="4" w:space="0"/>
              <w:left w:val="single" w:color="000000" w:sz="4" w:space="0"/>
              <w:bottom w:val="single" w:color="000000" w:sz="4" w:space="0"/>
              <w:right w:val="single" w:color="000000" w:sz="4" w:space="0"/>
            </w:tcBorders>
            <w:vAlign w:val="center"/>
          </w:tcPr>
          <w:p w14:paraId="30472EB3">
            <w:pPr>
              <w:pStyle w:val="31"/>
              <w:widowControl w:val="0"/>
              <w:bidi w:val="0"/>
              <w:rPr>
                <w:color w:val="auto"/>
                <w:lang w:eastAsia="en-US"/>
              </w:rPr>
            </w:pPr>
            <w:r>
              <w:rPr>
                <w:color w:val="auto"/>
                <w:lang w:eastAsia="en-US"/>
              </w:rPr>
              <w:t>0.065</w:t>
            </w:r>
          </w:p>
        </w:tc>
        <w:tc>
          <w:tcPr>
            <w:tcW w:w="581" w:type="pct"/>
            <w:tcBorders>
              <w:top w:val="single" w:color="000000" w:sz="4" w:space="0"/>
              <w:left w:val="single" w:color="000000" w:sz="4" w:space="0"/>
              <w:bottom w:val="single" w:color="000000" w:sz="4" w:space="0"/>
              <w:right w:val="single" w:color="000000" w:sz="4" w:space="0"/>
            </w:tcBorders>
            <w:vAlign w:val="center"/>
          </w:tcPr>
          <w:p w14:paraId="39EE82C2">
            <w:pPr>
              <w:pStyle w:val="31"/>
              <w:widowControl w:val="0"/>
              <w:bidi w:val="0"/>
              <w:rPr>
                <w:color w:val="auto"/>
                <w:lang w:eastAsia="en-US"/>
              </w:rPr>
            </w:pPr>
            <w:r>
              <w:rPr>
                <w:color w:val="auto"/>
                <w:lang w:eastAsia="en-US"/>
              </w:rPr>
              <w:t>0.080</w:t>
            </w:r>
          </w:p>
        </w:tc>
        <w:tc>
          <w:tcPr>
            <w:tcW w:w="597" w:type="pct"/>
            <w:tcBorders>
              <w:top w:val="single" w:color="000000" w:sz="4" w:space="0"/>
              <w:left w:val="single" w:color="000000" w:sz="4" w:space="0"/>
              <w:bottom w:val="single" w:color="000000" w:sz="4" w:space="0"/>
              <w:right w:val="single" w:color="000000" w:sz="4" w:space="0"/>
            </w:tcBorders>
            <w:vAlign w:val="center"/>
          </w:tcPr>
          <w:p w14:paraId="01EC56B9">
            <w:pPr>
              <w:pStyle w:val="31"/>
              <w:widowControl w:val="0"/>
              <w:bidi w:val="0"/>
              <w:rPr>
                <w:color w:val="auto"/>
                <w:lang w:eastAsia="en-US"/>
              </w:rPr>
            </w:pPr>
            <w:r>
              <w:rPr>
                <w:color w:val="auto"/>
                <w:lang w:eastAsia="en-US"/>
              </w:rPr>
              <w:t>0.095</w:t>
            </w:r>
          </w:p>
        </w:tc>
        <w:tc>
          <w:tcPr>
            <w:tcW w:w="651" w:type="pct"/>
            <w:tcBorders>
              <w:top w:val="single" w:color="000000" w:sz="4" w:space="0"/>
              <w:left w:val="single" w:color="000000" w:sz="4" w:space="0"/>
              <w:bottom w:val="single" w:color="000000" w:sz="4" w:space="0"/>
              <w:right w:val="single" w:color="000000" w:sz="4" w:space="0"/>
            </w:tcBorders>
            <w:vAlign w:val="center"/>
          </w:tcPr>
          <w:p w14:paraId="3FF4731E">
            <w:pPr>
              <w:pStyle w:val="31"/>
              <w:widowControl w:val="0"/>
              <w:bidi w:val="0"/>
              <w:rPr>
                <w:color w:val="auto"/>
                <w:lang w:eastAsia="en-US"/>
              </w:rPr>
            </w:pPr>
            <w:r>
              <w:rPr>
                <w:color w:val="auto"/>
                <w:lang w:eastAsia="en-US"/>
              </w:rPr>
              <w:t>0.159</w:t>
            </w:r>
          </w:p>
        </w:tc>
      </w:tr>
      <w:tr w14:paraId="3CD0E89D">
        <w:tblPrEx>
          <w:tblCellMar>
            <w:top w:w="0" w:type="dxa"/>
            <w:left w:w="0" w:type="dxa"/>
            <w:bottom w:w="0" w:type="dxa"/>
            <w:right w:w="0" w:type="dxa"/>
          </w:tblCellMar>
        </w:tblPrEx>
        <w:trPr>
          <w:trHeight w:val="340" w:hRule="atLeast"/>
        </w:trPr>
        <w:tc>
          <w:tcPr>
            <w:tcW w:w="1292" w:type="pct"/>
            <w:tcBorders>
              <w:top w:val="single" w:color="000000" w:sz="4" w:space="0"/>
              <w:left w:val="single" w:color="000000" w:sz="4" w:space="0"/>
              <w:bottom w:val="single" w:color="000000" w:sz="4" w:space="0"/>
              <w:right w:val="single" w:color="000000" w:sz="4" w:space="0"/>
            </w:tcBorders>
            <w:vAlign w:val="center"/>
          </w:tcPr>
          <w:p w14:paraId="7A5B3C27">
            <w:pPr>
              <w:pStyle w:val="31"/>
              <w:widowControl w:val="0"/>
              <w:bidi w:val="0"/>
              <w:rPr>
                <w:color w:val="auto"/>
                <w:lang w:eastAsia="en-US"/>
              </w:rPr>
            </w:pPr>
            <w:r>
              <w:rPr>
                <w:color w:val="auto"/>
                <w:lang w:eastAsia="en-US"/>
              </w:rPr>
              <w:t>10</w:t>
            </w:r>
          </w:p>
        </w:tc>
        <w:tc>
          <w:tcPr>
            <w:tcW w:w="638" w:type="pct"/>
            <w:tcBorders>
              <w:top w:val="single" w:color="000000" w:sz="4" w:space="0"/>
              <w:left w:val="single" w:color="000000" w:sz="4" w:space="0"/>
              <w:bottom w:val="single" w:color="000000" w:sz="4" w:space="0"/>
              <w:right w:val="single" w:color="000000" w:sz="4" w:space="0"/>
            </w:tcBorders>
            <w:vAlign w:val="center"/>
          </w:tcPr>
          <w:p w14:paraId="5688ED3D">
            <w:pPr>
              <w:pStyle w:val="31"/>
              <w:widowControl w:val="0"/>
              <w:bidi w:val="0"/>
              <w:rPr>
                <w:color w:val="auto"/>
                <w:lang w:eastAsia="en-US"/>
              </w:rPr>
            </w:pPr>
            <w:r>
              <w:rPr>
                <w:color w:val="auto"/>
                <w:lang w:eastAsia="en-US"/>
              </w:rPr>
              <w:t>0.057</w:t>
            </w:r>
          </w:p>
        </w:tc>
        <w:tc>
          <w:tcPr>
            <w:tcW w:w="611" w:type="pct"/>
            <w:tcBorders>
              <w:top w:val="single" w:color="000000" w:sz="4" w:space="0"/>
              <w:left w:val="single" w:color="000000" w:sz="4" w:space="0"/>
              <w:bottom w:val="single" w:color="000000" w:sz="4" w:space="0"/>
              <w:right w:val="single" w:color="000000" w:sz="4" w:space="0"/>
            </w:tcBorders>
            <w:vAlign w:val="center"/>
          </w:tcPr>
          <w:p w14:paraId="000E3DE6">
            <w:pPr>
              <w:pStyle w:val="31"/>
              <w:widowControl w:val="0"/>
              <w:bidi w:val="0"/>
              <w:rPr>
                <w:color w:val="auto"/>
                <w:lang w:eastAsia="en-US"/>
              </w:rPr>
            </w:pPr>
            <w:r>
              <w:rPr>
                <w:color w:val="auto"/>
                <w:lang w:eastAsia="en-US"/>
              </w:rPr>
              <w:t>0.095</w:t>
            </w:r>
          </w:p>
        </w:tc>
        <w:tc>
          <w:tcPr>
            <w:tcW w:w="626" w:type="pct"/>
            <w:tcBorders>
              <w:top w:val="single" w:color="000000" w:sz="4" w:space="0"/>
              <w:left w:val="single" w:color="000000" w:sz="4" w:space="0"/>
              <w:bottom w:val="single" w:color="000000" w:sz="4" w:space="0"/>
              <w:right w:val="single" w:color="000000" w:sz="4" w:space="0"/>
            </w:tcBorders>
            <w:vAlign w:val="center"/>
          </w:tcPr>
          <w:p w14:paraId="1A726BF6">
            <w:pPr>
              <w:pStyle w:val="31"/>
              <w:widowControl w:val="0"/>
              <w:bidi w:val="0"/>
              <w:rPr>
                <w:color w:val="auto"/>
                <w:lang w:eastAsia="en-US"/>
              </w:rPr>
            </w:pPr>
            <w:r>
              <w:rPr>
                <w:color w:val="auto"/>
                <w:lang w:eastAsia="en-US"/>
              </w:rPr>
              <w:t>0.129</w:t>
            </w:r>
          </w:p>
        </w:tc>
        <w:tc>
          <w:tcPr>
            <w:tcW w:w="581" w:type="pct"/>
            <w:tcBorders>
              <w:top w:val="single" w:color="000000" w:sz="4" w:space="0"/>
              <w:left w:val="single" w:color="000000" w:sz="4" w:space="0"/>
              <w:bottom w:val="single" w:color="000000" w:sz="4" w:space="0"/>
              <w:right w:val="single" w:color="000000" w:sz="4" w:space="0"/>
            </w:tcBorders>
            <w:vAlign w:val="center"/>
          </w:tcPr>
          <w:p w14:paraId="331F7F55">
            <w:pPr>
              <w:pStyle w:val="31"/>
              <w:widowControl w:val="0"/>
              <w:bidi w:val="0"/>
              <w:rPr>
                <w:color w:val="auto"/>
                <w:lang w:eastAsia="en-US"/>
              </w:rPr>
            </w:pPr>
            <w:r>
              <w:rPr>
                <w:color w:val="auto"/>
                <w:lang w:eastAsia="en-US"/>
              </w:rPr>
              <w:t>0.160</w:t>
            </w:r>
          </w:p>
        </w:tc>
        <w:tc>
          <w:tcPr>
            <w:tcW w:w="597" w:type="pct"/>
            <w:tcBorders>
              <w:top w:val="single" w:color="000000" w:sz="4" w:space="0"/>
              <w:left w:val="single" w:color="000000" w:sz="4" w:space="0"/>
              <w:bottom w:val="single" w:color="000000" w:sz="4" w:space="0"/>
              <w:right w:val="single" w:color="000000" w:sz="4" w:space="0"/>
            </w:tcBorders>
            <w:vAlign w:val="center"/>
          </w:tcPr>
          <w:p w14:paraId="4E930E1C">
            <w:pPr>
              <w:pStyle w:val="31"/>
              <w:widowControl w:val="0"/>
              <w:bidi w:val="0"/>
              <w:rPr>
                <w:color w:val="auto"/>
                <w:lang w:eastAsia="en-US"/>
              </w:rPr>
            </w:pPr>
            <w:r>
              <w:rPr>
                <w:color w:val="auto"/>
                <w:lang w:eastAsia="en-US"/>
              </w:rPr>
              <w:t>0.189</w:t>
            </w:r>
          </w:p>
        </w:tc>
        <w:tc>
          <w:tcPr>
            <w:tcW w:w="651" w:type="pct"/>
            <w:tcBorders>
              <w:top w:val="single" w:color="000000" w:sz="4" w:space="0"/>
              <w:left w:val="single" w:color="000000" w:sz="4" w:space="0"/>
              <w:bottom w:val="single" w:color="000000" w:sz="4" w:space="0"/>
              <w:right w:val="single" w:color="000000" w:sz="4" w:space="0"/>
            </w:tcBorders>
            <w:vAlign w:val="center"/>
          </w:tcPr>
          <w:p w14:paraId="01913524">
            <w:pPr>
              <w:pStyle w:val="31"/>
              <w:widowControl w:val="0"/>
              <w:bidi w:val="0"/>
              <w:rPr>
                <w:color w:val="auto"/>
                <w:lang w:eastAsia="en-US"/>
              </w:rPr>
            </w:pPr>
            <w:r>
              <w:rPr>
                <w:color w:val="auto"/>
                <w:lang w:eastAsia="en-US"/>
              </w:rPr>
              <w:t>0.319</w:t>
            </w:r>
          </w:p>
        </w:tc>
      </w:tr>
      <w:tr w14:paraId="34D477AC">
        <w:tblPrEx>
          <w:tblCellMar>
            <w:top w:w="0" w:type="dxa"/>
            <w:left w:w="0" w:type="dxa"/>
            <w:bottom w:w="0" w:type="dxa"/>
            <w:right w:w="0" w:type="dxa"/>
          </w:tblCellMar>
        </w:tblPrEx>
        <w:trPr>
          <w:trHeight w:val="340" w:hRule="atLeast"/>
        </w:trPr>
        <w:tc>
          <w:tcPr>
            <w:tcW w:w="1292" w:type="pct"/>
            <w:tcBorders>
              <w:top w:val="single" w:color="000000" w:sz="4" w:space="0"/>
              <w:left w:val="single" w:color="000000" w:sz="4" w:space="0"/>
              <w:bottom w:val="single" w:color="000000" w:sz="4" w:space="0"/>
              <w:right w:val="single" w:color="000000" w:sz="4" w:space="0"/>
            </w:tcBorders>
            <w:vAlign w:val="center"/>
          </w:tcPr>
          <w:p w14:paraId="7CB59CFB">
            <w:pPr>
              <w:pStyle w:val="31"/>
              <w:widowControl w:val="0"/>
              <w:bidi w:val="0"/>
              <w:rPr>
                <w:color w:val="auto"/>
                <w:lang w:eastAsia="en-US"/>
              </w:rPr>
            </w:pPr>
            <w:r>
              <w:rPr>
                <w:color w:val="auto"/>
                <w:lang w:eastAsia="en-US"/>
              </w:rPr>
              <w:t>15</w:t>
            </w:r>
          </w:p>
        </w:tc>
        <w:tc>
          <w:tcPr>
            <w:tcW w:w="638" w:type="pct"/>
            <w:tcBorders>
              <w:top w:val="single" w:color="000000" w:sz="4" w:space="0"/>
              <w:left w:val="single" w:color="000000" w:sz="4" w:space="0"/>
              <w:bottom w:val="single" w:color="000000" w:sz="4" w:space="0"/>
              <w:right w:val="single" w:color="000000" w:sz="4" w:space="0"/>
            </w:tcBorders>
            <w:vAlign w:val="center"/>
          </w:tcPr>
          <w:p w14:paraId="7F4BDD33">
            <w:pPr>
              <w:pStyle w:val="31"/>
              <w:widowControl w:val="0"/>
              <w:bidi w:val="0"/>
              <w:rPr>
                <w:color w:val="auto"/>
                <w:lang w:eastAsia="en-US"/>
              </w:rPr>
            </w:pPr>
            <w:r>
              <w:rPr>
                <w:color w:val="auto"/>
                <w:lang w:eastAsia="en-US"/>
              </w:rPr>
              <w:t>0.085</w:t>
            </w:r>
          </w:p>
        </w:tc>
        <w:tc>
          <w:tcPr>
            <w:tcW w:w="611" w:type="pct"/>
            <w:tcBorders>
              <w:top w:val="single" w:color="000000" w:sz="4" w:space="0"/>
              <w:left w:val="single" w:color="000000" w:sz="4" w:space="0"/>
              <w:bottom w:val="single" w:color="000000" w:sz="4" w:space="0"/>
              <w:right w:val="single" w:color="000000" w:sz="4" w:space="0"/>
            </w:tcBorders>
            <w:vAlign w:val="center"/>
          </w:tcPr>
          <w:p w14:paraId="75B24B74">
            <w:pPr>
              <w:pStyle w:val="31"/>
              <w:widowControl w:val="0"/>
              <w:bidi w:val="0"/>
              <w:rPr>
                <w:color w:val="auto"/>
                <w:lang w:eastAsia="en-US"/>
              </w:rPr>
            </w:pPr>
            <w:r>
              <w:rPr>
                <w:color w:val="auto"/>
                <w:lang w:eastAsia="en-US"/>
              </w:rPr>
              <w:t>0.143</w:t>
            </w:r>
          </w:p>
        </w:tc>
        <w:tc>
          <w:tcPr>
            <w:tcW w:w="626" w:type="pct"/>
            <w:tcBorders>
              <w:top w:val="single" w:color="000000" w:sz="4" w:space="0"/>
              <w:left w:val="single" w:color="000000" w:sz="4" w:space="0"/>
              <w:bottom w:val="single" w:color="000000" w:sz="4" w:space="0"/>
              <w:right w:val="single" w:color="000000" w:sz="4" w:space="0"/>
            </w:tcBorders>
            <w:vAlign w:val="center"/>
          </w:tcPr>
          <w:p w14:paraId="199E4CEE">
            <w:pPr>
              <w:pStyle w:val="31"/>
              <w:widowControl w:val="0"/>
              <w:bidi w:val="0"/>
              <w:rPr>
                <w:color w:val="auto"/>
                <w:lang w:eastAsia="en-US"/>
              </w:rPr>
            </w:pPr>
            <w:r>
              <w:rPr>
                <w:color w:val="auto"/>
                <w:lang w:eastAsia="en-US"/>
              </w:rPr>
              <w:t>0.194</w:t>
            </w:r>
          </w:p>
        </w:tc>
        <w:tc>
          <w:tcPr>
            <w:tcW w:w="581" w:type="pct"/>
            <w:tcBorders>
              <w:top w:val="single" w:color="000000" w:sz="4" w:space="0"/>
              <w:left w:val="single" w:color="000000" w:sz="4" w:space="0"/>
              <w:bottom w:val="single" w:color="000000" w:sz="4" w:space="0"/>
              <w:right w:val="single" w:color="000000" w:sz="4" w:space="0"/>
            </w:tcBorders>
            <w:vAlign w:val="center"/>
          </w:tcPr>
          <w:p w14:paraId="4F76309A">
            <w:pPr>
              <w:pStyle w:val="31"/>
              <w:widowControl w:val="0"/>
              <w:bidi w:val="0"/>
              <w:rPr>
                <w:color w:val="auto"/>
                <w:lang w:eastAsia="en-US"/>
              </w:rPr>
            </w:pPr>
            <w:r>
              <w:rPr>
                <w:color w:val="auto"/>
                <w:lang w:eastAsia="en-US"/>
              </w:rPr>
              <w:t>0.240</w:t>
            </w:r>
          </w:p>
        </w:tc>
        <w:tc>
          <w:tcPr>
            <w:tcW w:w="597" w:type="pct"/>
            <w:tcBorders>
              <w:top w:val="single" w:color="000000" w:sz="4" w:space="0"/>
              <w:left w:val="single" w:color="000000" w:sz="4" w:space="0"/>
              <w:bottom w:val="single" w:color="000000" w:sz="4" w:space="0"/>
              <w:right w:val="single" w:color="000000" w:sz="4" w:space="0"/>
            </w:tcBorders>
            <w:vAlign w:val="center"/>
          </w:tcPr>
          <w:p w14:paraId="0D29D1EB">
            <w:pPr>
              <w:pStyle w:val="31"/>
              <w:widowControl w:val="0"/>
              <w:bidi w:val="0"/>
              <w:rPr>
                <w:color w:val="auto"/>
                <w:lang w:eastAsia="en-US"/>
              </w:rPr>
            </w:pPr>
            <w:r>
              <w:rPr>
                <w:color w:val="auto"/>
                <w:lang w:eastAsia="en-US"/>
              </w:rPr>
              <w:t>0.284</w:t>
            </w:r>
          </w:p>
        </w:tc>
        <w:tc>
          <w:tcPr>
            <w:tcW w:w="651" w:type="pct"/>
            <w:tcBorders>
              <w:top w:val="single" w:color="000000" w:sz="4" w:space="0"/>
              <w:left w:val="single" w:color="000000" w:sz="4" w:space="0"/>
              <w:bottom w:val="single" w:color="000000" w:sz="4" w:space="0"/>
              <w:right w:val="single" w:color="000000" w:sz="4" w:space="0"/>
            </w:tcBorders>
            <w:vAlign w:val="center"/>
          </w:tcPr>
          <w:p w14:paraId="64AF1C5E">
            <w:pPr>
              <w:pStyle w:val="31"/>
              <w:widowControl w:val="0"/>
              <w:bidi w:val="0"/>
              <w:rPr>
                <w:color w:val="auto"/>
                <w:lang w:eastAsia="en-US"/>
              </w:rPr>
            </w:pPr>
            <w:r>
              <w:rPr>
                <w:color w:val="auto"/>
                <w:lang w:eastAsia="en-US"/>
              </w:rPr>
              <w:t>0.478</w:t>
            </w:r>
          </w:p>
        </w:tc>
      </w:tr>
      <w:tr w14:paraId="01DF3F6B">
        <w:tblPrEx>
          <w:tblCellMar>
            <w:top w:w="0" w:type="dxa"/>
            <w:left w:w="0" w:type="dxa"/>
            <w:bottom w:w="0" w:type="dxa"/>
            <w:right w:w="0" w:type="dxa"/>
          </w:tblCellMar>
        </w:tblPrEx>
        <w:trPr>
          <w:trHeight w:val="340" w:hRule="atLeast"/>
        </w:trPr>
        <w:tc>
          <w:tcPr>
            <w:tcW w:w="1292" w:type="pct"/>
            <w:tcBorders>
              <w:top w:val="single" w:color="000000" w:sz="4" w:space="0"/>
              <w:left w:val="single" w:color="000000" w:sz="4" w:space="0"/>
              <w:bottom w:val="single" w:color="000000" w:sz="4" w:space="0"/>
              <w:right w:val="single" w:color="000000" w:sz="4" w:space="0"/>
            </w:tcBorders>
            <w:vAlign w:val="center"/>
          </w:tcPr>
          <w:p w14:paraId="710FC46E">
            <w:pPr>
              <w:pStyle w:val="31"/>
              <w:widowControl w:val="0"/>
              <w:bidi w:val="0"/>
              <w:rPr>
                <w:color w:val="auto"/>
                <w:lang w:eastAsia="en-US"/>
              </w:rPr>
            </w:pPr>
            <w:r>
              <w:rPr>
                <w:color w:val="auto"/>
                <w:lang w:eastAsia="en-US"/>
              </w:rPr>
              <w:t>20</w:t>
            </w:r>
          </w:p>
        </w:tc>
        <w:tc>
          <w:tcPr>
            <w:tcW w:w="638" w:type="pct"/>
            <w:tcBorders>
              <w:top w:val="single" w:color="000000" w:sz="4" w:space="0"/>
              <w:left w:val="single" w:color="000000" w:sz="4" w:space="0"/>
              <w:bottom w:val="single" w:color="000000" w:sz="4" w:space="0"/>
              <w:right w:val="single" w:color="000000" w:sz="4" w:space="0"/>
            </w:tcBorders>
            <w:vAlign w:val="center"/>
          </w:tcPr>
          <w:p w14:paraId="4E850CCC">
            <w:pPr>
              <w:pStyle w:val="31"/>
              <w:widowControl w:val="0"/>
              <w:bidi w:val="0"/>
              <w:rPr>
                <w:color w:val="auto"/>
                <w:lang w:eastAsia="en-US"/>
              </w:rPr>
            </w:pPr>
            <w:r>
              <w:rPr>
                <w:color w:val="auto"/>
                <w:lang w:eastAsia="en-US"/>
              </w:rPr>
              <w:t>0.113</w:t>
            </w:r>
          </w:p>
        </w:tc>
        <w:tc>
          <w:tcPr>
            <w:tcW w:w="611" w:type="pct"/>
            <w:tcBorders>
              <w:top w:val="single" w:color="000000" w:sz="4" w:space="0"/>
              <w:left w:val="single" w:color="000000" w:sz="4" w:space="0"/>
              <w:bottom w:val="single" w:color="000000" w:sz="4" w:space="0"/>
              <w:right w:val="single" w:color="000000" w:sz="4" w:space="0"/>
            </w:tcBorders>
            <w:vAlign w:val="center"/>
          </w:tcPr>
          <w:p w14:paraId="5D63F2E2">
            <w:pPr>
              <w:pStyle w:val="31"/>
              <w:widowControl w:val="0"/>
              <w:bidi w:val="0"/>
              <w:rPr>
                <w:color w:val="auto"/>
                <w:lang w:eastAsia="en-US"/>
              </w:rPr>
            </w:pPr>
            <w:r>
              <w:rPr>
                <w:color w:val="auto"/>
                <w:lang w:eastAsia="en-US"/>
              </w:rPr>
              <w:t>0.191</w:t>
            </w:r>
          </w:p>
        </w:tc>
        <w:tc>
          <w:tcPr>
            <w:tcW w:w="626" w:type="pct"/>
            <w:tcBorders>
              <w:top w:val="single" w:color="000000" w:sz="4" w:space="0"/>
              <w:left w:val="single" w:color="000000" w:sz="4" w:space="0"/>
              <w:bottom w:val="single" w:color="000000" w:sz="4" w:space="0"/>
              <w:right w:val="single" w:color="000000" w:sz="4" w:space="0"/>
            </w:tcBorders>
            <w:vAlign w:val="center"/>
          </w:tcPr>
          <w:p w14:paraId="5CE3FA08">
            <w:pPr>
              <w:pStyle w:val="31"/>
              <w:widowControl w:val="0"/>
              <w:bidi w:val="0"/>
              <w:rPr>
                <w:color w:val="auto"/>
                <w:lang w:eastAsia="en-US"/>
              </w:rPr>
            </w:pPr>
            <w:r>
              <w:rPr>
                <w:color w:val="auto"/>
                <w:lang w:eastAsia="en-US"/>
              </w:rPr>
              <w:t>0.258</w:t>
            </w:r>
          </w:p>
        </w:tc>
        <w:tc>
          <w:tcPr>
            <w:tcW w:w="581" w:type="pct"/>
            <w:tcBorders>
              <w:top w:val="single" w:color="000000" w:sz="4" w:space="0"/>
              <w:left w:val="single" w:color="000000" w:sz="4" w:space="0"/>
              <w:bottom w:val="single" w:color="000000" w:sz="4" w:space="0"/>
              <w:right w:val="single" w:color="000000" w:sz="4" w:space="0"/>
            </w:tcBorders>
            <w:vAlign w:val="center"/>
          </w:tcPr>
          <w:p w14:paraId="2811F202">
            <w:pPr>
              <w:pStyle w:val="31"/>
              <w:widowControl w:val="0"/>
              <w:bidi w:val="0"/>
              <w:rPr>
                <w:color w:val="auto"/>
                <w:lang w:eastAsia="en-US"/>
              </w:rPr>
            </w:pPr>
            <w:r>
              <w:rPr>
                <w:color w:val="auto"/>
                <w:lang w:eastAsia="en-US"/>
              </w:rPr>
              <w:t>0.320</w:t>
            </w:r>
          </w:p>
        </w:tc>
        <w:tc>
          <w:tcPr>
            <w:tcW w:w="597" w:type="pct"/>
            <w:tcBorders>
              <w:top w:val="single" w:color="000000" w:sz="4" w:space="0"/>
              <w:left w:val="single" w:color="000000" w:sz="4" w:space="0"/>
              <w:bottom w:val="single" w:color="000000" w:sz="4" w:space="0"/>
              <w:right w:val="single" w:color="000000" w:sz="4" w:space="0"/>
            </w:tcBorders>
            <w:vAlign w:val="center"/>
          </w:tcPr>
          <w:p w14:paraId="38040787">
            <w:pPr>
              <w:pStyle w:val="31"/>
              <w:widowControl w:val="0"/>
              <w:bidi w:val="0"/>
              <w:rPr>
                <w:color w:val="auto"/>
                <w:lang w:eastAsia="en-US"/>
              </w:rPr>
            </w:pPr>
            <w:r>
              <w:rPr>
                <w:color w:val="auto"/>
                <w:lang w:eastAsia="en-US"/>
              </w:rPr>
              <w:t>0.379</w:t>
            </w:r>
          </w:p>
        </w:tc>
        <w:tc>
          <w:tcPr>
            <w:tcW w:w="651" w:type="pct"/>
            <w:tcBorders>
              <w:top w:val="single" w:color="000000" w:sz="4" w:space="0"/>
              <w:left w:val="single" w:color="000000" w:sz="4" w:space="0"/>
              <w:bottom w:val="single" w:color="000000" w:sz="4" w:space="0"/>
              <w:right w:val="single" w:color="000000" w:sz="4" w:space="0"/>
            </w:tcBorders>
            <w:vAlign w:val="center"/>
          </w:tcPr>
          <w:p w14:paraId="05BBB80F">
            <w:pPr>
              <w:pStyle w:val="31"/>
              <w:widowControl w:val="0"/>
              <w:bidi w:val="0"/>
              <w:rPr>
                <w:color w:val="auto"/>
                <w:lang w:eastAsia="en-US"/>
              </w:rPr>
            </w:pPr>
            <w:r>
              <w:rPr>
                <w:color w:val="auto"/>
                <w:lang w:eastAsia="en-US"/>
              </w:rPr>
              <w:t>0.637</w:t>
            </w:r>
          </w:p>
        </w:tc>
      </w:tr>
    </w:tbl>
    <w:p w14:paraId="323B46C5">
      <w:pPr>
        <w:pStyle w:val="5"/>
        <w:bidi w:val="0"/>
        <w:rPr>
          <w:color w:val="auto"/>
        </w:rPr>
      </w:pPr>
      <w:r>
        <w:rPr>
          <w:color w:val="auto"/>
        </w:rPr>
        <w:t>燃油废气</w:t>
      </w:r>
    </w:p>
    <w:p w14:paraId="309F77E0">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本工程施工过程中使用的挖掘机、推土机、运输车辆等作业时将产生燃油废气，其主要污染物为SO</w:t>
      </w:r>
      <w:r>
        <w:rPr>
          <w:rFonts w:ascii="Times New Roman" w:hAnsi="Times New Roman"/>
          <w:color w:val="auto"/>
          <w:sz w:val="24"/>
          <w:szCs w:val="24"/>
          <w:vertAlign w:val="subscript"/>
        </w:rPr>
        <w:t>2</w:t>
      </w:r>
      <w:r>
        <w:rPr>
          <w:rFonts w:ascii="Times New Roman" w:hAnsi="Times New Roman"/>
          <w:color w:val="auto"/>
          <w:sz w:val="24"/>
          <w:szCs w:val="24"/>
        </w:rPr>
        <w:t>、NOx、总烃等，对大气环境会产生一定的影响。其产生量与施工机械数量及密度、耗油量、燃料品质及机械设备状况有关。施工机械属于间歇性污染源，运输车辆为流动性污染源，属无组织排放，排放主要集中在施工场地、施工运输公路和施工区域沿线。</w:t>
      </w:r>
    </w:p>
    <w:p w14:paraId="550CDF41">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施工场地汽车尾气对大气环境的影响有如下几个特点：</w:t>
      </w:r>
    </w:p>
    <w:p w14:paraId="03CFFC83">
      <w:pPr>
        <w:spacing w:line="360" w:lineRule="auto"/>
        <w:ind w:firstLine="480" w:firstLineChars="200"/>
        <w:rPr>
          <w:rFonts w:ascii="Times New Roman" w:hAnsi="Times New Roman"/>
          <w:color w:val="auto"/>
          <w:sz w:val="24"/>
          <w:szCs w:val="24"/>
        </w:rPr>
      </w:pPr>
      <w:r>
        <w:rPr>
          <w:rFonts w:hint="eastAsia" w:hAnsi="宋体" w:cs="宋体"/>
          <w:color w:val="auto"/>
          <w:sz w:val="24"/>
          <w:szCs w:val="24"/>
        </w:rPr>
        <w:t>①</w:t>
      </w:r>
      <w:r>
        <w:rPr>
          <w:rFonts w:ascii="Times New Roman" w:hAnsi="Times New Roman"/>
          <w:color w:val="auto"/>
          <w:sz w:val="24"/>
          <w:szCs w:val="24"/>
        </w:rPr>
        <w:t>车辆在是施工场范围内活动，尾气呈面源污染形式；</w:t>
      </w:r>
    </w:p>
    <w:p w14:paraId="63DC6B61">
      <w:pPr>
        <w:spacing w:line="360" w:lineRule="auto"/>
        <w:ind w:firstLine="480" w:firstLineChars="200"/>
        <w:rPr>
          <w:rFonts w:ascii="Times New Roman" w:hAnsi="Times New Roman"/>
          <w:color w:val="auto"/>
          <w:sz w:val="24"/>
          <w:szCs w:val="24"/>
        </w:rPr>
      </w:pPr>
      <w:r>
        <w:rPr>
          <w:rFonts w:hint="eastAsia" w:hAnsi="宋体" w:cs="宋体"/>
          <w:color w:val="auto"/>
          <w:sz w:val="24"/>
          <w:szCs w:val="24"/>
        </w:rPr>
        <w:t>②</w:t>
      </w:r>
      <w:r>
        <w:rPr>
          <w:rFonts w:ascii="Times New Roman" w:hAnsi="Times New Roman"/>
          <w:color w:val="auto"/>
          <w:sz w:val="24"/>
          <w:szCs w:val="24"/>
        </w:rPr>
        <w:t>车辆排气筒高度较低，尾气扩散范围不大，对周围地区影响较小；</w:t>
      </w:r>
    </w:p>
    <w:p w14:paraId="1A1C52A5">
      <w:pPr>
        <w:bidi w:val="0"/>
        <w:rPr>
          <w:color w:val="auto"/>
        </w:rPr>
      </w:pPr>
      <w:r>
        <w:rPr>
          <w:rFonts w:hint="eastAsia"/>
          <w:color w:val="auto"/>
        </w:rPr>
        <w:t>③</w:t>
      </w:r>
      <w:r>
        <w:rPr>
          <w:color w:val="auto"/>
        </w:rPr>
        <w:t>车辆为非连续行驶状态，污染物排放时间及排放量相对较少。</w:t>
      </w:r>
    </w:p>
    <w:p w14:paraId="5DCF83E5">
      <w:pPr>
        <w:bidi w:val="0"/>
        <w:rPr>
          <w:color w:val="auto"/>
        </w:rPr>
      </w:pPr>
      <w:r>
        <w:rPr>
          <w:color w:val="auto"/>
        </w:rPr>
        <w:t>根据工程施工组织设计，工程使用的机械数量不多且分散，排放高度有限，影响范围仅限于施工现场和十分有限的范围，具有污染范围小、时间短的特点，工程施工区域地势开阔，周围大多为空地、滩地和河道，大气扩散条件较好，有利于污染物质的扩散，因此工程施工机械排放的废气对周边环境影响较小，不会加重区域环境空气质量污染程度。</w:t>
      </w:r>
    </w:p>
    <w:p w14:paraId="363E6EDF">
      <w:pPr>
        <w:pStyle w:val="5"/>
        <w:bidi w:val="0"/>
        <w:rPr>
          <w:color w:val="auto"/>
        </w:rPr>
      </w:pPr>
      <w:r>
        <w:rPr>
          <w:color w:val="auto"/>
        </w:rPr>
        <w:t>清淤底泥恶臭</w:t>
      </w:r>
    </w:p>
    <w:p w14:paraId="17CDFEC7">
      <w:pPr>
        <w:bidi w:val="0"/>
        <w:rPr>
          <w:color w:val="auto"/>
        </w:rPr>
      </w:pPr>
      <w:r>
        <w:rPr>
          <w:rFonts w:hint="eastAsia"/>
          <w:color w:val="auto"/>
          <w:lang w:val="en-US" w:eastAsia="zh-CN"/>
        </w:rPr>
        <w:t>本项目抛泥区清理工程主要为滩地垃圾清除、杂木砍树挖根及大块孤石等。本项目清理</w:t>
      </w:r>
      <w:r>
        <w:rPr>
          <w:rFonts w:hint="eastAsia"/>
          <w:color w:val="auto"/>
        </w:rPr>
        <w:t>的</w:t>
      </w:r>
      <w:r>
        <w:rPr>
          <w:rFonts w:hint="eastAsia"/>
          <w:color w:val="auto"/>
          <w:lang w:val="en-US" w:eastAsia="zh-CN"/>
        </w:rPr>
        <w:t>底</w:t>
      </w:r>
      <w:r>
        <w:rPr>
          <w:rFonts w:hint="eastAsia"/>
          <w:color w:val="auto"/>
        </w:rPr>
        <w:t>泥</w:t>
      </w:r>
      <w:r>
        <w:rPr>
          <w:rFonts w:hint="eastAsia"/>
          <w:color w:val="auto"/>
          <w:lang w:val="en-US" w:eastAsia="zh-CN"/>
        </w:rPr>
        <w:t>弃土</w:t>
      </w:r>
      <w:r>
        <w:rPr>
          <w:rFonts w:hint="eastAsia"/>
          <w:color w:val="auto"/>
        </w:rPr>
        <w:t>在运至指定弃土场堆放晾晒，淤泥在运输过程中按照指定路线运输，尽量避开居民集中区。</w:t>
      </w:r>
    </w:p>
    <w:p w14:paraId="57E5600F">
      <w:pPr>
        <w:bidi w:val="0"/>
        <w:rPr>
          <w:color w:val="auto"/>
        </w:rPr>
      </w:pPr>
      <w:r>
        <w:rPr>
          <w:rFonts w:hint="eastAsia"/>
          <w:color w:val="auto"/>
          <w:lang w:val="en-US" w:eastAsia="zh-CN"/>
        </w:rPr>
        <w:t>抛泥区清理工程</w:t>
      </w:r>
      <w:r>
        <w:rPr>
          <w:color w:val="auto"/>
        </w:rPr>
        <w:t>的各恶臭源的恶臭散发多以无组织的自然扩散为主，散发到大气环境中又以气体、气溶胶和雾三种形式存在，故对其进行采样分析和定量预测相对而言是比较困难的，加之施工时是完全敞开式，其排放量和影响程度及范围受气象条件、水温、水质、pH值及操作与管理水平等多种因素的影响。人们对恶臭的敏感性随个人的生理和心理条件、年龄、性别、职业等因素的不同而不同，评价恶臭的标准尚有一定的主观性，进行科学预测又无成熟的预测模式，故本评价借助类比资料对环境空气的影响进行分析。</w:t>
      </w:r>
    </w:p>
    <w:p w14:paraId="0E543E2E">
      <w:pPr>
        <w:bidi w:val="0"/>
        <w:rPr>
          <w:rFonts w:hint="eastAsia"/>
          <w:color w:val="auto"/>
          <w:lang w:eastAsia="zh-CN"/>
        </w:rPr>
      </w:pPr>
      <w:r>
        <w:rPr>
          <w:rFonts w:hint="eastAsia"/>
          <w:color w:val="auto"/>
          <w:lang w:eastAsia="zh-CN"/>
        </w:rPr>
        <w:t>本工程河道清淤类比《河湖清淤工程环境影响评价要点分析-以太湖输水主通道清淤工程为例》（《水利科技与经济》，第18卷第12期），太湖输水主通道清淤工程清淤量为396143.2m</w:t>
      </w:r>
      <w:r>
        <w:rPr>
          <w:rFonts w:hint="eastAsia"/>
          <w:color w:val="auto"/>
          <w:vertAlign w:val="superscript"/>
          <w:lang w:val="en-US" w:eastAsia="zh-CN"/>
        </w:rPr>
        <w:t>2</w:t>
      </w:r>
      <w:r>
        <w:rPr>
          <w:rFonts w:hint="eastAsia"/>
          <w:color w:val="auto"/>
          <w:lang w:eastAsia="zh-CN"/>
        </w:rPr>
        <w:t>，排泥场占地面积10亩，沉淀池占地2亩，项目排泥场为主要恶臭污染源，认为受恶臭影响概率较大的是排泥场东南及西北区域，下风向30m处臭气强度可达2级强度，有轻微臭味，大致相当于《</w:t>
      </w:r>
      <w:r>
        <w:rPr>
          <w:rFonts w:hint="eastAsia"/>
          <w:color w:val="auto"/>
          <w:lang w:val="en-US" w:eastAsia="zh-CN"/>
        </w:rPr>
        <w:t>恶臭</w:t>
      </w:r>
      <w:r>
        <w:rPr>
          <w:rFonts w:hint="eastAsia"/>
          <w:color w:val="auto"/>
          <w:lang w:eastAsia="zh-CN"/>
        </w:rPr>
        <w:t>污染物排放标准》（GB14554-93）规定的二级标准限值，80m外基本无气味。</w:t>
      </w:r>
    </w:p>
    <w:p w14:paraId="06F460BB">
      <w:pPr>
        <w:bidi w:val="0"/>
        <w:rPr>
          <w:color w:val="auto"/>
        </w:rPr>
      </w:pPr>
      <w:r>
        <w:rPr>
          <w:rFonts w:hint="eastAsia"/>
          <w:color w:val="auto"/>
          <w:lang w:eastAsia="zh-CN"/>
        </w:rPr>
        <w:t>本项目</w:t>
      </w:r>
      <w:r>
        <w:rPr>
          <w:rFonts w:hint="eastAsia"/>
          <w:color w:val="auto"/>
          <w:lang w:val="en-US" w:eastAsia="zh-CN"/>
        </w:rPr>
        <w:t>于该工程内容类似</w:t>
      </w:r>
      <w:r>
        <w:rPr>
          <w:rFonts w:hint="eastAsia"/>
          <w:color w:val="auto"/>
          <w:lang w:eastAsia="zh-CN"/>
        </w:rPr>
        <w:t>，淤泥恶臭在2级以下，80m以外基本嗅不出异味。本项目清淤工程80m内</w:t>
      </w:r>
      <w:r>
        <w:rPr>
          <w:rFonts w:hint="eastAsia"/>
          <w:color w:val="auto"/>
          <w:lang w:val="en-US" w:eastAsia="zh-CN"/>
        </w:rPr>
        <w:t>无</w:t>
      </w:r>
      <w:r>
        <w:rPr>
          <w:rFonts w:hint="eastAsia"/>
          <w:color w:val="auto"/>
          <w:lang w:eastAsia="zh-CN"/>
        </w:rPr>
        <w:t>居民点，河道清淤淤泥恶臭对邻近居民影响</w:t>
      </w:r>
      <w:r>
        <w:rPr>
          <w:rFonts w:hint="eastAsia"/>
          <w:color w:val="auto"/>
          <w:lang w:val="en-US" w:eastAsia="zh-CN"/>
        </w:rPr>
        <w:t>较小</w:t>
      </w:r>
      <w:r>
        <w:rPr>
          <w:rFonts w:hint="eastAsia"/>
          <w:color w:val="auto"/>
          <w:lang w:eastAsia="zh-CN"/>
        </w:rPr>
        <w:t>。</w:t>
      </w:r>
      <w:r>
        <w:rPr>
          <w:rFonts w:hint="eastAsia"/>
          <w:color w:val="auto"/>
          <w:lang w:val="en-US" w:eastAsia="zh-CN"/>
        </w:rPr>
        <w:t>项目</w:t>
      </w:r>
      <w:r>
        <w:rPr>
          <w:color w:val="auto"/>
        </w:rPr>
        <w:t>施工过程臭味气体量不大、易于被大气扩散稀释，底泥清淤段长度较短，清淤量总体不大，恶臭随着施工结束而逐渐消失，恶臭对周边环境影响较小。</w:t>
      </w:r>
    </w:p>
    <w:p w14:paraId="4D84ECC0">
      <w:pPr>
        <w:bidi w:val="0"/>
        <w:rPr>
          <w:color w:val="auto"/>
        </w:rPr>
      </w:pPr>
      <w:r>
        <w:rPr>
          <w:color w:val="auto"/>
        </w:rPr>
        <w:t>另外，根据工程施工布置，</w:t>
      </w:r>
      <w:r>
        <w:rPr>
          <w:rFonts w:hint="eastAsia"/>
          <w:color w:val="auto"/>
          <w:lang w:val="en-US" w:eastAsia="zh-CN"/>
        </w:rPr>
        <w:t>弃土区</w:t>
      </w:r>
      <w:r>
        <w:rPr>
          <w:color w:val="auto"/>
        </w:rPr>
        <w:t>地势较为低洼、开阔，现状为</w:t>
      </w:r>
      <w:r>
        <w:rPr>
          <w:rFonts w:hint="eastAsia"/>
          <w:color w:val="auto"/>
        </w:rPr>
        <w:t>开挖山体低洼地</w:t>
      </w:r>
      <w:r>
        <w:rPr>
          <w:rFonts w:hint="eastAsia"/>
          <w:color w:val="auto"/>
          <w:lang w:eastAsia="zh-CN"/>
        </w:rPr>
        <w:t>，</w:t>
      </w:r>
      <w:r>
        <w:rPr>
          <w:color w:val="auto"/>
        </w:rPr>
        <w:t>而且</w:t>
      </w:r>
      <w:r>
        <w:rPr>
          <w:rFonts w:hint="eastAsia"/>
          <w:color w:val="auto"/>
          <w:lang w:val="en-US" w:eastAsia="zh-CN"/>
        </w:rPr>
        <w:t>弃土区</w:t>
      </w:r>
      <w:r>
        <w:rPr>
          <w:color w:val="auto"/>
        </w:rPr>
        <w:t>带来的恶臭影响是暂时的，随着施工结束会逐渐消失。因此，底泥临时堆场散发的恶臭气体对周围居民生活环境影响不大。</w:t>
      </w:r>
    </w:p>
    <w:p w14:paraId="5452E65C">
      <w:pPr>
        <w:pStyle w:val="4"/>
        <w:bidi w:val="0"/>
        <w:rPr>
          <w:rFonts w:hint="eastAsia"/>
          <w:color w:val="auto"/>
          <w:lang w:val="zh-CN" w:eastAsia="zh-CN"/>
        </w:rPr>
      </w:pPr>
      <w:bookmarkStart w:id="181" w:name="_Toc24141"/>
      <w:r>
        <w:rPr>
          <w:rFonts w:hint="eastAsia"/>
          <w:color w:val="auto"/>
          <w:lang w:val="en-US" w:eastAsia="zh-CN"/>
        </w:rPr>
        <w:t>施工期噪</w:t>
      </w:r>
      <w:r>
        <w:rPr>
          <w:rFonts w:hint="eastAsia"/>
          <w:color w:val="auto"/>
          <w:lang w:val="zh-CN" w:eastAsia="zh-CN"/>
        </w:rPr>
        <w:t>声环境影响预测</w:t>
      </w:r>
      <w:r>
        <w:rPr>
          <w:rFonts w:hint="eastAsia"/>
          <w:color w:val="auto"/>
          <w:lang w:val="en-US" w:eastAsia="zh-CN"/>
        </w:rPr>
        <w:t>与评价</w:t>
      </w:r>
      <w:bookmarkEnd w:id="181"/>
    </w:p>
    <w:p w14:paraId="0ADC3C43">
      <w:pPr>
        <w:bidi w:val="0"/>
        <w:rPr>
          <w:color w:val="auto"/>
        </w:rPr>
      </w:pPr>
      <w:r>
        <w:rPr>
          <w:color w:val="auto"/>
        </w:rPr>
        <w:t>本项目主要为施工期噪声。施工期噪声具有阶段性、临时性和不固定性。据同类型调研，本项目施工期的噪声主要来自建造时各种机械设备运作产生的噪声及运输、场地处理等施工作业噪声。施工机械一般位于露天，噪声传播距离远，影响范围大，是重要的临时性噪声源。下表列出了常见的施工机械的噪声级。在多台机械设备同时作业时，各台设备产生的噪声会产生叠加，根据类比调查，叠加后的噪声增值约为3~8dB。</w:t>
      </w:r>
    </w:p>
    <w:p w14:paraId="79149AB1">
      <w:pPr>
        <w:pStyle w:val="5"/>
        <w:bidi w:val="0"/>
        <w:rPr>
          <w:color w:val="auto"/>
        </w:rPr>
      </w:pPr>
      <w:r>
        <w:rPr>
          <w:rFonts w:hint="eastAsia"/>
          <w:color w:val="auto"/>
        </w:rPr>
        <w:t>施工机械噪声影响</w:t>
      </w:r>
      <w:r>
        <w:rPr>
          <w:color w:val="auto"/>
        </w:rPr>
        <w:t>预测</w:t>
      </w:r>
      <w:r>
        <w:rPr>
          <w:rFonts w:hint="eastAsia"/>
          <w:color w:val="auto"/>
        </w:rPr>
        <w:t>分析</w:t>
      </w:r>
    </w:p>
    <w:p w14:paraId="74031276">
      <w:pPr>
        <w:bidi w:val="0"/>
        <w:rPr>
          <w:color w:val="auto"/>
        </w:rPr>
      </w:pPr>
      <w:r>
        <w:rPr>
          <w:color w:val="auto"/>
        </w:rPr>
        <w:t>（1）单个噪声源预测模式</w:t>
      </w:r>
    </w:p>
    <w:p w14:paraId="23429D35">
      <w:pPr>
        <w:bidi w:val="0"/>
        <w:rPr>
          <w:color w:val="auto"/>
        </w:rPr>
      </w:pPr>
      <w:r>
        <w:rPr>
          <w:color w:val="auto"/>
        </w:rPr>
        <w:t>预测采用《环境影响评价技术导则声环境》</w:t>
      </w:r>
      <w:r>
        <w:rPr>
          <w:rFonts w:hint="eastAsia"/>
          <w:color w:val="auto"/>
          <w:lang w:eastAsia="zh-CN"/>
        </w:rPr>
        <w:t>（HJ2.4-2021）</w:t>
      </w:r>
      <w:r>
        <w:rPr>
          <w:color w:val="auto"/>
        </w:rPr>
        <w:t>中推荐的单个室外的点声源在预测点产生的声级计算基本公式，导则中指出在不能取得声源倍频带声功率级或倍频带声压级，只能获得A声功率级或某点A声级时，可按下式作近似计算：</w:t>
      </w:r>
    </w:p>
    <w:p w14:paraId="6303B4E0">
      <w:pPr>
        <w:spacing w:line="360" w:lineRule="auto"/>
        <w:jc w:val="center"/>
        <w:rPr>
          <w:rFonts w:ascii="Times New Roman" w:hAnsi="Times New Roman"/>
          <w:color w:val="auto"/>
          <w:sz w:val="24"/>
          <w:szCs w:val="24"/>
        </w:rPr>
      </w:pPr>
      <w:r>
        <w:rPr>
          <w:rFonts w:ascii="Times New Roman" w:hAnsi="Times New Roman"/>
          <w:color w:val="auto"/>
          <w:sz w:val="24"/>
          <w:szCs w:val="24"/>
        </w:rPr>
        <w:t>L</w:t>
      </w:r>
      <w:r>
        <w:rPr>
          <w:rFonts w:ascii="Times New Roman" w:hAnsi="Times New Roman"/>
          <w:color w:val="auto"/>
          <w:sz w:val="24"/>
          <w:szCs w:val="24"/>
          <w:vertAlign w:val="subscript"/>
        </w:rPr>
        <w:t>A</w:t>
      </w:r>
      <w:r>
        <w:rPr>
          <w:rFonts w:hint="eastAsia"/>
          <w:color w:val="auto"/>
          <w:sz w:val="24"/>
          <w:szCs w:val="24"/>
          <w:lang w:eastAsia="zh-CN"/>
        </w:rPr>
        <w:t>（</w:t>
      </w:r>
      <w:r>
        <w:rPr>
          <w:rFonts w:ascii="Times New Roman" w:hAnsi="Times New Roman"/>
          <w:color w:val="auto"/>
          <w:sz w:val="24"/>
          <w:szCs w:val="24"/>
        </w:rPr>
        <w:t>r</w:t>
      </w:r>
      <w:r>
        <w:rPr>
          <w:rFonts w:hint="eastAsia"/>
          <w:color w:val="auto"/>
          <w:sz w:val="24"/>
          <w:szCs w:val="24"/>
          <w:lang w:eastAsia="zh-CN"/>
        </w:rPr>
        <w:t>）</w:t>
      </w:r>
      <w:r>
        <w:rPr>
          <w:rFonts w:ascii="Times New Roman" w:hAnsi="Times New Roman"/>
          <w:color w:val="auto"/>
          <w:sz w:val="24"/>
          <w:szCs w:val="24"/>
        </w:rPr>
        <w:t>=L</w:t>
      </w:r>
      <w:r>
        <w:rPr>
          <w:rFonts w:ascii="Times New Roman" w:hAnsi="Times New Roman"/>
          <w:color w:val="auto"/>
          <w:sz w:val="24"/>
          <w:szCs w:val="24"/>
          <w:vertAlign w:val="subscript"/>
        </w:rPr>
        <w:t>A</w:t>
      </w:r>
      <w:r>
        <w:rPr>
          <w:rFonts w:hint="eastAsia"/>
          <w:color w:val="auto"/>
          <w:sz w:val="24"/>
          <w:szCs w:val="24"/>
          <w:lang w:eastAsia="zh-CN"/>
        </w:rPr>
        <w:t>（</w:t>
      </w:r>
      <w:r>
        <w:rPr>
          <w:rFonts w:ascii="Times New Roman" w:hAnsi="Times New Roman"/>
          <w:color w:val="auto"/>
          <w:sz w:val="24"/>
          <w:szCs w:val="24"/>
        </w:rPr>
        <w:t>r</w:t>
      </w:r>
      <w:r>
        <w:rPr>
          <w:rFonts w:ascii="Times New Roman" w:hAnsi="Times New Roman"/>
          <w:color w:val="auto"/>
          <w:sz w:val="24"/>
          <w:szCs w:val="24"/>
          <w:vertAlign w:val="subscript"/>
        </w:rPr>
        <w:t>0</w:t>
      </w:r>
      <w:r>
        <w:rPr>
          <w:rFonts w:hint="eastAsia"/>
          <w:color w:val="auto"/>
          <w:sz w:val="24"/>
          <w:szCs w:val="24"/>
          <w:lang w:eastAsia="zh-CN"/>
        </w:rPr>
        <w:t>）</w:t>
      </w:r>
      <w:r>
        <w:rPr>
          <w:rFonts w:ascii="Times New Roman" w:hAnsi="Times New Roman"/>
          <w:color w:val="auto"/>
          <w:sz w:val="24"/>
          <w:szCs w:val="24"/>
        </w:rPr>
        <w:t>-A</w:t>
      </w:r>
    </w:p>
    <w:p w14:paraId="4C5F1278">
      <w:pPr>
        <w:spacing w:line="360" w:lineRule="auto"/>
        <w:jc w:val="center"/>
        <w:rPr>
          <w:rFonts w:ascii="Times New Roman" w:hAnsi="Times New Roman"/>
          <w:color w:val="auto"/>
          <w:sz w:val="24"/>
          <w:szCs w:val="24"/>
        </w:rPr>
      </w:pPr>
      <w:r>
        <w:rPr>
          <w:rFonts w:ascii="Times New Roman" w:hAnsi="Times New Roman"/>
          <w:color w:val="auto"/>
          <w:sz w:val="24"/>
          <w:szCs w:val="24"/>
        </w:rPr>
        <w:t>A=A</w:t>
      </w:r>
      <w:r>
        <w:rPr>
          <w:rFonts w:ascii="Times New Roman" w:hAnsi="Times New Roman"/>
          <w:color w:val="auto"/>
          <w:sz w:val="24"/>
          <w:szCs w:val="24"/>
          <w:vertAlign w:val="subscript"/>
        </w:rPr>
        <w:t>div</w:t>
      </w:r>
      <w:r>
        <w:rPr>
          <w:rFonts w:ascii="Times New Roman" w:hAnsi="Times New Roman"/>
          <w:color w:val="auto"/>
          <w:sz w:val="24"/>
          <w:szCs w:val="24"/>
        </w:rPr>
        <w:t>+A</w:t>
      </w:r>
      <w:r>
        <w:rPr>
          <w:rFonts w:ascii="Times New Roman" w:hAnsi="Times New Roman"/>
          <w:color w:val="auto"/>
          <w:sz w:val="24"/>
          <w:szCs w:val="24"/>
          <w:vertAlign w:val="subscript"/>
        </w:rPr>
        <w:t>atm</w:t>
      </w:r>
      <w:r>
        <w:rPr>
          <w:rFonts w:ascii="Times New Roman" w:hAnsi="Times New Roman"/>
          <w:color w:val="auto"/>
          <w:sz w:val="24"/>
          <w:szCs w:val="24"/>
        </w:rPr>
        <w:t>+A</w:t>
      </w:r>
      <w:r>
        <w:rPr>
          <w:rFonts w:ascii="Times New Roman" w:hAnsi="Times New Roman"/>
          <w:color w:val="auto"/>
          <w:sz w:val="24"/>
          <w:szCs w:val="24"/>
          <w:vertAlign w:val="subscript"/>
        </w:rPr>
        <w:t>gr</w:t>
      </w:r>
      <w:r>
        <w:rPr>
          <w:rFonts w:ascii="Times New Roman" w:hAnsi="Times New Roman"/>
          <w:color w:val="auto"/>
          <w:sz w:val="24"/>
          <w:szCs w:val="24"/>
        </w:rPr>
        <w:t>+A</w:t>
      </w:r>
      <w:r>
        <w:rPr>
          <w:rFonts w:ascii="Times New Roman" w:hAnsi="Times New Roman"/>
          <w:color w:val="auto"/>
          <w:sz w:val="24"/>
          <w:szCs w:val="24"/>
          <w:vertAlign w:val="subscript"/>
        </w:rPr>
        <w:t>bar</w:t>
      </w:r>
      <w:r>
        <w:rPr>
          <w:rFonts w:ascii="Times New Roman" w:hAnsi="Times New Roman"/>
          <w:color w:val="auto"/>
          <w:sz w:val="24"/>
          <w:szCs w:val="24"/>
        </w:rPr>
        <w:t>+A</w:t>
      </w:r>
      <w:r>
        <w:rPr>
          <w:rFonts w:ascii="Times New Roman" w:hAnsi="Times New Roman"/>
          <w:color w:val="auto"/>
          <w:sz w:val="24"/>
          <w:szCs w:val="24"/>
          <w:vertAlign w:val="subscript"/>
        </w:rPr>
        <w:t>misc</w:t>
      </w:r>
    </w:p>
    <w:p w14:paraId="3F8CC146">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式中：</w:t>
      </w:r>
    </w:p>
    <w:p w14:paraId="525FFAD5">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L</w:t>
      </w:r>
      <w:r>
        <w:rPr>
          <w:rFonts w:ascii="Times New Roman" w:hAnsi="Times New Roman"/>
          <w:color w:val="auto"/>
          <w:sz w:val="24"/>
          <w:szCs w:val="24"/>
          <w:vertAlign w:val="subscript"/>
        </w:rPr>
        <w:t>A</w:t>
      </w:r>
      <w:r>
        <w:rPr>
          <w:rFonts w:hint="eastAsia"/>
          <w:color w:val="auto"/>
          <w:sz w:val="24"/>
          <w:szCs w:val="24"/>
          <w:lang w:eastAsia="zh-CN"/>
        </w:rPr>
        <w:t>（</w:t>
      </w:r>
      <w:r>
        <w:rPr>
          <w:rFonts w:ascii="Times New Roman" w:hAnsi="Times New Roman"/>
          <w:color w:val="auto"/>
          <w:sz w:val="24"/>
          <w:szCs w:val="24"/>
        </w:rPr>
        <w:t>r</w:t>
      </w:r>
      <w:r>
        <w:rPr>
          <w:rFonts w:hint="eastAsia"/>
          <w:color w:val="auto"/>
          <w:sz w:val="24"/>
          <w:szCs w:val="24"/>
          <w:lang w:eastAsia="zh-CN"/>
        </w:rPr>
        <w:t>）</w:t>
      </w:r>
      <w:r>
        <w:rPr>
          <w:rFonts w:ascii="Times New Roman" w:hAnsi="Times New Roman"/>
          <w:color w:val="auto"/>
          <w:sz w:val="24"/>
          <w:szCs w:val="24"/>
        </w:rPr>
        <w:t>为距声源r处的A声级，dB</w:t>
      </w:r>
      <w:r>
        <w:rPr>
          <w:rFonts w:hint="eastAsia"/>
          <w:color w:val="auto"/>
          <w:sz w:val="24"/>
          <w:szCs w:val="24"/>
          <w:lang w:eastAsia="zh-CN"/>
        </w:rPr>
        <w:t>（</w:t>
      </w:r>
      <w:r>
        <w:rPr>
          <w:rFonts w:ascii="Times New Roman" w:hAnsi="Times New Roman"/>
          <w:color w:val="auto"/>
          <w:sz w:val="24"/>
          <w:szCs w:val="24"/>
        </w:rPr>
        <w:t>A</w:t>
      </w:r>
      <w:r>
        <w:rPr>
          <w:rFonts w:hint="eastAsia"/>
          <w:color w:val="auto"/>
          <w:sz w:val="24"/>
          <w:szCs w:val="24"/>
          <w:lang w:eastAsia="zh-CN"/>
        </w:rPr>
        <w:t>）</w:t>
      </w:r>
      <w:r>
        <w:rPr>
          <w:rFonts w:ascii="Times New Roman" w:hAnsi="Times New Roman"/>
          <w:color w:val="auto"/>
          <w:sz w:val="24"/>
          <w:szCs w:val="24"/>
        </w:rPr>
        <w:t>；</w:t>
      </w:r>
    </w:p>
    <w:p w14:paraId="2A1CAC9A">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L</w:t>
      </w:r>
      <w:r>
        <w:rPr>
          <w:rFonts w:ascii="Times New Roman" w:hAnsi="Times New Roman"/>
          <w:color w:val="auto"/>
          <w:sz w:val="24"/>
          <w:szCs w:val="24"/>
          <w:vertAlign w:val="subscript"/>
        </w:rPr>
        <w:t>A</w:t>
      </w:r>
      <w:r>
        <w:rPr>
          <w:rFonts w:hint="eastAsia"/>
          <w:color w:val="auto"/>
          <w:sz w:val="24"/>
          <w:szCs w:val="24"/>
          <w:lang w:eastAsia="zh-CN"/>
        </w:rPr>
        <w:t>（</w:t>
      </w:r>
      <w:r>
        <w:rPr>
          <w:rFonts w:ascii="Times New Roman" w:hAnsi="Times New Roman"/>
          <w:color w:val="auto"/>
          <w:sz w:val="24"/>
          <w:szCs w:val="24"/>
        </w:rPr>
        <w:t>r</w:t>
      </w:r>
      <w:r>
        <w:rPr>
          <w:rFonts w:ascii="Times New Roman" w:hAnsi="Times New Roman"/>
          <w:color w:val="auto"/>
          <w:sz w:val="24"/>
          <w:szCs w:val="24"/>
          <w:vertAlign w:val="subscript"/>
        </w:rPr>
        <w:t>0</w:t>
      </w:r>
      <w:r>
        <w:rPr>
          <w:rFonts w:hint="eastAsia"/>
          <w:color w:val="auto"/>
          <w:sz w:val="24"/>
          <w:szCs w:val="24"/>
          <w:lang w:eastAsia="zh-CN"/>
        </w:rPr>
        <w:t>）</w:t>
      </w:r>
      <w:r>
        <w:rPr>
          <w:rFonts w:ascii="Times New Roman" w:hAnsi="Times New Roman"/>
          <w:color w:val="auto"/>
          <w:sz w:val="24"/>
          <w:szCs w:val="24"/>
        </w:rPr>
        <w:t>为距声源r</w:t>
      </w:r>
      <w:r>
        <w:rPr>
          <w:rFonts w:ascii="Times New Roman" w:hAnsi="Times New Roman"/>
          <w:color w:val="auto"/>
          <w:sz w:val="24"/>
          <w:szCs w:val="24"/>
          <w:vertAlign w:val="subscript"/>
        </w:rPr>
        <w:t>0</w:t>
      </w:r>
      <w:r>
        <w:rPr>
          <w:rFonts w:ascii="Times New Roman" w:hAnsi="Times New Roman"/>
          <w:color w:val="auto"/>
          <w:sz w:val="24"/>
          <w:szCs w:val="24"/>
        </w:rPr>
        <w:t>处的A声级，dB</w:t>
      </w:r>
      <w:r>
        <w:rPr>
          <w:rFonts w:hint="eastAsia"/>
          <w:color w:val="auto"/>
          <w:sz w:val="24"/>
          <w:szCs w:val="24"/>
          <w:lang w:eastAsia="zh-CN"/>
        </w:rPr>
        <w:t>（</w:t>
      </w:r>
      <w:r>
        <w:rPr>
          <w:rFonts w:ascii="Times New Roman" w:hAnsi="Times New Roman"/>
          <w:color w:val="auto"/>
          <w:sz w:val="24"/>
          <w:szCs w:val="24"/>
        </w:rPr>
        <w:t>A</w:t>
      </w:r>
      <w:r>
        <w:rPr>
          <w:rFonts w:hint="eastAsia"/>
          <w:color w:val="auto"/>
          <w:sz w:val="24"/>
          <w:szCs w:val="24"/>
          <w:lang w:eastAsia="zh-CN"/>
        </w:rPr>
        <w:t>）</w:t>
      </w:r>
      <w:r>
        <w:rPr>
          <w:rFonts w:ascii="Times New Roman" w:hAnsi="Times New Roman"/>
          <w:color w:val="auto"/>
          <w:sz w:val="24"/>
          <w:szCs w:val="24"/>
        </w:rPr>
        <w:t>；</w:t>
      </w:r>
    </w:p>
    <w:p w14:paraId="1CEE4A18">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A为倍频带衰减，dB；</w:t>
      </w:r>
    </w:p>
    <w:p w14:paraId="2A10F0F5">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w:t>
      </w:r>
      <w:r>
        <w:rPr>
          <w:rFonts w:ascii="Times New Roman" w:hAnsi="Times New Roman"/>
          <w:color w:val="auto"/>
          <w:sz w:val="24"/>
          <w:szCs w:val="24"/>
          <w:vertAlign w:val="subscript"/>
        </w:rPr>
        <w:t>div</w:t>
      </w:r>
      <w:r>
        <w:rPr>
          <w:rFonts w:ascii="Times New Roman" w:hAnsi="Times New Roman"/>
          <w:color w:val="auto"/>
          <w:sz w:val="24"/>
          <w:szCs w:val="24"/>
        </w:rPr>
        <w:t>为几何发散引起的倍频带衰减，dB；</w:t>
      </w:r>
    </w:p>
    <w:p w14:paraId="466F6892">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w:t>
      </w:r>
      <w:r>
        <w:rPr>
          <w:rFonts w:ascii="Times New Roman" w:hAnsi="Times New Roman"/>
          <w:color w:val="auto"/>
          <w:sz w:val="24"/>
          <w:szCs w:val="24"/>
          <w:vertAlign w:val="subscript"/>
        </w:rPr>
        <w:t>atm</w:t>
      </w:r>
      <w:r>
        <w:rPr>
          <w:rFonts w:ascii="Times New Roman" w:hAnsi="Times New Roman"/>
          <w:color w:val="auto"/>
          <w:sz w:val="24"/>
          <w:szCs w:val="24"/>
        </w:rPr>
        <w:t>为大气吸收引起的倍频带衰减，dB；</w:t>
      </w:r>
    </w:p>
    <w:p w14:paraId="10C7DD14">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w:t>
      </w:r>
      <w:r>
        <w:rPr>
          <w:rFonts w:ascii="Times New Roman" w:hAnsi="Times New Roman"/>
          <w:color w:val="auto"/>
          <w:sz w:val="24"/>
          <w:szCs w:val="24"/>
          <w:vertAlign w:val="subscript"/>
        </w:rPr>
        <w:t>gr</w:t>
      </w:r>
      <w:r>
        <w:rPr>
          <w:rFonts w:ascii="Times New Roman" w:hAnsi="Times New Roman"/>
          <w:color w:val="auto"/>
          <w:sz w:val="24"/>
          <w:szCs w:val="24"/>
        </w:rPr>
        <w:t>为地面效应引起的倍频带衰减，dB；</w:t>
      </w:r>
    </w:p>
    <w:p w14:paraId="54726E3B">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w:t>
      </w:r>
      <w:r>
        <w:rPr>
          <w:rFonts w:ascii="Times New Roman" w:hAnsi="Times New Roman"/>
          <w:color w:val="auto"/>
          <w:sz w:val="24"/>
          <w:szCs w:val="24"/>
          <w:vertAlign w:val="subscript"/>
        </w:rPr>
        <w:t>bar</w:t>
      </w:r>
      <w:r>
        <w:rPr>
          <w:rFonts w:ascii="Times New Roman" w:hAnsi="Times New Roman"/>
          <w:color w:val="auto"/>
          <w:sz w:val="24"/>
          <w:szCs w:val="24"/>
        </w:rPr>
        <w:t>为声屏障引起的倍频带衰减，dB；</w:t>
      </w:r>
    </w:p>
    <w:p w14:paraId="2EFD780F">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w:t>
      </w:r>
      <w:r>
        <w:rPr>
          <w:rFonts w:ascii="Times New Roman" w:hAnsi="Times New Roman"/>
          <w:color w:val="auto"/>
          <w:sz w:val="24"/>
          <w:szCs w:val="24"/>
          <w:vertAlign w:val="subscript"/>
        </w:rPr>
        <w:t>misc</w:t>
      </w:r>
      <w:r>
        <w:rPr>
          <w:rFonts w:ascii="Times New Roman" w:hAnsi="Times New Roman"/>
          <w:color w:val="auto"/>
          <w:sz w:val="24"/>
          <w:szCs w:val="24"/>
        </w:rPr>
        <w:t>为其他多方面效应引起的倍频带衰减，dB。</w:t>
      </w:r>
    </w:p>
    <w:p w14:paraId="61E9D4CC">
      <w:pPr>
        <w:bidi w:val="0"/>
        <w:rPr>
          <w:color w:val="auto"/>
        </w:rPr>
      </w:pPr>
      <w:r>
        <w:rPr>
          <w:color w:val="auto"/>
        </w:rPr>
        <w:t>（2）参数选择</w:t>
      </w:r>
    </w:p>
    <w:p w14:paraId="7D9CC121">
      <w:pPr>
        <w:bidi w:val="0"/>
        <w:rPr>
          <w:color w:val="auto"/>
        </w:rPr>
      </w:pPr>
      <w:r>
        <w:rPr>
          <w:color w:val="auto"/>
        </w:rPr>
        <w:t>根据导则</w:t>
      </w:r>
      <w:r>
        <w:rPr>
          <w:rFonts w:hint="eastAsia"/>
          <w:color w:val="auto"/>
          <w:lang w:eastAsia="zh-CN"/>
        </w:rPr>
        <w:t>附表</w:t>
      </w:r>
      <w:r>
        <w:rPr>
          <w:color w:val="auto"/>
        </w:rPr>
        <w:t>，A可选择对A声级影响最大的倍频带计算，一般可选中心频率为500Hz的倍频带做估算。</w:t>
      </w:r>
    </w:p>
    <w:p w14:paraId="69E4F173">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本次预测考虑几何发散衰减A</w:t>
      </w:r>
      <w:r>
        <w:rPr>
          <w:rFonts w:ascii="Times New Roman" w:hAnsi="Times New Roman"/>
          <w:color w:val="auto"/>
          <w:sz w:val="24"/>
          <w:szCs w:val="24"/>
          <w:vertAlign w:val="subscript"/>
        </w:rPr>
        <w:t>div</w:t>
      </w:r>
      <w:r>
        <w:rPr>
          <w:rFonts w:ascii="Times New Roman" w:hAnsi="Times New Roman"/>
          <w:color w:val="auto"/>
          <w:sz w:val="24"/>
          <w:szCs w:val="24"/>
        </w:rPr>
        <w:t>、A</w:t>
      </w:r>
      <w:r>
        <w:rPr>
          <w:rFonts w:ascii="Times New Roman" w:hAnsi="Times New Roman"/>
          <w:color w:val="auto"/>
          <w:sz w:val="24"/>
          <w:szCs w:val="24"/>
          <w:vertAlign w:val="subscript"/>
        </w:rPr>
        <w:t>atm</w:t>
      </w:r>
      <w:r>
        <w:rPr>
          <w:rFonts w:ascii="Times New Roman" w:hAnsi="Times New Roman"/>
          <w:color w:val="auto"/>
          <w:sz w:val="24"/>
          <w:szCs w:val="24"/>
        </w:rPr>
        <w:t>、声屏障引起的衰减量A</w:t>
      </w:r>
      <w:r>
        <w:rPr>
          <w:rFonts w:ascii="Times New Roman" w:hAnsi="Times New Roman"/>
          <w:color w:val="auto"/>
          <w:sz w:val="24"/>
          <w:szCs w:val="24"/>
          <w:vertAlign w:val="subscript"/>
        </w:rPr>
        <w:t>bar</w:t>
      </w:r>
      <w:r>
        <w:rPr>
          <w:rFonts w:ascii="Times New Roman" w:hAnsi="Times New Roman"/>
          <w:color w:val="auto"/>
          <w:sz w:val="24"/>
          <w:szCs w:val="24"/>
        </w:rPr>
        <w:t>，不考虑地面效应衰减A</w:t>
      </w:r>
      <w:r>
        <w:rPr>
          <w:rFonts w:ascii="Times New Roman" w:hAnsi="Times New Roman"/>
          <w:color w:val="auto"/>
          <w:sz w:val="24"/>
          <w:szCs w:val="24"/>
          <w:vertAlign w:val="subscript"/>
        </w:rPr>
        <w:t>gr</w:t>
      </w:r>
      <w:r>
        <w:rPr>
          <w:rFonts w:ascii="Times New Roman" w:hAnsi="Times New Roman"/>
          <w:color w:val="auto"/>
          <w:sz w:val="24"/>
          <w:szCs w:val="24"/>
        </w:rPr>
        <w:t>和其他多方面效应引起的衰减A</w:t>
      </w:r>
      <w:r>
        <w:rPr>
          <w:rFonts w:ascii="Times New Roman" w:hAnsi="Times New Roman"/>
          <w:color w:val="auto"/>
          <w:sz w:val="24"/>
          <w:szCs w:val="24"/>
          <w:vertAlign w:val="subscript"/>
        </w:rPr>
        <w:t>misc</w:t>
      </w:r>
      <w:r>
        <w:rPr>
          <w:rFonts w:ascii="Times New Roman" w:hAnsi="Times New Roman"/>
          <w:color w:val="auto"/>
          <w:sz w:val="24"/>
          <w:szCs w:val="24"/>
        </w:rPr>
        <w:t>，对施工区施工机械的噪声贡献值进行预测，预测公式化为：</w:t>
      </w:r>
    </w:p>
    <w:p w14:paraId="7122E12E">
      <w:pPr>
        <w:spacing w:line="360" w:lineRule="auto"/>
        <w:ind w:firstLine="480"/>
        <w:jc w:val="center"/>
        <w:rPr>
          <w:rFonts w:ascii="Times New Roman" w:hAnsi="Times New Roman"/>
          <w:color w:val="auto"/>
          <w:sz w:val="24"/>
        </w:rPr>
      </w:pPr>
      <w:r>
        <w:rPr>
          <w:rFonts w:ascii="Times New Roman" w:hAnsi="Times New Roman"/>
          <w:color w:val="auto"/>
          <w:sz w:val="24"/>
          <w:szCs w:val="24"/>
        </w:rPr>
        <w:t>A</w:t>
      </w:r>
      <w:r>
        <w:rPr>
          <w:rFonts w:ascii="Times New Roman" w:hAnsi="Times New Roman"/>
          <w:color w:val="auto"/>
          <w:sz w:val="24"/>
          <w:szCs w:val="24"/>
          <w:vertAlign w:val="subscript"/>
        </w:rPr>
        <w:t>div</w:t>
      </w:r>
      <w:r>
        <w:rPr>
          <w:rFonts w:ascii="Times New Roman" w:hAnsi="Times New Roman"/>
          <w:color w:val="auto"/>
          <w:sz w:val="24"/>
        </w:rPr>
        <w:t>=20lgr/r</w:t>
      </w:r>
      <w:r>
        <w:rPr>
          <w:rFonts w:ascii="Times New Roman" w:hAnsi="Times New Roman"/>
          <w:color w:val="auto"/>
          <w:sz w:val="24"/>
          <w:vertAlign w:val="subscript"/>
        </w:rPr>
        <w:t>0</w:t>
      </w:r>
      <w:r>
        <w:rPr>
          <w:rFonts w:ascii="Times New Roman" w:hAnsi="Times New Roman"/>
          <w:color w:val="auto"/>
          <w:sz w:val="24"/>
        </w:rPr>
        <w:t>，</w:t>
      </w:r>
      <w:r>
        <w:rPr>
          <w:rFonts w:ascii="Times New Roman" w:hAnsi="Times New Roman"/>
          <w:color w:val="auto"/>
          <w:sz w:val="24"/>
          <w:szCs w:val="24"/>
        </w:rPr>
        <w:t>A</w:t>
      </w:r>
      <w:r>
        <w:rPr>
          <w:rFonts w:ascii="Times New Roman" w:hAnsi="Times New Roman"/>
          <w:color w:val="auto"/>
          <w:sz w:val="24"/>
          <w:szCs w:val="24"/>
          <w:vertAlign w:val="subscript"/>
        </w:rPr>
        <w:t>atm</w:t>
      </w:r>
      <w:r>
        <w:rPr>
          <w:rFonts w:ascii="Times New Roman" w:hAnsi="Times New Roman"/>
          <w:color w:val="auto"/>
          <w:sz w:val="24"/>
          <w:szCs w:val="24"/>
        </w:rPr>
        <w:t>=α*</w:t>
      </w:r>
      <w:r>
        <w:rPr>
          <w:rFonts w:hint="eastAsia"/>
          <w:color w:val="auto"/>
          <w:sz w:val="24"/>
          <w:szCs w:val="24"/>
          <w:lang w:eastAsia="zh-CN"/>
        </w:rPr>
        <w:t>（</w:t>
      </w:r>
      <w:r>
        <w:rPr>
          <w:rFonts w:ascii="Times New Roman" w:hAnsi="Times New Roman"/>
          <w:color w:val="auto"/>
          <w:sz w:val="24"/>
          <w:szCs w:val="24"/>
        </w:rPr>
        <w:t>r-r</w:t>
      </w:r>
      <w:r>
        <w:rPr>
          <w:rFonts w:ascii="Times New Roman" w:hAnsi="Times New Roman"/>
          <w:color w:val="auto"/>
          <w:sz w:val="24"/>
          <w:szCs w:val="24"/>
          <w:vertAlign w:val="subscript"/>
        </w:rPr>
        <w:t>0</w:t>
      </w:r>
      <w:r>
        <w:rPr>
          <w:rFonts w:hint="eastAsia"/>
          <w:color w:val="auto"/>
          <w:sz w:val="24"/>
          <w:szCs w:val="24"/>
          <w:lang w:eastAsia="zh-CN"/>
        </w:rPr>
        <w:t>）</w:t>
      </w:r>
      <w:r>
        <w:rPr>
          <w:rFonts w:ascii="Times New Roman" w:hAnsi="Times New Roman"/>
          <w:color w:val="auto"/>
          <w:sz w:val="24"/>
          <w:szCs w:val="24"/>
        </w:rPr>
        <w:t>/1000</w:t>
      </w:r>
    </w:p>
    <w:p w14:paraId="7D13C2E0">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式中：</w:t>
      </w:r>
    </w:p>
    <w:p w14:paraId="5A5044CD">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r为预测点与声源的距离，m；</w:t>
      </w:r>
    </w:p>
    <w:p w14:paraId="4CEC4257">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r</w:t>
      </w:r>
      <w:r>
        <w:rPr>
          <w:rFonts w:ascii="Times New Roman" w:hAnsi="Times New Roman"/>
          <w:color w:val="auto"/>
          <w:sz w:val="24"/>
          <w:szCs w:val="24"/>
          <w:vertAlign w:val="subscript"/>
        </w:rPr>
        <w:t>0</w:t>
      </w:r>
      <w:r>
        <w:rPr>
          <w:rFonts w:ascii="Times New Roman" w:hAnsi="Times New Roman"/>
          <w:color w:val="auto"/>
          <w:sz w:val="24"/>
          <w:szCs w:val="24"/>
        </w:rPr>
        <w:t>为测点与声源的距离，m；</w:t>
      </w:r>
    </w:p>
    <w:p w14:paraId="729F485E">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α为大气吸收衰减系数，dB/km。</w:t>
      </w:r>
    </w:p>
    <w:p w14:paraId="72F15748">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本工程所处区域多年平均温度16.3</w:t>
      </w:r>
      <w:r>
        <w:rPr>
          <w:rFonts w:hint="eastAsia" w:hAnsi="宋体" w:cs="宋体"/>
          <w:color w:val="auto"/>
          <w:sz w:val="24"/>
          <w:szCs w:val="24"/>
        </w:rPr>
        <w:t>℃</w:t>
      </w:r>
      <w:r>
        <w:rPr>
          <w:rFonts w:ascii="Times New Roman" w:hAnsi="Times New Roman"/>
          <w:color w:val="auto"/>
          <w:sz w:val="24"/>
          <w:szCs w:val="24"/>
        </w:rPr>
        <w:t>，湿度80%，查导则中表3可得α=2.4。</w:t>
      </w:r>
    </w:p>
    <w:p w14:paraId="13D777D6">
      <w:pPr>
        <w:bidi w:val="0"/>
        <w:rPr>
          <w:color w:val="auto"/>
        </w:rPr>
      </w:pPr>
      <w:r>
        <w:rPr>
          <w:color w:val="auto"/>
        </w:rPr>
        <w:t>（3）对敏感点噪声影响预测模式</w:t>
      </w:r>
    </w:p>
    <w:p w14:paraId="087C6B12">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所有施工机械在预测点的等效声级贡献值</w:t>
      </w:r>
      <w:r>
        <w:rPr>
          <w:rFonts w:hint="eastAsia"/>
          <w:color w:val="auto"/>
          <w:sz w:val="24"/>
          <w:szCs w:val="24"/>
          <w:lang w:eastAsia="zh-CN"/>
        </w:rPr>
        <w:t>（</w:t>
      </w:r>
      <w:r>
        <w:rPr>
          <w:rFonts w:ascii="Times New Roman" w:hAnsi="Times New Roman"/>
          <w:color w:val="auto"/>
          <w:sz w:val="24"/>
          <w:szCs w:val="24"/>
        </w:rPr>
        <w:t>L</w:t>
      </w:r>
      <w:r>
        <w:rPr>
          <w:rFonts w:ascii="Times New Roman" w:hAnsi="Times New Roman"/>
          <w:color w:val="auto"/>
          <w:sz w:val="24"/>
          <w:szCs w:val="24"/>
          <w:vertAlign w:val="subscript"/>
        </w:rPr>
        <w:t>eqg</w:t>
      </w:r>
      <w:r>
        <w:rPr>
          <w:rFonts w:hint="eastAsia"/>
          <w:color w:val="auto"/>
          <w:sz w:val="24"/>
          <w:szCs w:val="24"/>
          <w:lang w:eastAsia="zh-CN"/>
        </w:rPr>
        <w:t>）</w:t>
      </w:r>
      <w:r>
        <w:rPr>
          <w:rFonts w:ascii="Times New Roman" w:hAnsi="Times New Roman"/>
          <w:color w:val="auto"/>
          <w:sz w:val="24"/>
          <w:szCs w:val="24"/>
        </w:rPr>
        <w:t>计算公式如下：</w:t>
      </w:r>
    </w:p>
    <w:p w14:paraId="3645967A">
      <w:pPr>
        <w:jc w:val="center"/>
        <w:rPr>
          <w:rFonts w:ascii="Times New Roman" w:hAnsi="Times New Roman" w:eastAsia="黑体"/>
          <w:color w:val="auto"/>
          <w:sz w:val="24"/>
          <w:szCs w:val="24"/>
        </w:rPr>
      </w:pPr>
      <m:oMathPara>
        <m:oMath>
          <m:sSub>
            <m:sSubPr>
              <m:ctrlPr>
                <w:rPr>
                  <w:rFonts w:ascii="Cambria Math" w:hAnsi="Cambria Math" w:eastAsia="黑体"/>
                  <w:color w:val="auto"/>
                  <w:sz w:val="24"/>
                  <w:szCs w:val="24"/>
                </w:rPr>
              </m:ctrlPr>
            </m:sSubPr>
            <m:e>
              <m:r>
                <m:rPr/>
                <w:rPr>
                  <w:rFonts w:ascii="Cambria Math" w:hAnsi="Cambria Math" w:eastAsia="黑体"/>
                  <w:color w:val="auto"/>
                  <w:sz w:val="24"/>
                  <w:szCs w:val="24"/>
                </w:rPr>
                <m:t>L</m:t>
              </m:r>
              <m:ctrlPr>
                <w:rPr>
                  <w:rFonts w:ascii="Cambria Math" w:hAnsi="Cambria Math" w:eastAsia="黑体"/>
                  <w:color w:val="auto"/>
                  <w:sz w:val="24"/>
                  <w:szCs w:val="24"/>
                </w:rPr>
              </m:ctrlPr>
            </m:e>
            <m:sub>
              <m:r>
                <m:rPr/>
                <w:rPr>
                  <w:rFonts w:ascii="Cambria Math" w:hAnsi="Cambria Math" w:eastAsia="黑体"/>
                  <w:color w:val="auto"/>
                  <w:sz w:val="24"/>
                  <w:szCs w:val="24"/>
                </w:rPr>
                <m:t>eqg</m:t>
              </m:r>
              <m:ctrlPr>
                <w:rPr>
                  <w:rFonts w:ascii="Cambria Math" w:hAnsi="Cambria Math" w:eastAsia="黑体"/>
                  <w:color w:val="auto"/>
                  <w:sz w:val="24"/>
                  <w:szCs w:val="24"/>
                </w:rPr>
              </m:ctrlPr>
            </m:sub>
          </m:sSub>
          <m:r>
            <m:rPr>
              <m:sty m:val="p"/>
            </m:rPr>
            <w:rPr>
              <w:rFonts w:ascii="Cambria Math" w:hAnsi="Cambria Math" w:eastAsia="黑体"/>
              <w:color w:val="auto"/>
              <w:sz w:val="24"/>
              <w:szCs w:val="24"/>
            </w:rPr>
            <m:t>=10lg[</m:t>
          </m:r>
          <m:f>
            <m:fPr>
              <m:ctrlPr>
                <w:rPr>
                  <w:rFonts w:ascii="Cambria Math" w:hAnsi="Cambria Math" w:eastAsia="黑体"/>
                  <w:color w:val="auto"/>
                  <w:sz w:val="24"/>
                  <w:szCs w:val="24"/>
                </w:rPr>
              </m:ctrlPr>
            </m:fPr>
            <m:num>
              <m:r>
                <m:rPr>
                  <m:sty m:val="p"/>
                </m:rPr>
                <w:rPr>
                  <w:rFonts w:ascii="Cambria Math" w:hAnsi="Cambria Math" w:eastAsia="黑体"/>
                  <w:color w:val="auto"/>
                  <w:sz w:val="24"/>
                  <w:szCs w:val="24"/>
                </w:rPr>
                <m:t>1</m:t>
              </m:r>
              <m:ctrlPr>
                <w:rPr>
                  <w:rFonts w:ascii="Cambria Math" w:hAnsi="Cambria Math" w:eastAsia="黑体"/>
                  <w:color w:val="auto"/>
                  <w:sz w:val="24"/>
                  <w:szCs w:val="24"/>
                </w:rPr>
              </m:ctrlPr>
            </m:num>
            <m:den>
              <m:r>
                <m:rPr/>
                <w:rPr>
                  <w:rFonts w:ascii="Cambria Math" w:hAnsi="Cambria Math" w:eastAsia="黑体"/>
                  <w:color w:val="auto"/>
                  <w:sz w:val="24"/>
                  <w:szCs w:val="24"/>
                </w:rPr>
                <m:t>T</m:t>
              </m:r>
              <m:ctrlPr>
                <w:rPr>
                  <w:rFonts w:ascii="Cambria Math" w:hAnsi="Cambria Math" w:eastAsia="黑体"/>
                  <w:color w:val="auto"/>
                  <w:sz w:val="24"/>
                  <w:szCs w:val="24"/>
                </w:rPr>
              </m:ctrlPr>
            </m:den>
          </m:f>
          <m:nary>
            <m:naryPr>
              <m:chr m:val="∑"/>
              <m:limLoc m:val="undOvr"/>
              <m:supHide m:val="1"/>
              <m:ctrlPr>
                <w:rPr>
                  <w:rFonts w:ascii="Cambria Math" w:hAnsi="Cambria Math" w:eastAsia="黑体"/>
                  <w:color w:val="auto"/>
                  <w:sz w:val="24"/>
                  <w:szCs w:val="24"/>
                </w:rPr>
              </m:ctrlPr>
            </m:naryPr>
            <m:sub>
              <m:r>
                <m:rPr/>
                <w:rPr>
                  <w:rFonts w:ascii="Cambria Math" w:hAnsi="Cambria Math" w:eastAsia="黑体"/>
                  <w:color w:val="auto"/>
                  <w:sz w:val="24"/>
                  <w:szCs w:val="24"/>
                </w:rPr>
                <m:t>t</m:t>
              </m:r>
              <m:ctrlPr>
                <w:rPr>
                  <w:rFonts w:ascii="Cambria Math" w:hAnsi="Cambria Math" w:eastAsia="黑体"/>
                  <w:color w:val="auto"/>
                  <w:sz w:val="24"/>
                  <w:szCs w:val="24"/>
                </w:rPr>
              </m:ctrlPr>
            </m:sub>
            <m:sup>
              <m:ctrlPr>
                <w:rPr>
                  <w:rFonts w:ascii="Cambria Math" w:hAnsi="Cambria Math" w:eastAsia="黑体"/>
                  <w:color w:val="auto"/>
                  <w:sz w:val="24"/>
                  <w:szCs w:val="24"/>
                </w:rPr>
              </m:ctrlPr>
            </m:sup>
            <m:e>
              <m:sSub>
                <m:sSubPr>
                  <m:ctrlPr>
                    <w:rPr>
                      <w:rFonts w:ascii="Cambria Math" w:hAnsi="Cambria Math" w:eastAsia="黑体"/>
                      <w:color w:val="auto"/>
                      <w:sz w:val="24"/>
                      <w:szCs w:val="24"/>
                    </w:rPr>
                  </m:ctrlPr>
                </m:sSubPr>
                <m:e>
                  <m:r>
                    <m:rPr/>
                    <w:rPr>
                      <w:rFonts w:ascii="Cambria Math" w:hAnsi="Cambria Math" w:eastAsia="黑体"/>
                      <w:color w:val="auto"/>
                      <w:sz w:val="24"/>
                      <w:szCs w:val="24"/>
                    </w:rPr>
                    <m:t>t</m:t>
                  </m:r>
                  <m:ctrlPr>
                    <w:rPr>
                      <w:rFonts w:ascii="Cambria Math" w:hAnsi="Cambria Math" w:eastAsia="黑体"/>
                      <w:color w:val="auto"/>
                      <w:sz w:val="24"/>
                      <w:szCs w:val="24"/>
                    </w:rPr>
                  </m:ctrlPr>
                </m:e>
                <m:sub>
                  <m:r>
                    <m:rPr/>
                    <w:rPr>
                      <w:rFonts w:ascii="Cambria Math" w:hAnsi="Cambria Math" w:eastAsia="黑体"/>
                      <w:color w:val="auto"/>
                      <w:sz w:val="24"/>
                      <w:szCs w:val="24"/>
                    </w:rPr>
                    <m:t>i</m:t>
                  </m:r>
                  <m:ctrlPr>
                    <w:rPr>
                      <w:rFonts w:ascii="Cambria Math" w:hAnsi="Cambria Math" w:eastAsia="黑体"/>
                      <w:color w:val="auto"/>
                      <w:sz w:val="24"/>
                      <w:szCs w:val="24"/>
                    </w:rPr>
                  </m:ctrlPr>
                </m:sub>
              </m:sSub>
              <m:sSup>
                <m:sSupPr>
                  <m:ctrlPr>
                    <w:rPr>
                      <w:rFonts w:ascii="Cambria Math" w:hAnsi="Cambria Math" w:eastAsia="黑体"/>
                      <w:color w:val="auto"/>
                      <w:sz w:val="24"/>
                      <w:szCs w:val="24"/>
                    </w:rPr>
                  </m:ctrlPr>
                </m:sSupPr>
                <m:e>
                  <m:r>
                    <m:rPr>
                      <m:sty m:val="p"/>
                    </m:rPr>
                    <w:rPr>
                      <w:rFonts w:ascii="Cambria Math" w:hAnsi="Cambria Math" w:eastAsia="黑体"/>
                      <w:color w:val="auto"/>
                      <w:sz w:val="24"/>
                      <w:szCs w:val="24"/>
                    </w:rPr>
                    <m:t>10</m:t>
                  </m:r>
                  <m:ctrlPr>
                    <w:rPr>
                      <w:rFonts w:ascii="Cambria Math" w:hAnsi="Cambria Math" w:eastAsia="黑体"/>
                      <w:color w:val="auto"/>
                      <w:sz w:val="24"/>
                      <w:szCs w:val="24"/>
                    </w:rPr>
                  </m:ctrlPr>
                </m:e>
                <m:sup>
                  <m:r>
                    <m:rPr>
                      <m:sty m:val="p"/>
                    </m:rPr>
                    <w:rPr>
                      <w:rFonts w:ascii="Cambria Math" w:hAnsi="Cambria Math" w:eastAsia="黑体"/>
                      <w:color w:val="auto"/>
                      <w:sz w:val="24"/>
                      <w:szCs w:val="24"/>
                    </w:rPr>
                    <m:t>0.1</m:t>
                  </m:r>
                  <m:sSub>
                    <m:sSubPr>
                      <m:ctrlPr>
                        <w:rPr>
                          <w:rFonts w:ascii="Cambria Math" w:hAnsi="Cambria Math" w:eastAsia="黑体"/>
                          <w:color w:val="auto"/>
                          <w:sz w:val="24"/>
                          <w:szCs w:val="24"/>
                        </w:rPr>
                      </m:ctrlPr>
                    </m:sSubPr>
                    <m:e>
                      <m:r>
                        <m:rPr/>
                        <w:rPr>
                          <w:rFonts w:ascii="Cambria Math" w:hAnsi="Cambria Math" w:eastAsia="黑体"/>
                          <w:color w:val="auto"/>
                          <w:sz w:val="24"/>
                          <w:szCs w:val="24"/>
                        </w:rPr>
                        <m:t>L</m:t>
                      </m:r>
                      <m:ctrlPr>
                        <w:rPr>
                          <w:rFonts w:ascii="Cambria Math" w:hAnsi="Cambria Math" w:eastAsia="黑体"/>
                          <w:color w:val="auto"/>
                          <w:sz w:val="24"/>
                          <w:szCs w:val="24"/>
                        </w:rPr>
                      </m:ctrlPr>
                    </m:e>
                    <m:sub>
                      <m:r>
                        <m:rPr/>
                        <w:rPr>
                          <w:rFonts w:ascii="Cambria Math" w:hAnsi="Cambria Math" w:eastAsia="黑体"/>
                          <w:color w:val="auto"/>
                          <w:sz w:val="24"/>
                          <w:szCs w:val="24"/>
                        </w:rPr>
                        <m:t>Ai</m:t>
                      </m:r>
                      <m:ctrlPr>
                        <w:rPr>
                          <w:rFonts w:ascii="Cambria Math" w:hAnsi="Cambria Math" w:eastAsia="黑体"/>
                          <w:color w:val="auto"/>
                          <w:sz w:val="24"/>
                          <w:szCs w:val="24"/>
                        </w:rPr>
                      </m:ctrlPr>
                    </m:sub>
                  </m:sSub>
                  <m:ctrlPr>
                    <w:rPr>
                      <w:rFonts w:ascii="Cambria Math" w:hAnsi="Cambria Math" w:eastAsia="黑体"/>
                      <w:color w:val="auto"/>
                      <w:sz w:val="24"/>
                      <w:szCs w:val="24"/>
                    </w:rPr>
                  </m:ctrlPr>
                </m:sup>
              </m:sSup>
              <m:ctrlPr>
                <w:rPr>
                  <w:rFonts w:ascii="Cambria Math" w:hAnsi="Cambria Math" w:eastAsia="黑体"/>
                  <w:color w:val="auto"/>
                  <w:sz w:val="24"/>
                  <w:szCs w:val="24"/>
                </w:rPr>
              </m:ctrlPr>
            </m:e>
          </m:nary>
          <m:r>
            <m:rPr>
              <m:sty m:val="p"/>
            </m:rPr>
            <w:rPr>
              <w:rFonts w:ascii="Cambria Math" w:hAnsi="Cambria Math" w:eastAsia="黑体"/>
              <w:color w:val="auto"/>
              <w:sz w:val="24"/>
              <w:szCs w:val="24"/>
            </w:rPr>
            <m:t>]</m:t>
          </m:r>
        </m:oMath>
      </m:oMathPara>
    </w:p>
    <w:p w14:paraId="2119FBE6">
      <w:pPr>
        <w:autoSpaceDE w:val="0"/>
        <w:autoSpaceDN w:val="0"/>
        <w:spacing w:line="360" w:lineRule="auto"/>
        <w:rPr>
          <w:rFonts w:ascii="Times New Roman" w:hAnsi="Times New Roman"/>
          <w:color w:val="auto"/>
          <w:sz w:val="24"/>
          <w:szCs w:val="24"/>
          <w:lang w:val="zh-CN"/>
        </w:rPr>
      </w:pPr>
      <w:r>
        <w:rPr>
          <w:rFonts w:ascii="Times New Roman" w:hAnsi="Times New Roman"/>
          <w:color w:val="auto"/>
          <w:sz w:val="24"/>
          <w:szCs w:val="24"/>
          <w:lang w:val="zh-CN"/>
        </w:rPr>
        <w:t>式中：</w:t>
      </w:r>
    </w:p>
    <w:p w14:paraId="1185B560">
      <w:pPr>
        <w:autoSpaceDE w:val="0"/>
        <w:autoSpaceDN w:val="0"/>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L</w:t>
      </w:r>
      <w:r>
        <w:rPr>
          <w:rFonts w:ascii="Times New Roman" w:hAnsi="Times New Roman"/>
          <w:color w:val="auto"/>
          <w:sz w:val="24"/>
          <w:szCs w:val="24"/>
          <w:vertAlign w:val="subscript"/>
          <w:lang w:val="zh-CN"/>
        </w:rPr>
        <w:t>eqg</w:t>
      </w:r>
      <w:r>
        <w:rPr>
          <w:rFonts w:ascii="Times New Roman" w:hAnsi="Times New Roman"/>
          <w:color w:val="auto"/>
          <w:sz w:val="24"/>
          <w:szCs w:val="24"/>
          <w:lang w:val="zh-CN"/>
        </w:rPr>
        <w:t>——建设项目声源在预测点的等效声级贡献值，dB</w:t>
      </w:r>
      <w:r>
        <w:rPr>
          <w:rFonts w:hint="eastAsia"/>
          <w:color w:val="auto"/>
          <w:sz w:val="24"/>
          <w:szCs w:val="24"/>
          <w:lang w:val="zh-CN"/>
        </w:rPr>
        <w:t>（</w:t>
      </w:r>
      <w:r>
        <w:rPr>
          <w:rFonts w:ascii="Times New Roman" w:hAnsi="Times New Roman"/>
          <w:color w:val="auto"/>
          <w:sz w:val="24"/>
          <w:szCs w:val="24"/>
          <w:lang w:val="zh-CN"/>
        </w:rPr>
        <w:t>A</w:t>
      </w:r>
      <w:r>
        <w:rPr>
          <w:rFonts w:hint="eastAsia"/>
          <w:color w:val="auto"/>
          <w:sz w:val="24"/>
          <w:szCs w:val="24"/>
          <w:lang w:val="zh-CN"/>
        </w:rPr>
        <w:t>）</w:t>
      </w:r>
      <w:r>
        <w:rPr>
          <w:rFonts w:ascii="Times New Roman" w:hAnsi="Times New Roman"/>
          <w:color w:val="auto"/>
          <w:sz w:val="24"/>
          <w:szCs w:val="24"/>
          <w:lang w:val="zh-CN"/>
        </w:rPr>
        <w:t>；</w:t>
      </w:r>
    </w:p>
    <w:p w14:paraId="5E7068C3">
      <w:pPr>
        <w:autoSpaceDE w:val="0"/>
        <w:autoSpaceDN w:val="0"/>
        <w:spacing w:line="360" w:lineRule="auto"/>
        <w:ind w:firstLine="480" w:firstLineChars="200"/>
        <w:jc w:val="left"/>
        <w:rPr>
          <w:rFonts w:ascii="Times New Roman" w:hAnsi="Times New Roman"/>
          <w:color w:val="auto"/>
          <w:sz w:val="24"/>
          <w:szCs w:val="24"/>
          <w:lang w:val="zh-CN"/>
        </w:rPr>
      </w:pPr>
      <w:r>
        <w:rPr>
          <w:rFonts w:ascii="Times New Roman" w:hAnsi="Times New Roman"/>
          <w:color w:val="auto"/>
          <w:sz w:val="24"/>
          <w:szCs w:val="24"/>
          <w:lang w:val="zh-CN"/>
        </w:rPr>
        <w:t>L</w:t>
      </w:r>
      <w:r>
        <w:rPr>
          <w:rFonts w:ascii="Times New Roman" w:hAnsi="Times New Roman"/>
          <w:color w:val="auto"/>
          <w:sz w:val="24"/>
          <w:szCs w:val="24"/>
          <w:vertAlign w:val="subscript"/>
          <w:lang w:val="zh-CN"/>
        </w:rPr>
        <w:t>Ai</w:t>
      </w:r>
      <w:r>
        <w:rPr>
          <w:rFonts w:ascii="Times New Roman" w:hAnsi="Times New Roman"/>
          <w:color w:val="auto"/>
          <w:sz w:val="24"/>
          <w:szCs w:val="24"/>
          <w:lang w:val="zh-CN"/>
        </w:rPr>
        <w:t>——i声源在预测点产生的A声级，dB</w:t>
      </w:r>
      <w:r>
        <w:rPr>
          <w:rFonts w:hint="eastAsia"/>
          <w:color w:val="auto"/>
          <w:sz w:val="24"/>
          <w:szCs w:val="24"/>
          <w:lang w:val="zh-CN"/>
        </w:rPr>
        <w:t>（</w:t>
      </w:r>
      <w:r>
        <w:rPr>
          <w:rFonts w:ascii="Times New Roman" w:hAnsi="Times New Roman"/>
          <w:color w:val="auto"/>
          <w:sz w:val="24"/>
          <w:szCs w:val="24"/>
          <w:lang w:val="zh-CN"/>
        </w:rPr>
        <w:t>A</w:t>
      </w:r>
      <w:r>
        <w:rPr>
          <w:rFonts w:hint="eastAsia"/>
          <w:color w:val="auto"/>
          <w:sz w:val="24"/>
          <w:szCs w:val="24"/>
          <w:lang w:val="zh-CN"/>
        </w:rPr>
        <w:t>）</w:t>
      </w:r>
      <w:r>
        <w:rPr>
          <w:rFonts w:ascii="Times New Roman" w:hAnsi="Times New Roman"/>
          <w:color w:val="auto"/>
          <w:sz w:val="24"/>
          <w:szCs w:val="24"/>
          <w:lang w:val="zh-CN"/>
        </w:rPr>
        <w:t>；</w:t>
      </w:r>
    </w:p>
    <w:p w14:paraId="564F439B">
      <w:pPr>
        <w:autoSpaceDE w:val="0"/>
        <w:autoSpaceDN w:val="0"/>
        <w:spacing w:line="360" w:lineRule="auto"/>
        <w:ind w:firstLine="480" w:firstLineChars="200"/>
        <w:jc w:val="left"/>
        <w:rPr>
          <w:rFonts w:ascii="Times New Roman" w:hAnsi="Times New Roman"/>
          <w:color w:val="auto"/>
          <w:sz w:val="24"/>
          <w:szCs w:val="24"/>
          <w:lang w:val="zh-CN"/>
        </w:rPr>
      </w:pPr>
      <w:r>
        <w:rPr>
          <w:rFonts w:ascii="Times New Roman" w:hAnsi="Times New Roman"/>
          <w:color w:val="auto"/>
          <w:sz w:val="24"/>
          <w:szCs w:val="24"/>
          <w:lang w:val="zh-CN"/>
        </w:rPr>
        <w:t>t</w:t>
      </w:r>
      <w:r>
        <w:rPr>
          <w:rFonts w:ascii="Times New Roman" w:hAnsi="Times New Roman"/>
          <w:color w:val="auto"/>
          <w:sz w:val="24"/>
          <w:szCs w:val="24"/>
          <w:vertAlign w:val="subscript"/>
          <w:lang w:val="zh-CN"/>
        </w:rPr>
        <w:t>i</w:t>
      </w:r>
      <w:r>
        <w:rPr>
          <w:rFonts w:ascii="Times New Roman" w:hAnsi="Times New Roman"/>
          <w:color w:val="auto"/>
          <w:sz w:val="24"/>
          <w:szCs w:val="24"/>
          <w:lang w:val="zh-CN"/>
        </w:rPr>
        <w:t>——i声源在T时段内的运行时间，s，本项目取8h；</w:t>
      </w:r>
    </w:p>
    <w:p w14:paraId="5B06777F">
      <w:pPr>
        <w:autoSpaceDE w:val="0"/>
        <w:autoSpaceDN w:val="0"/>
        <w:spacing w:line="360" w:lineRule="auto"/>
        <w:ind w:firstLine="480" w:firstLineChars="200"/>
        <w:jc w:val="left"/>
        <w:rPr>
          <w:rFonts w:ascii="Times New Roman" w:hAnsi="Times New Roman"/>
          <w:color w:val="auto"/>
          <w:sz w:val="24"/>
          <w:szCs w:val="24"/>
          <w:lang w:val="zh-CN"/>
        </w:rPr>
      </w:pPr>
      <w:r>
        <w:rPr>
          <w:rFonts w:ascii="Times New Roman" w:hAnsi="Times New Roman"/>
          <w:color w:val="auto"/>
          <w:sz w:val="24"/>
          <w:szCs w:val="24"/>
          <w:lang w:val="zh-CN"/>
        </w:rPr>
        <w:t>T——用于计算等效声级，s，昼间取8h。</w:t>
      </w:r>
    </w:p>
    <w:p w14:paraId="63527223">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施工机械对环境敏感保护目标的昼间或夜间的环境噪声预测值L</w:t>
      </w:r>
      <w:r>
        <w:rPr>
          <w:rFonts w:ascii="Times New Roman" w:hAnsi="Times New Roman"/>
          <w:color w:val="auto"/>
          <w:sz w:val="24"/>
          <w:szCs w:val="24"/>
          <w:vertAlign w:val="subscript"/>
        </w:rPr>
        <w:t>eq</w:t>
      </w:r>
      <w:r>
        <w:rPr>
          <w:rFonts w:ascii="Times New Roman" w:hAnsi="Times New Roman"/>
          <w:color w:val="auto"/>
          <w:sz w:val="24"/>
          <w:szCs w:val="24"/>
        </w:rPr>
        <w:t>计算公式为：</w:t>
      </w:r>
    </w:p>
    <w:p w14:paraId="0C91107A">
      <w:pPr>
        <w:jc w:val="center"/>
        <w:rPr>
          <w:rFonts w:ascii="Times New Roman" w:hAnsi="Times New Roman" w:eastAsia="黑体"/>
          <w:color w:val="auto"/>
          <w:sz w:val="24"/>
          <w:szCs w:val="24"/>
        </w:rPr>
      </w:pPr>
      <m:oMathPara>
        <m:oMath>
          <m:sSub>
            <m:sSubPr>
              <m:ctrlPr>
                <w:rPr>
                  <w:rFonts w:ascii="Cambria Math" w:hAnsi="Cambria Math" w:eastAsia="黑体"/>
                  <w:color w:val="auto"/>
                  <w:sz w:val="24"/>
                  <w:szCs w:val="24"/>
                </w:rPr>
              </m:ctrlPr>
            </m:sSubPr>
            <m:e>
              <m:r>
                <m:rPr/>
                <w:rPr>
                  <w:rFonts w:ascii="Cambria Math" w:hAnsi="Cambria Math" w:eastAsia="黑体"/>
                  <w:color w:val="auto"/>
                  <w:sz w:val="24"/>
                  <w:szCs w:val="24"/>
                </w:rPr>
                <m:t>L</m:t>
              </m:r>
              <m:ctrlPr>
                <w:rPr>
                  <w:rFonts w:ascii="Cambria Math" w:hAnsi="Cambria Math" w:eastAsia="黑体"/>
                  <w:color w:val="auto"/>
                  <w:sz w:val="24"/>
                  <w:szCs w:val="24"/>
                </w:rPr>
              </m:ctrlPr>
            </m:e>
            <m:sub>
              <m:r>
                <m:rPr>
                  <m:sty m:val="p"/>
                </m:rPr>
                <w:rPr>
                  <w:rFonts w:ascii="Cambria Math" w:hAnsi="Cambria Math" w:eastAsia="黑体"/>
                  <w:color w:val="auto"/>
                  <w:sz w:val="24"/>
                  <w:szCs w:val="24"/>
                </w:rPr>
                <m:t>eq</m:t>
              </m:r>
              <m:ctrlPr>
                <w:rPr>
                  <w:rFonts w:ascii="Cambria Math" w:hAnsi="Cambria Math" w:eastAsia="黑体"/>
                  <w:color w:val="auto"/>
                  <w:sz w:val="24"/>
                  <w:szCs w:val="24"/>
                </w:rPr>
              </m:ctrlPr>
            </m:sub>
          </m:sSub>
          <m:r>
            <m:rPr>
              <m:sty m:val="p"/>
            </m:rPr>
            <w:rPr>
              <w:rFonts w:ascii="Cambria Math" w:hAnsi="Cambria Math" w:eastAsia="黑体"/>
              <w:color w:val="auto"/>
              <w:sz w:val="24"/>
              <w:szCs w:val="24"/>
            </w:rPr>
            <m:t>=10lg[</m:t>
          </m:r>
          <m:sSup>
            <m:sSupPr>
              <m:ctrlPr>
                <w:rPr>
                  <w:rFonts w:ascii="Cambria Math" w:hAnsi="Cambria Math" w:eastAsia="黑体"/>
                  <w:color w:val="auto"/>
                  <w:sz w:val="24"/>
                  <w:szCs w:val="24"/>
                </w:rPr>
              </m:ctrlPr>
            </m:sSupPr>
            <m:e>
              <m:r>
                <m:rPr/>
                <w:rPr>
                  <w:rFonts w:ascii="Cambria Math" w:hAnsi="Cambria Math" w:eastAsia="黑体"/>
                  <w:color w:val="auto"/>
                  <w:sz w:val="24"/>
                  <w:szCs w:val="24"/>
                </w:rPr>
                <m:t>10</m:t>
              </m:r>
              <m:ctrlPr>
                <w:rPr>
                  <w:rFonts w:ascii="Cambria Math" w:hAnsi="Cambria Math" w:eastAsia="黑体"/>
                  <w:color w:val="auto"/>
                  <w:sz w:val="24"/>
                  <w:szCs w:val="24"/>
                </w:rPr>
              </m:ctrlPr>
            </m:e>
            <m:sup>
              <m:r>
                <m:rPr>
                  <m:sty m:val="p"/>
                </m:rPr>
                <w:rPr>
                  <w:rFonts w:ascii="Cambria Math" w:hAnsi="Cambria Math" w:eastAsia="黑体"/>
                  <w:color w:val="auto"/>
                  <w:sz w:val="24"/>
                  <w:szCs w:val="24"/>
                </w:rPr>
                <m:t>0.1Leqg</m:t>
              </m:r>
              <m:ctrlPr>
                <w:rPr>
                  <w:rFonts w:ascii="Cambria Math" w:hAnsi="Cambria Math" w:eastAsia="黑体"/>
                  <w:color w:val="auto"/>
                  <w:sz w:val="24"/>
                  <w:szCs w:val="24"/>
                </w:rPr>
              </m:ctrlPr>
            </m:sup>
          </m:sSup>
          <m:r>
            <m:rPr>
              <m:sty m:val="p"/>
            </m:rPr>
            <w:rPr>
              <w:rFonts w:ascii="Cambria Math" w:hAnsi="Cambria Math" w:eastAsia="黑体"/>
              <w:color w:val="auto"/>
              <w:sz w:val="24"/>
              <w:szCs w:val="24"/>
            </w:rPr>
            <m:t>+</m:t>
          </m:r>
          <m:sSup>
            <m:sSupPr>
              <m:ctrlPr>
                <w:rPr>
                  <w:rFonts w:ascii="Cambria Math" w:hAnsi="Cambria Math" w:eastAsia="黑体"/>
                  <w:color w:val="auto"/>
                  <w:sz w:val="24"/>
                  <w:szCs w:val="24"/>
                </w:rPr>
              </m:ctrlPr>
            </m:sSupPr>
            <m:e>
              <m:r>
                <m:rPr/>
                <w:rPr>
                  <w:rFonts w:ascii="Cambria Math" w:hAnsi="Cambria Math" w:eastAsia="黑体"/>
                  <w:color w:val="auto"/>
                  <w:sz w:val="24"/>
                  <w:szCs w:val="24"/>
                </w:rPr>
                <m:t>10</m:t>
              </m:r>
              <m:ctrlPr>
                <w:rPr>
                  <w:rFonts w:ascii="Cambria Math" w:hAnsi="Cambria Math" w:eastAsia="黑体"/>
                  <w:color w:val="auto"/>
                  <w:sz w:val="24"/>
                  <w:szCs w:val="24"/>
                </w:rPr>
              </m:ctrlPr>
            </m:e>
            <m:sup>
              <m:r>
                <m:rPr>
                  <m:sty m:val="p"/>
                </m:rPr>
                <w:rPr>
                  <w:rFonts w:ascii="Cambria Math" w:hAnsi="Cambria Math" w:eastAsia="黑体"/>
                  <w:color w:val="auto"/>
                  <w:sz w:val="24"/>
                  <w:szCs w:val="24"/>
                </w:rPr>
                <m:t>0.1Leqb</m:t>
              </m:r>
              <m:ctrlPr>
                <w:rPr>
                  <w:rFonts w:ascii="Cambria Math" w:hAnsi="Cambria Math" w:eastAsia="黑体"/>
                  <w:color w:val="auto"/>
                  <w:sz w:val="24"/>
                  <w:szCs w:val="24"/>
                </w:rPr>
              </m:ctrlPr>
            </m:sup>
          </m:sSup>
          <m:r>
            <m:rPr>
              <m:sty m:val="p"/>
            </m:rPr>
            <w:rPr>
              <w:rFonts w:ascii="Cambria Math" w:hAnsi="Cambria Math" w:eastAsia="黑体"/>
              <w:color w:val="auto"/>
              <w:sz w:val="24"/>
              <w:szCs w:val="24"/>
            </w:rPr>
            <m:t>]</m:t>
          </m:r>
        </m:oMath>
      </m:oMathPara>
    </w:p>
    <w:p w14:paraId="79BB8593">
      <w:pPr>
        <w:autoSpaceDE w:val="0"/>
        <w:autoSpaceDN w:val="0"/>
        <w:spacing w:line="360" w:lineRule="auto"/>
        <w:rPr>
          <w:rFonts w:ascii="Times New Roman" w:hAnsi="Times New Roman"/>
          <w:color w:val="auto"/>
          <w:sz w:val="24"/>
          <w:szCs w:val="24"/>
          <w:lang w:val="zh-CN"/>
        </w:rPr>
      </w:pPr>
      <w:r>
        <w:rPr>
          <w:rFonts w:ascii="Times New Roman" w:hAnsi="Times New Roman"/>
          <w:color w:val="auto"/>
          <w:sz w:val="24"/>
          <w:szCs w:val="24"/>
          <w:lang w:val="zh-CN"/>
        </w:rPr>
        <w:t>式中：</w:t>
      </w:r>
    </w:p>
    <w:p w14:paraId="0A639796">
      <w:pPr>
        <w:autoSpaceDE w:val="0"/>
        <w:autoSpaceDN w:val="0"/>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L</w:t>
      </w:r>
      <w:r>
        <w:rPr>
          <w:rFonts w:ascii="Times New Roman" w:hAnsi="Times New Roman"/>
          <w:color w:val="auto"/>
          <w:sz w:val="24"/>
          <w:szCs w:val="24"/>
          <w:vertAlign w:val="subscript"/>
          <w:lang w:val="zh-CN"/>
        </w:rPr>
        <w:t>eqg</w:t>
      </w:r>
      <w:r>
        <w:rPr>
          <w:rFonts w:ascii="Times New Roman" w:hAnsi="Times New Roman"/>
          <w:color w:val="auto"/>
          <w:sz w:val="24"/>
          <w:szCs w:val="24"/>
          <w:lang w:val="zh-CN"/>
        </w:rPr>
        <w:t>——声源在预测点的等效声级贡献值，dB</w:t>
      </w:r>
      <w:r>
        <w:rPr>
          <w:rFonts w:hint="eastAsia"/>
          <w:color w:val="auto"/>
          <w:sz w:val="24"/>
          <w:szCs w:val="24"/>
          <w:lang w:val="zh-CN"/>
        </w:rPr>
        <w:t>（</w:t>
      </w:r>
      <w:r>
        <w:rPr>
          <w:rFonts w:ascii="Times New Roman" w:hAnsi="Times New Roman"/>
          <w:color w:val="auto"/>
          <w:sz w:val="24"/>
          <w:szCs w:val="24"/>
          <w:lang w:val="zh-CN"/>
        </w:rPr>
        <w:t>A</w:t>
      </w:r>
      <w:r>
        <w:rPr>
          <w:rFonts w:hint="eastAsia"/>
          <w:color w:val="auto"/>
          <w:sz w:val="24"/>
          <w:szCs w:val="24"/>
          <w:lang w:val="zh-CN"/>
        </w:rPr>
        <w:t>）</w:t>
      </w:r>
      <w:r>
        <w:rPr>
          <w:rFonts w:ascii="Times New Roman" w:hAnsi="Times New Roman"/>
          <w:color w:val="auto"/>
          <w:sz w:val="24"/>
          <w:szCs w:val="24"/>
          <w:lang w:val="zh-CN"/>
        </w:rPr>
        <w:t>；</w:t>
      </w:r>
    </w:p>
    <w:p w14:paraId="3248009B">
      <w:pPr>
        <w:autoSpaceDE w:val="0"/>
        <w:autoSpaceDN w:val="0"/>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Leq</w:t>
      </w:r>
      <w:r>
        <w:rPr>
          <w:rFonts w:ascii="Times New Roman" w:hAnsi="Times New Roman"/>
          <w:color w:val="auto"/>
          <w:sz w:val="24"/>
          <w:szCs w:val="24"/>
          <w:vertAlign w:val="subscript"/>
          <w:lang w:val="zh-CN"/>
        </w:rPr>
        <w:t>b</w:t>
      </w:r>
      <w:r>
        <w:rPr>
          <w:rFonts w:ascii="Times New Roman" w:hAnsi="Times New Roman"/>
          <w:color w:val="auto"/>
          <w:sz w:val="24"/>
          <w:szCs w:val="24"/>
          <w:lang w:val="zh-CN"/>
        </w:rPr>
        <w:t>——为预测点背景值，dB</w:t>
      </w:r>
      <w:r>
        <w:rPr>
          <w:rFonts w:hint="eastAsia"/>
          <w:color w:val="auto"/>
          <w:sz w:val="24"/>
          <w:szCs w:val="24"/>
          <w:lang w:val="zh-CN"/>
        </w:rPr>
        <w:t>（</w:t>
      </w:r>
      <w:r>
        <w:rPr>
          <w:rFonts w:ascii="Times New Roman" w:hAnsi="Times New Roman"/>
          <w:color w:val="auto"/>
          <w:sz w:val="24"/>
          <w:szCs w:val="24"/>
          <w:lang w:val="zh-CN"/>
        </w:rPr>
        <w:t>A</w:t>
      </w:r>
      <w:r>
        <w:rPr>
          <w:rFonts w:hint="eastAsia"/>
          <w:color w:val="auto"/>
          <w:sz w:val="24"/>
          <w:szCs w:val="24"/>
          <w:lang w:val="zh-CN"/>
        </w:rPr>
        <w:t>）</w:t>
      </w:r>
      <w:r>
        <w:rPr>
          <w:rFonts w:ascii="Times New Roman" w:hAnsi="Times New Roman"/>
          <w:color w:val="auto"/>
          <w:sz w:val="24"/>
          <w:szCs w:val="24"/>
          <w:lang w:val="zh-CN"/>
        </w:rPr>
        <w:t>。</w:t>
      </w:r>
    </w:p>
    <w:p w14:paraId="0663F95F">
      <w:pPr>
        <w:autoSpaceDE w:val="0"/>
        <w:autoSpaceDN w:val="0"/>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通过等效声级计算公式计算出各施工阶段所有施工机械在环境敏感保护目标处的等效声级贡献值，然后与各敏感保护目标的背景值进行叠加，最后求出预测值。</w:t>
      </w:r>
    </w:p>
    <w:p w14:paraId="4F8D524F">
      <w:pPr>
        <w:bidi w:val="0"/>
        <w:rPr>
          <w:color w:val="auto"/>
        </w:rPr>
      </w:pPr>
      <w:r>
        <w:rPr>
          <w:color w:val="auto"/>
        </w:rPr>
        <w:t>（4）预测结果</w:t>
      </w:r>
    </w:p>
    <w:p w14:paraId="386535BB">
      <w:pPr>
        <w:bidi w:val="0"/>
        <w:rPr>
          <w:color w:val="auto"/>
        </w:rPr>
      </w:pPr>
      <w:r>
        <w:rPr>
          <w:color w:val="auto"/>
        </w:rPr>
        <w:t>1）不同距离处的噪声贡献值</w:t>
      </w:r>
    </w:p>
    <w:p w14:paraId="76D83588">
      <w:pPr>
        <w:bidi w:val="0"/>
        <w:rPr>
          <w:color w:val="auto"/>
        </w:rPr>
      </w:pPr>
      <w:r>
        <w:rPr>
          <w:color w:val="auto"/>
          <w:lang w:val="zh-CN"/>
        </w:rPr>
        <w:t>根据预测模式计算出各施工机械单个施工机械在不同距离处的噪声贡献值。</w:t>
      </w:r>
    </w:p>
    <w:p w14:paraId="1B444AE8">
      <w:pPr>
        <w:pStyle w:val="11"/>
        <w:bidi w:val="0"/>
        <w:rPr>
          <w:rFonts w:hint="eastAsia"/>
          <w:lang w:eastAsia="zh-CN"/>
        </w:rPr>
      </w:pPr>
      <w:r>
        <w:t>表</w:t>
      </w:r>
      <w:r>
        <w:rPr>
          <w:color w:val="auto"/>
        </w:rPr>
        <w:fldChar w:fldCharType="begin"/>
      </w:r>
      <w:r>
        <w:rPr>
          <w:color w:val="auto"/>
        </w:rPr>
        <w:instrText xml:space="preserve"> STYLEREF 2 \s </w:instrText>
      </w:r>
      <w:r>
        <w:rPr>
          <w:color w:val="auto"/>
        </w:rPr>
        <w:fldChar w:fldCharType="separate"/>
      </w:r>
      <w:r>
        <w:rPr>
          <w:color w:val="auto"/>
        </w:rPr>
        <w:t>5.1</w:t>
      </w:r>
      <w:r>
        <w:rPr>
          <w:color w:val="auto"/>
        </w:rPr>
        <w:fldChar w:fldCharType="end"/>
      </w:r>
      <w:r>
        <w:rPr>
          <w:rFonts w:hint="eastAsia"/>
          <w:color w:val="auto"/>
          <w:lang w:eastAsia="zh-CN"/>
        </w:rPr>
        <w:t>-</w:t>
      </w:r>
      <w:r>
        <w:rPr>
          <w:color w:val="auto"/>
        </w:rPr>
        <w:fldChar w:fldCharType="begin"/>
      </w:r>
      <w:r>
        <w:rPr>
          <w:color w:val="auto"/>
        </w:rPr>
        <w:instrText xml:space="preserve"> SEQ 表 \* ARABIC \s 2 </w:instrText>
      </w:r>
      <w:r>
        <w:rPr>
          <w:color w:val="auto"/>
        </w:rPr>
        <w:fldChar w:fldCharType="separate"/>
      </w:r>
      <w:r>
        <w:rPr>
          <w:color w:val="auto"/>
        </w:rPr>
        <w:t>4</w:t>
      </w:r>
      <w:r>
        <w:rPr>
          <w:color w:val="auto"/>
        </w:rPr>
        <w:fldChar w:fldCharType="end"/>
      </w:r>
      <w:r>
        <w:t>项目噪声影响预测结果单位：dB</w:t>
      </w:r>
      <w:r>
        <w:rPr>
          <w:rFonts w:hint="eastAsia"/>
          <w:lang w:eastAsia="zh-CN"/>
        </w:rPr>
        <w:t>（</w:t>
      </w:r>
      <w:r>
        <w:t>A</w:t>
      </w:r>
      <w:r>
        <w:rPr>
          <w:rFonts w:hint="eastAsia"/>
          <w:lang w:eastAsia="zh-CN"/>
        </w:rPr>
        <w:t>）</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1409"/>
        <w:gridCol w:w="703"/>
        <w:gridCol w:w="706"/>
        <w:gridCol w:w="758"/>
        <w:gridCol w:w="758"/>
        <w:gridCol w:w="758"/>
        <w:gridCol w:w="758"/>
        <w:gridCol w:w="758"/>
        <w:gridCol w:w="768"/>
      </w:tblGrid>
      <w:tr w14:paraId="1267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restart"/>
            <w:tcBorders>
              <w:tl2br w:val="nil"/>
            </w:tcBorders>
            <w:tcMar>
              <w:left w:w="28" w:type="dxa"/>
              <w:right w:w="28" w:type="dxa"/>
            </w:tcMar>
            <w:vAlign w:val="center"/>
          </w:tcPr>
          <w:p w14:paraId="2A82782F">
            <w:pPr>
              <w:pStyle w:val="31"/>
              <w:bidi w:val="0"/>
              <w:rPr>
                <w:color w:val="auto"/>
                <w:lang w:val="zh-CN"/>
              </w:rPr>
            </w:pPr>
            <w:r>
              <w:rPr>
                <w:color w:val="auto"/>
                <w:lang w:val="zh-CN"/>
              </w:rPr>
              <w:t>施工阶段</w:t>
            </w:r>
          </w:p>
        </w:tc>
        <w:tc>
          <w:tcPr>
            <w:tcW w:w="842" w:type="pct"/>
            <w:vMerge w:val="restart"/>
            <w:tcMar>
              <w:left w:w="28" w:type="dxa"/>
              <w:right w:w="28" w:type="dxa"/>
            </w:tcMar>
            <w:vAlign w:val="center"/>
          </w:tcPr>
          <w:p w14:paraId="2D8B72E2">
            <w:pPr>
              <w:pStyle w:val="31"/>
              <w:bidi w:val="0"/>
              <w:rPr>
                <w:color w:val="auto"/>
                <w:lang w:val="zh-CN"/>
              </w:rPr>
            </w:pPr>
            <w:r>
              <w:rPr>
                <w:color w:val="auto"/>
                <w:lang w:val="zh-CN"/>
              </w:rPr>
              <w:t>声源</w:t>
            </w:r>
          </w:p>
        </w:tc>
        <w:tc>
          <w:tcPr>
            <w:tcW w:w="420" w:type="pct"/>
            <w:vMerge w:val="restart"/>
            <w:tcMar>
              <w:left w:w="28" w:type="dxa"/>
              <w:right w:w="28" w:type="dxa"/>
            </w:tcMar>
            <w:vAlign w:val="center"/>
          </w:tcPr>
          <w:p w14:paraId="21928420">
            <w:pPr>
              <w:pStyle w:val="31"/>
              <w:bidi w:val="0"/>
              <w:rPr>
                <w:color w:val="auto"/>
                <w:lang w:val="zh-CN"/>
              </w:rPr>
            </w:pPr>
            <w:r>
              <w:rPr>
                <w:color w:val="auto"/>
                <w:lang w:val="zh-CN"/>
              </w:rPr>
              <w:t>测点距离（m）</w:t>
            </w:r>
          </w:p>
        </w:tc>
        <w:tc>
          <w:tcPr>
            <w:tcW w:w="422" w:type="pct"/>
            <w:vMerge w:val="restart"/>
            <w:tcMar>
              <w:left w:w="28" w:type="dxa"/>
              <w:right w:w="28" w:type="dxa"/>
            </w:tcMar>
            <w:vAlign w:val="center"/>
          </w:tcPr>
          <w:p w14:paraId="4458AF4B">
            <w:pPr>
              <w:pStyle w:val="31"/>
              <w:bidi w:val="0"/>
              <w:rPr>
                <w:color w:val="auto"/>
                <w:lang w:val="zh-CN"/>
              </w:rPr>
            </w:pPr>
            <w:r>
              <w:rPr>
                <w:color w:val="auto"/>
                <w:lang w:val="zh-CN"/>
              </w:rPr>
              <w:t>源强</w:t>
            </w:r>
          </w:p>
        </w:tc>
        <w:tc>
          <w:tcPr>
            <w:tcW w:w="2724" w:type="pct"/>
            <w:gridSpan w:val="6"/>
            <w:tcMar>
              <w:left w:w="28" w:type="dxa"/>
              <w:right w:w="28" w:type="dxa"/>
            </w:tcMar>
            <w:vAlign w:val="center"/>
          </w:tcPr>
          <w:p w14:paraId="429FD1BD">
            <w:pPr>
              <w:pStyle w:val="31"/>
              <w:bidi w:val="0"/>
              <w:rPr>
                <w:color w:val="auto"/>
                <w:lang w:val="zh-CN"/>
              </w:rPr>
            </w:pPr>
            <w:r>
              <w:rPr>
                <w:color w:val="auto"/>
                <w:lang w:val="zh-CN"/>
              </w:rPr>
              <w:t>离声源不同距离的噪声预测值</w:t>
            </w:r>
          </w:p>
        </w:tc>
      </w:tr>
      <w:tr w14:paraId="5AEF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Borders>
              <w:tl2br w:val="nil"/>
            </w:tcBorders>
            <w:tcMar>
              <w:left w:w="28" w:type="dxa"/>
              <w:right w:w="28" w:type="dxa"/>
            </w:tcMar>
            <w:vAlign w:val="center"/>
          </w:tcPr>
          <w:p w14:paraId="6C9D0C76">
            <w:pPr>
              <w:pStyle w:val="31"/>
              <w:bidi w:val="0"/>
              <w:rPr>
                <w:color w:val="auto"/>
                <w:lang w:val="zh-CN"/>
              </w:rPr>
            </w:pPr>
          </w:p>
        </w:tc>
        <w:tc>
          <w:tcPr>
            <w:tcW w:w="842" w:type="pct"/>
            <w:vMerge w:val="continue"/>
            <w:tcMar>
              <w:left w:w="28" w:type="dxa"/>
              <w:right w:w="28" w:type="dxa"/>
            </w:tcMar>
            <w:vAlign w:val="center"/>
          </w:tcPr>
          <w:p w14:paraId="69943DB5">
            <w:pPr>
              <w:pStyle w:val="31"/>
              <w:bidi w:val="0"/>
              <w:rPr>
                <w:color w:val="auto"/>
                <w:lang w:val="zh-CN"/>
              </w:rPr>
            </w:pPr>
          </w:p>
        </w:tc>
        <w:tc>
          <w:tcPr>
            <w:tcW w:w="420" w:type="pct"/>
            <w:vMerge w:val="continue"/>
            <w:tcMar>
              <w:left w:w="28" w:type="dxa"/>
              <w:right w:w="28" w:type="dxa"/>
            </w:tcMar>
            <w:vAlign w:val="center"/>
          </w:tcPr>
          <w:p w14:paraId="6A9AECDE">
            <w:pPr>
              <w:pStyle w:val="31"/>
              <w:bidi w:val="0"/>
              <w:rPr>
                <w:color w:val="auto"/>
                <w:lang w:val="zh-CN"/>
              </w:rPr>
            </w:pPr>
          </w:p>
        </w:tc>
        <w:tc>
          <w:tcPr>
            <w:tcW w:w="422" w:type="pct"/>
            <w:vMerge w:val="continue"/>
            <w:tcMar>
              <w:left w:w="28" w:type="dxa"/>
              <w:right w:w="28" w:type="dxa"/>
            </w:tcMar>
            <w:vAlign w:val="center"/>
          </w:tcPr>
          <w:p w14:paraId="41FB0BC5">
            <w:pPr>
              <w:pStyle w:val="31"/>
              <w:bidi w:val="0"/>
              <w:rPr>
                <w:color w:val="auto"/>
                <w:lang w:val="zh-CN"/>
              </w:rPr>
            </w:pPr>
          </w:p>
        </w:tc>
        <w:tc>
          <w:tcPr>
            <w:tcW w:w="453" w:type="pct"/>
            <w:tcMar>
              <w:left w:w="28" w:type="dxa"/>
              <w:right w:w="28" w:type="dxa"/>
            </w:tcMar>
            <w:vAlign w:val="center"/>
          </w:tcPr>
          <w:p w14:paraId="6CED8E3F">
            <w:pPr>
              <w:pStyle w:val="31"/>
              <w:bidi w:val="0"/>
              <w:rPr>
                <w:color w:val="auto"/>
                <w:lang w:val="zh-CN"/>
              </w:rPr>
            </w:pPr>
            <w:r>
              <w:rPr>
                <w:color w:val="auto"/>
                <w:lang w:val="zh-CN"/>
              </w:rPr>
              <w:t>20m</w:t>
            </w:r>
          </w:p>
        </w:tc>
        <w:tc>
          <w:tcPr>
            <w:tcW w:w="453" w:type="pct"/>
            <w:vAlign w:val="center"/>
          </w:tcPr>
          <w:p w14:paraId="086EEAB6">
            <w:pPr>
              <w:pStyle w:val="31"/>
              <w:bidi w:val="0"/>
              <w:rPr>
                <w:color w:val="auto"/>
                <w:lang w:val="zh-CN"/>
              </w:rPr>
            </w:pPr>
            <w:r>
              <w:rPr>
                <w:color w:val="auto"/>
                <w:lang w:val="zh-CN"/>
              </w:rPr>
              <w:t>40m</w:t>
            </w:r>
          </w:p>
        </w:tc>
        <w:tc>
          <w:tcPr>
            <w:tcW w:w="453" w:type="pct"/>
            <w:vAlign w:val="center"/>
          </w:tcPr>
          <w:p w14:paraId="39E19045">
            <w:pPr>
              <w:pStyle w:val="31"/>
              <w:bidi w:val="0"/>
              <w:rPr>
                <w:color w:val="auto"/>
                <w:lang w:val="zh-CN"/>
              </w:rPr>
            </w:pPr>
            <w:r>
              <w:rPr>
                <w:color w:val="auto"/>
                <w:lang w:val="zh-CN"/>
              </w:rPr>
              <w:t>80m</w:t>
            </w:r>
          </w:p>
        </w:tc>
        <w:tc>
          <w:tcPr>
            <w:tcW w:w="453" w:type="pct"/>
            <w:vAlign w:val="center"/>
          </w:tcPr>
          <w:p w14:paraId="7F189726">
            <w:pPr>
              <w:pStyle w:val="31"/>
              <w:bidi w:val="0"/>
              <w:rPr>
                <w:color w:val="auto"/>
                <w:lang w:val="zh-CN"/>
              </w:rPr>
            </w:pPr>
            <w:r>
              <w:rPr>
                <w:color w:val="auto"/>
                <w:lang w:val="zh-CN"/>
              </w:rPr>
              <w:t>160m</w:t>
            </w:r>
          </w:p>
        </w:tc>
        <w:tc>
          <w:tcPr>
            <w:tcW w:w="453" w:type="pct"/>
            <w:vAlign w:val="center"/>
          </w:tcPr>
          <w:p w14:paraId="5A3119AE">
            <w:pPr>
              <w:pStyle w:val="31"/>
              <w:bidi w:val="0"/>
              <w:rPr>
                <w:color w:val="auto"/>
                <w:lang w:val="zh-CN"/>
              </w:rPr>
            </w:pPr>
            <w:r>
              <w:rPr>
                <w:color w:val="auto"/>
                <w:lang w:val="zh-CN"/>
              </w:rPr>
              <w:t>320m</w:t>
            </w:r>
          </w:p>
        </w:tc>
        <w:tc>
          <w:tcPr>
            <w:tcW w:w="458" w:type="pct"/>
            <w:vAlign w:val="center"/>
          </w:tcPr>
          <w:p w14:paraId="6ABA82FC">
            <w:pPr>
              <w:pStyle w:val="31"/>
              <w:bidi w:val="0"/>
              <w:rPr>
                <w:color w:val="auto"/>
                <w:lang w:val="zh-CN"/>
              </w:rPr>
            </w:pPr>
            <w:r>
              <w:rPr>
                <w:color w:val="auto"/>
                <w:lang w:val="zh-CN"/>
              </w:rPr>
              <w:t>640m</w:t>
            </w:r>
          </w:p>
        </w:tc>
      </w:tr>
      <w:tr w14:paraId="7DFA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restart"/>
            <w:tcMar>
              <w:left w:w="28" w:type="dxa"/>
              <w:right w:w="28" w:type="dxa"/>
            </w:tcMar>
            <w:vAlign w:val="center"/>
          </w:tcPr>
          <w:p w14:paraId="2A913799">
            <w:pPr>
              <w:pStyle w:val="31"/>
              <w:bidi w:val="0"/>
              <w:rPr>
                <w:color w:val="auto"/>
                <w:lang w:val="zh-CN"/>
              </w:rPr>
            </w:pPr>
            <w:r>
              <w:rPr>
                <w:rFonts w:hint="eastAsia"/>
                <w:color w:val="auto"/>
                <w:lang w:val="en-US" w:eastAsia="zh-CN"/>
              </w:rPr>
              <w:t>抛泥区</w:t>
            </w:r>
          </w:p>
        </w:tc>
        <w:tc>
          <w:tcPr>
            <w:tcW w:w="842" w:type="pct"/>
            <w:tcMar>
              <w:left w:w="28" w:type="dxa"/>
              <w:right w:w="28" w:type="dxa"/>
            </w:tcMar>
            <w:vAlign w:val="center"/>
          </w:tcPr>
          <w:p w14:paraId="07A402E9">
            <w:pPr>
              <w:pStyle w:val="31"/>
              <w:bidi w:val="0"/>
              <w:rPr>
                <w:color w:val="auto"/>
                <w:lang w:val="zh-CN"/>
              </w:rPr>
            </w:pPr>
            <w:r>
              <w:rPr>
                <w:color w:val="auto"/>
                <w:lang w:val="zh-CN"/>
              </w:rPr>
              <w:t>离心式水泵</w:t>
            </w:r>
          </w:p>
        </w:tc>
        <w:tc>
          <w:tcPr>
            <w:tcW w:w="420" w:type="pct"/>
            <w:tcMar>
              <w:left w:w="28" w:type="dxa"/>
              <w:right w:w="28" w:type="dxa"/>
            </w:tcMar>
            <w:vAlign w:val="center"/>
          </w:tcPr>
          <w:p w14:paraId="2D24D17C">
            <w:pPr>
              <w:pStyle w:val="31"/>
              <w:bidi w:val="0"/>
              <w:rPr>
                <w:color w:val="auto"/>
                <w:lang w:val="zh-CN"/>
              </w:rPr>
            </w:pPr>
            <w:r>
              <w:rPr>
                <w:color w:val="auto"/>
                <w:lang w:val="zh-CN"/>
              </w:rPr>
              <w:t>5</w:t>
            </w:r>
          </w:p>
        </w:tc>
        <w:tc>
          <w:tcPr>
            <w:tcW w:w="422" w:type="pct"/>
            <w:tcMar>
              <w:left w:w="28" w:type="dxa"/>
              <w:right w:w="28" w:type="dxa"/>
            </w:tcMar>
            <w:vAlign w:val="center"/>
          </w:tcPr>
          <w:p w14:paraId="75E4CA07">
            <w:pPr>
              <w:pStyle w:val="31"/>
              <w:bidi w:val="0"/>
              <w:rPr>
                <w:color w:val="auto"/>
                <w:lang w:val="zh-CN"/>
              </w:rPr>
            </w:pPr>
            <w:r>
              <w:rPr>
                <w:color w:val="auto"/>
                <w:lang w:val="zh-CN"/>
              </w:rPr>
              <w:t>82</w:t>
            </w:r>
          </w:p>
        </w:tc>
        <w:tc>
          <w:tcPr>
            <w:tcW w:w="453" w:type="pct"/>
            <w:tcMar>
              <w:left w:w="28" w:type="dxa"/>
              <w:right w:w="28" w:type="dxa"/>
            </w:tcMar>
            <w:vAlign w:val="center"/>
          </w:tcPr>
          <w:p w14:paraId="54C10211">
            <w:pPr>
              <w:pStyle w:val="31"/>
              <w:bidi w:val="0"/>
              <w:rPr>
                <w:color w:val="auto"/>
                <w:lang w:val="zh-CN"/>
              </w:rPr>
            </w:pPr>
            <w:r>
              <w:rPr>
                <w:color w:val="auto"/>
                <w:lang w:val="zh-CN"/>
              </w:rPr>
              <w:t>68</w:t>
            </w:r>
          </w:p>
        </w:tc>
        <w:tc>
          <w:tcPr>
            <w:tcW w:w="453" w:type="pct"/>
            <w:tcMar>
              <w:left w:w="28" w:type="dxa"/>
              <w:right w:w="28" w:type="dxa"/>
            </w:tcMar>
            <w:vAlign w:val="center"/>
          </w:tcPr>
          <w:p w14:paraId="4EB8EF94">
            <w:pPr>
              <w:pStyle w:val="31"/>
              <w:bidi w:val="0"/>
              <w:rPr>
                <w:color w:val="auto"/>
                <w:lang w:val="zh-CN"/>
              </w:rPr>
            </w:pPr>
            <w:r>
              <w:rPr>
                <w:color w:val="auto"/>
                <w:lang w:val="zh-CN"/>
              </w:rPr>
              <w:t>62</w:t>
            </w:r>
          </w:p>
        </w:tc>
        <w:tc>
          <w:tcPr>
            <w:tcW w:w="453" w:type="pct"/>
            <w:tcMar>
              <w:left w:w="28" w:type="dxa"/>
              <w:right w:w="28" w:type="dxa"/>
            </w:tcMar>
            <w:vAlign w:val="center"/>
          </w:tcPr>
          <w:p w14:paraId="699AEAC2">
            <w:pPr>
              <w:pStyle w:val="31"/>
              <w:bidi w:val="0"/>
              <w:rPr>
                <w:color w:val="auto"/>
                <w:lang w:val="zh-CN"/>
              </w:rPr>
            </w:pPr>
            <w:r>
              <w:rPr>
                <w:color w:val="auto"/>
                <w:lang w:val="zh-CN"/>
              </w:rPr>
              <w:t>56</w:t>
            </w:r>
          </w:p>
        </w:tc>
        <w:tc>
          <w:tcPr>
            <w:tcW w:w="453" w:type="pct"/>
            <w:tcMar>
              <w:left w:w="28" w:type="dxa"/>
              <w:right w:w="28" w:type="dxa"/>
            </w:tcMar>
            <w:vAlign w:val="center"/>
          </w:tcPr>
          <w:p w14:paraId="3694F81C">
            <w:pPr>
              <w:pStyle w:val="31"/>
              <w:bidi w:val="0"/>
              <w:rPr>
                <w:color w:val="auto"/>
                <w:lang w:val="zh-CN"/>
              </w:rPr>
            </w:pPr>
            <w:r>
              <w:rPr>
                <w:color w:val="auto"/>
                <w:lang w:val="zh-CN"/>
              </w:rPr>
              <w:t>50</w:t>
            </w:r>
          </w:p>
        </w:tc>
        <w:tc>
          <w:tcPr>
            <w:tcW w:w="453" w:type="pct"/>
            <w:tcMar>
              <w:left w:w="28" w:type="dxa"/>
              <w:right w:w="28" w:type="dxa"/>
            </w:tcMar>
            <w:vAlign w:val="center"/>
          </w:tcPr>
          <w:p w14:paraId="20D3F1BF">
            <w:pPr>
              <w:pStyle w:val="31"/>
              <w:bidi w:val="0"/>
              <w:rPr>
                <w:color w:val="auto"/>
                <w:lang w:val="zh-CN"/>
              </w:rPr>
            </w:pPr>
            <w:r>
              <w:rPr>
                <w:color w:val="auto"/>
                <w:lang w:val="zh-CN"/>
              </w:rPr>
              <w:t>44</w:t>
            </w:r>
          </w:p>
        </w:tc>
        <w:tc>
          <w:tcPr>
            <w:tcW w:w="458" w:type="pct"/>
            <w:tcMar>
              <w:left w:w="28" w:type="dxa"/>
              <w:right w:w="28" w:type="dxa"/>
            </w:tcMar>
            <w:vAlign w:val="center"/>
          </w:tcPr>
          <w:p w14:paraId="032DA49A">
            <w:pPr>
              <w:pStyle w:val="31"/>
              <w:bidi w:val="0"/>
              <w:rPr>
                <w:color w:val="auto"/>
                <w:lang w:val="zh-CN"/>
              </w:rPr>
            </w:pPr>
            <w:r>
              <w:rPr>
                <w:color w:val="auto"/>
                <w:lang w:val="zh-CN"/>
              </w:rPr>
              <w:t>38</w:t>
            </w:r>
          </w:p>
        </w:tc>
      </w:tr>
      <w:tr w14:paraId="1887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Mar>
              <w:left w:w="28" w:type="dxa"/>
              <w:right w:w="28" w:type="dxa"/>
            </w:tcMar>
            <w:vAlign w:val="center"/>
          </w:tcPr>
          <w:p w14:paraId="2692EAFF">
            <w:pPr>
              <w:pStyle w:val="31"/>
              <w:bidi w:val="0"/>
              <w:rPr>
                <w:color w:val="auto"/>
                <w:lang w:val="zh-CN"/>
              </w:rPr>
            </w:pPr>
          </w:p>
        </w:tc>
        <w:tc>
          <w:tcPr>
            <w:tcW w:w="842" w:type="pct"/>
            <w:tcMar>
              <w:left w:w="28" w:type="dxa"/>
              <w:right w:w="28" w:type="dxa"/>
            </w:tcMar>
            <w:vAlign w:val="center"/>
          </w:tcPr>
          <w:p w14:paraId="6FB75CBD">
            <w:pPr>
              <w:pStyle w:val="31"/>
              <w:bidi w:val="0"/>
              <w:rPr>
                <w:color w:val="auto"/>
                <w:lang w:val="zh-CN"/>
              </w:rPr>
            </w:pPr>
            <w:r>
              <w:rPr>
                <w:color w:val="auto"/>
                <w:lang w:val="zh-CN"/>
              </w:rPr>
              <w:t>自卸汽车</w:t>
            </w:r>
          </w:p>
        </w:tc>
        <w:tc>
          <w:tcPr>
            <w:tcW w:w="420" w:type="pct"/>
            <w:tcMar>
              <w:left w:w="28" w:type="dxa"/>
              <w:right w:w="28" w:type="dxa"/>
            </w:tcMar>
            <w:vAlign w:val="center"/>
          </w:tcPr>
          <w:p w14:paraId="3C744BEF">
            <w:pPr>
              <w:pStyle w:val="31"/>
              <w:bidi w:val="0"/>
              <w:rPr>
                <w:color w:val="auto"/>
                <w:lang w:val="zh-CN"/>
              </w:rPr>
            </w:pPr>
            <w:r>
              <w:rPr>
                <w:color w:val="auto"/>
                <w:lang w:val="zh-CN"/>
              </w:rPr>
              <w:t>5</w:t>
            </w:r>
          </w:p>
        </w:tc>
        <w:tc>
          <w:tcPr>
            <w:tcW w:w="422" w:type="pct"/>
            <w:tcMar>
              <w:left w:w="28" w:type="dxa"/>
              <w:right w:w="28" w:type="dxa"/>
            </w:tcMar>
            <w:vAlign w:val="center"/>
          </w:tcPr>
          <w:p w14:paraId="4D453F62">
            <w:pPr>
              <w:pStyle w:val="31"/>
              <w:bidi w:val="0"/>
              <w:rPr>
                <w:color w:val="auto"/>
                <w:lang w:val="zh-CN"/>
              </w:rPr>
            </w:pPr>
            <w:r>
              <w:rPr>
                <w:color w:val="auto"/>
                <w:lang w:val="zh-CN"/>
              </w:rPr>
              <w:t>85</w:t>
            </w:r>
          </w:p>
        </w:tc>
        <w:tc>
          <w:tcPr>
            <w:tcW w:w="453" w:type="pct"/>
            <w:tcMar>
              <w:left w:w="28" w:type="dxa"/>
              <w:right w:w="28" w:type="dxa"/>
            </w:tcMar>
            <w:vAlign w:val="center"/>
          </w:tcPr>
          <w:p w14:paraId="45F850F0">
            <w:pPr>
              <w:pStyle w:val="31"/>
              <w:bidi w:val="0"/>
              <w:rPr>
                <w:color w:val="auto"/>
                <w:lang w:val="zh-CN"/>
              </w:rPr>
            </w:pPr>
            <w:r>
              <w:rPr>
                <w:color w:val="auto"/>
                <w:lang w:val="zh-CN"/>
              </w:rPr>
              <w:t>73</w:t>
            </w:r>
          </w:p>
        </w:tc>
        <w:tc>
          <w:tcPr>
            <w:tcW w:w="453" w:type="pct"/>
            <w:tcMar>
              <w:left w:w="28" w:type="dxa"/>
              <w:right w:w="28" w:type="dxa"/>
            </w:tcMar>
            <w:vAlign w:val="center"/>
          </w:tcPr>
          <w:p w14:paraId="42B0F492">
            <w:pPr>
              <w:pStyle w:val="31"/>
              <w:bidi w:val="0"/>
              <w:rPr>
                <w:color w:val="auto"/>
                <w:lang w:val="zh-CN"/>
              </w:rPr>
            </w:pPr>
            <w:r>
              <w:rPr>
                <w:color w:val="auto"/>
                <w:lang w:val="zh-CN"/>
              </w:rPr>
              <w:t>67</w:t>
            </w:r>
          </w:p>
        </w:tc>
        <w:tc>
          <w:tcPr>
            <w:tcW w:w="453" w:type="pct"/>
            <w:tcMar>
              <w:left w:w="28" w:type="dxa"/>
              <w:right w:w="28" w:type="dxa"/>
            </w:tcMar>
            <w:vAlign w:val="center"/>
          </w:tcPr>
          <w:p w14:paraId="194B0BBB">
            <w:pPr>
              <w:pStyle w:val="31"/>
              <w:bidi w:val="0"/>
              <w:rPr>
                <w:color w:val="auto"/>
                <w:lang w:val="zh-CN"/>
              </w:rPr>
            </w:pPr>
            <w:r>
              <w:rPr>
                <w:color w:val="auto"/>
                <w:lang w:val="zh-CN"/>
              </w:rPr>
              <w:t>61</w:t>
            </w:r>
          </w:p>
        </w:tc>
        <w:tc>
          <w:tcPr>
            <w:tcW w:w="453" w:type="pct"/>
            <w:tcMar>
              <w:left w:w="28" w:type="dxa"/>
              <w:right w:w="28" w:type="dxa"/>
            </w:tcMar>
            <w:vAlign w:val="center"/>
          </w:tcPr>
          <w:p w14:paraId="0F4D86BB">
            <w:pPr>
              <w:pStyle w:val="31"/>
              <w:bidi w:val="0"/>
              <w:rPr>
                <w:color w:val="auto"/>
                <w:lang w:val="zh-CN"/>
              </w:rPr>
            </w:pPr>
            <w:r>
              <w:rPr>
                <w:color w:val="auto"/>
                <w:lang w:val="zh-CN"/>
              </w:rPr>
              <w:t>55</w:t>
            </w:r>
          </w:p>
        </w:tc>
        <w:tc>
          <w:tcPr>
            <w:tcW w:w="453" w:type="pct"/>
            <w:tcMar>
              <w:left w:w="28" w:type="dxa"/>
              <w:right w:w="28" w:type="dxa"/>
            </w:tcMar>
            <w:vAlign w:val="center"/>
          </w:tcPr>
          <w:p w14:paraId="0DB078D6">
            <w:pPr>
              <w:pStyle w:val="31"/>
              <w:bidi w:val="0"/>
              <w:rPr>
                <w:color w:val="auto"/>
                <w:lang w:val="zh-CN"/>
              </w:rPr>
            </w:pPr>
            <w:r>
              <w:rPr>
                <w:color w:val="auto"/>
                <w:lang w:val="zh-CN"/>
              </w:rPr>
              <w:t>49</w:t>
            </w:r>
          </w:p>
        </w:tc>
        <w:tc>
          <w:tcPr>
            <w:tcW w:w="458" w:type="pct"/>
            <w:tcMar>
              <w:left w:w="28" w:type="dxa"/>
              <w:right w:w="28" w:type="dxa"/>
            </w:tcMar>
            <w:vAlign w:val="center"/>
          </w:tcPr>
          <w:p w14:paraId="402C9E75">
            <w:pPr>
              <w:pStyle w:val="31"/>
              <w:bidi w:val="0"/>
              <w:rPr>
                <w:color w:val="auto"/>
                <w:lang w:val="zh-CN"/>
              </w:rPr>
            </w:pPr>
            <w:r>
              <w:rPr>
                <w:color w:val="auto"/>
                <w:lang w:val="zh-CN"/>
              </w:rPr>
              <w:t>43</w:t>
            </w:r>
          </w:p>
        </w:tc>
      </w:tr>
      <w:tr w14:paraId="4F4B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Mar>
              <w:left w:w="28" w:type="dxa"/>
              <w:right w:w="28" w:type="dxa"/>
            </w:tcMar>
            <w:vAlign w:val="center"/>
          </w:tcPr>
          <w:p w14:paraId="47576CAE">
            <w:pPr>
              <w:pStyle w:val="31"/>
              <w:bidi w:val="0"/>
              <w:rPr>
                <w:color w:val="auto"/>
                <w:lang w:val="zh-CN"/>
              </w:rPr>
            </w:pPr>
          </w:p>
        </w:tc>
        <w:tc>
          <w:tcPr>
            <w:tcW w:w="1409" w:type="dxa"/>
            <w:tcMar>
              <w:left w:w="28" w:type="dxa"/>
              <w:right w:w="28" w:type="dxa"/>
            </w:tcMar>
            <w:vAlign w:val="center"/>
          </w:tcPr>
          <w:p w14:paraId="1E88F06F">
            <w:pPr>
              <w:pStyle w:val="31"/>
              <w:bidi w:val="0"/>
              <w:ind w:firstLine="0" w:firstLineChars="0"/>
              <w:rPr>
                <w:color w:val="auto"/>
                <w:lang w:val="zh-CN"/>
              </w:rPr>
            </w:pPr>
            <w:r>
              <w:rPr>
                <w:color w:val="auto"/>
                <w:lang w:val="zh-CN"/>
              </w:rPr>
              <w:t>反铲挖掘机</w:t>
            </w:r>
          </w:p>
        </w:tc>
        <w:tc>
          <w:tcPr>
            <w:tcW w:w="703" w:type="dxa"/>
            <w:tcMar>
              <w:left w:w="28" w:type="dxa"/>
              <w:right w:w="28" w:type="dxa"/>
            </w:tcMar>
            <w:vAlign w:val="center"/>
          </w:tcPr>
          <w:p w14:paraId="5930AC87">
            <w:pPr>
              <w:pStyle w:val="31"/>
              <w:bidi w:val="0"/>
              <w:ind w:firstLine="0" w:firstLineChars="0"/>
              <w:rPr>
                <w:color w:val="auto"/>
                <w:lang w:val="zh-CN"/>
              </w:rPr>
            </w:pPr>
            <w:r>
              <w:rPr>
                <w:color w:val="auto"/>
                <w:lang w:val="zh-CN"/>
              </w:rPr>
              <w:t>5</w:t>
            </w:r>
          </w:p>
        </w:tc>
        <w:tc>
          <w:tcPr>
            <w:tcW w:w="706" w:type="dxa"/>
            <w:tcMar>
              <w:left w:w="28" w:type="dxa"/>
              <w:right w:w="28" w:type="dxa"/>
            </w:tcMar>
            <w:vAlign w:val="center"/>
          </w:tcPr>
          <w:p w14:paraId="6C344201">
            <w:pPr>
              <w:pStyle w:val="31"/>
              <w:bidi w:val="0"/>
              <w:ind w:firstLine="0" w:firstLineChars="0"/>
              <w:rPr>
                <w:color w:val="auto"/>
                <w:lang w:val="zh-CN"/>
              </w:rPr>
            </w:pPr>
            <w:r>
              <w:rPr>
                <w:color w:val="auto"/>
                <w:lang w:val="zh-CN"/>
              </w:rPr>
              <w:t>84</w:t>
            </w:r>
          </w:p>
        </w:tc>
        <w:tc>
          <w:tcPr>
            <w:tcW w:w="758" w:type="dxa"/>
            <w:tcMar>
              <w:left w:w="28" w:type="dxa"/>
              <w:right w:w="28" w:type="dxa"/>
            </w:tcMar>
            <w:vAlign w:val="center"/>
          </w:tcPr>
          <w:p w14:paraId="1B34DBA8">
            <w:pPr>
              <w:pStyle w:val="31"/>
              <w:bidi w:val="0"/>
              <w:ind w:firstLine="0" w:firstLineChars="0"/>
              <w:rPr>
                <w:color w:val="auto"/>
                <w:lang w:val="zh-CN"/>
              </w:rPr>
            </w:pPr>
            <w:r>
              <w:rPr>
                <w:color w:val="auto"/>
                <w:lang w:val="zh-CN"/>
              </w:rPr>
              <w:t>72</w:t>
            </w:r>
          </w:p>
        </w:tc>
        <w:tc>
          <w:tcPr>
            <w:tcW w:w="758" w:type="dxa"/>
            <w:tcMar>
              <w:left w:w="28" w:type="dxa"/>
              <w:right w:w="28" w:type="dxa"/>
            </w:tcMar>
            <w:vAlign w:val="center"/>
          </w:tcPr>
          <w:p w14:paraId="612B35B7">
            <w:pPr>
              <w:pStyle w:val="31"/>
              <w:bidi w:val="0"/>
              <w:ind w:firstLine="0" w:firstLineChars="0"/>
              <w:rPr>
                <w:color w:val="auto"/>
                <w:lang w:val="zh-CN"/>
              </w:rPr>
            </w:pPr>
            <w:r>
              <w:rPr>
                <w:color w:val="auto"/>
                <w:lang w:val="zh-CN"/>
              </w:rPr>
              <w:t>66</w:t>
            </w:r>
          </w:p>
        </w:tc>
        <w:tc>
          <w:tcPr>
            <w:tcW w:w="758" w:type="dxa"/>
            <w:tcMar>
              <w:left w:w="28" w:type="dxa"/>
              <w:right w:w="28" w:type="dxa"/>
            </w:tcMar>
            <w:vAlign w:val="center"/>
          </w:tcPr>
          <w:p w14:paraId="2749EFD2">
            <w:pPr>
              <w:pStyle w:val="31"/>
              <w:bidi w:val="0"/>
              <w:ind w:firstLine="0" w:firstLineChars="0"/>
              <w:rPr>
                <w:color w:val="auto"/>
                <w:lang w:val="zh-CN"/>
              </w:rPr>
            </w:pPr>
            <w:r>
              <w:rPr>
                <w:color w:val="auto"/>
                <w:lang w:val="zh-CN"/>
              </w:rPr>
              <w:t>60</w:t>
            </w:r>
          </w:p>
        </w:tc>
        <w:tc>
          <w:tcPr>
            <w:tcW w:w="758" w:type="dxa"/>
            <w:tcMar>
              <w:left w:w="28" w:type="dxa"/>
              <w:right w:w="28" w:type="dxa"/>
            </w:tcMar>
            <w:vAlign w:val="center"/>
          </w:tcPr>
          <w:p w14:paraId="339EFDC4">
            <w:pPr>
              <w:pStyle w:val="31"/>
              <w:bidi w:val="0"/>
              <w:ind w:firstLine="0" w:firstLineChars="0"/>
              <w:rPr>
                <w:color w:val="auto"/>
                <w:lang w:val="zh-CN"/>
              </w:rPr>
            </w:pPr>
            <w:r>
              <w:rPr>
                <w:color w:val="auto"/>
                <w:lang w:val="zh-CN"/>
              </w:rPr>
              <w:t>54</w:t>
            </w:r>
          </w:p>
        </w:tc>
        <w:tc>
          <w:tcPr>
            <w:tcW w:w="758" w:type="dxa"/>
            <w:tcMar>
              <w:left w:w="28" w:type="dxa"/>
              <w:right w:w="28" w:type="dxa"/>
            </w:tcMar>
            <w:vAlign w:val="center"/>
          </w:tcPr>
          <w:p w14:paraId="73E9DEE5">
            <w:pPr>
              <w:pStyle w:val="31"/>
              <w:bidi w:val="0"/>
              <w:ind w:firstLine="0" w:firstLineChars="0"/>
              <w:rPr>
                <w:color w:val="auto"/>
                <w:lang w:val="zh-CN"/>
              </w:rPr>
            </w:pPr>
            <w:r>
              <w:rPr>
                <w:color w:val="auto"/>
                <w:lang w:val="zh-CN"/>
              </w:rPr>
              <w:t>48</w:t>
            </w:r>
          </w:p>
        </w:tc>
        <w:tc>
          <w:tcPr>
            <w:tcW w:w="768" w:type="dxa"/>
            <w:tcMar>
              <w:left w:w="28" w:type="dxa"/>
              <w:right w:w="28" w:type="dxa"/>
            </w:tcMar>
            <w:vAlign w:val="center"/>
          </w:tcPr>
          <w:p w14:paraId="00E85344">
            <w:pPr>
              <w:pStyle w:val="31"/>
              <w:bidi w:val="0"/>
              <w:ind w:firstLine="0" w:firstLineChars="0"/>
              <w:rPr>
                <w:color w:val="auto"/>
                <w:lang w:val="zh-CN"/>
              </w:rPr>
            </w:pPr>
            <w:r>
              <w:rPr>
                <w:color w:val="auto"/>
                <w:lang w:val="zh-CN"/>
              </w:rPr>
              <w:t>42</w:t>
            </w:r>
          </w:p>
        </w:tc>
      </w:tr>
      <w:tr w14:paraId="5E36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Mar>
              <w:left w:w="28" w:type="dxa"/>
              <w:right w:w="28" w:type="dxa"/>
            </w:tcMar>
            <w:vAlign w:val="center"/>
          </w:tcPr>
          <w:p w14:paraId="14152470">
            <w:pPr>
              <w:pStyle w:val="31"/>
              <w:bidi w:val="0"/>
              <w:rPr>
                <w:color w:val="auto"/>
                <w:lang w:val="zh-CN"/>
              </w:rPr>
            </w:pPr>
          </w:p>
        </w:tc>
        <w:tc>
          <w:tcPr>
            <w:tcW w:w="1409" w:type="dxa"/>
            <w:tcMar>
              <w:left w:w="28" w:type="dxa"/>
              <w:right w:w="28" w:type="dxa"/>
            </w:tcMar>
            <w:vAlign w:val="center"/>
          </w:tcPr>
          <w:p w14:paraId="02F0E2B0">
            <w:pPr>
              <w:pStyle w:val="31"/>
              <w:bidi w:val="0"/>
              <w:ind w:firstLine="0" w:firstLineChars="0"/>
              <w:rPr>
                <w:color w:val="auto"/>
                <w:lang w:val="zh-CN"/>
              </w:rPr>
            </w:pPr>
            <w:r>
              <w:rPr>
                <w:color w:val="auto"/>
                <w:lang w:val="zh-CN"/>
              </w:rPr>
              <w:t>推土机</w:t>
            </w:r>
          </w:p>
        </w:tc>
        <w:tc>
          <w:tcPr>
            <w:tcW w:w="703" w:type="dxa"/>
            <w:tcMar>
              <w:left w:w="28" w:type="dxa"/>
              <w:right w:w="28" w:type="dxa"/>
            </w:tcMar>
            <w:vAlign w:val="center"/>
          </w:tcPr>
          <w:p w14:paraId="38460C09">
            <w:pPr>
              <w:pStyle w:val="31"/>
              <w:bidi w:val="0"/>
              <w:ind w:firstLine="0" w:firstLineChars="0"/>
              <w:rPr>
                <w:color w:val="auto"/>
                <w:lang w:val="zh-CN"/>
              </w:rPr>
            </w:pPr>
            <w:r>
              <w:rPr>
                <w:color w:val="auto"/>
                <w:lang w:val="zh-CN"/>
              </w:rPr>
              <w:t>5</w:t>
            </w:r>
          </w:p>
        </w:tc>
        <w:tc>
          <w:tcPr>
            <w:tcW w:w="706" w:type="dxa"/>
            <w:tcMar>
              <w:left w:w="28" w:type="dxa"/>
              <w:right w:w="28" w:type="dxa"/>
            </w:tcMar>
            <w:vAlign w:val="center"/>
          </w:tcPr>
          <w:p w14:paraId="39D21C40">
            <w:pPr>
              <w:pStyle w:val="31"/>
              <w:bidi w:val="0"/>
              <w:ind w:firstLine="0" w:firstLineChars="0"/>
              <w:rPr>
                <w:color w:val="auto"/>
                <w:lang w:val="zh-CN"/>
              </w:rPr>
            </w:pPr>
            <w:r>
              <w:rPr>
                <w:color w:val="auto"/>
                <w:lang w:val="zh-CN"/>
              </w:rPr>
              <w:t>85</w:t>
            </w:r>
          </w:p>
        </w:tc>
        <w:tc>
          <w:tcPr>
            <w:tcW w:w="758" w:type="dxa"/>
            <w:tcMar>
              <w:left w:w="28" w:type="dxa"/>
              <w:right w:w="28" w:type="dxa"/>
            </w:tcMar>
            <w:vAlign w:val="center"/>
          </w:tcPr>
          <w:p w14:paraId="376261C0">
            <w:pPr>
              <w:pStyle w:val="31"/>
              <w:bidi w:val="0"/>
              <w:ind w:firstLine="0" w:firstLineChars="0"/>
              <w:rPr>
                <w:color w:val="auto"/>
                <w:lang w:val="zh-CN"/>
              </w:rPr>
            </w:pPr>
            <w:r>
              <w:rPr>
                <w:color w:val="auto"/>
                <w:lang w:val="zh-CN"/>
              </w:rPr>
              <w:t>73</w:t>
            </w:r>
          </w:p>
        </w:tc>
        <w:tc>
          <w:tcPr>
            <w:tcW w:w="758" w:type="dxa"/>
            <w:tcMar>
              <w:left w:w="28" w:type="dxa"/>
              <w:right w:w="28" w:type="dxa"/>
            </w:tcMar>
            <w:vAlign w:val="center"/>
          </w:tcPr>
          <w:p w14:paraId="64482ADE">
            <w:pPr>
              <w:pStyle w:val="31"/>
              <w:bidi w:val="0"/>
              <w:ind w:firstLine="0" w:firstLineChars="0"/>
              <w:rPr>
                <w:color w:val="auto"/>
                <w:lang w:val="zh-CN"/>
              </w:rPr>
            </w:pPr>
            <w:r>
              <w:rPr>
                <w:color w:val="auto"/>
                <w:lang w:val="zh-CN"/>
              </w:rPr>
              <w:t>67</w:t>
            </w:r>
          </w:p>
        </w:tc>
        <w:tc>
          <w:tcPr>
            <w:tcW w:w="758" w:type="dxa"/>
            <w:tcMar>
              <w:left w:w="28" w:type="dxa"/>
              <w:right w:w="28" w:type="dxa"/>
            </w:tcMar>
            <w:vAlign w:val="center"/>
          </w:tcPr>
          <w:p w14:paraId="772BF3DC">
            <w:pPr>
              <w:pStyle w:val="31"/>
              <w:bidi w:val="0"/>
              <w:ind w:firstLine="0" w:firstLineChars="0"/>
              <w:rPr>
                <w:color w:val="auto"/>
                <w:lang w:val="zh-CN"/>
              </w:rPr>
            </w:pPr>
            <w:r>
              <w:rPr>
                <w:color w:val="auto"/>
                <w:lang w:val="zh-CN"/>
              </w:rPr>
              <w:t>61</w:t>
            </w:r>
          </w:p>
        </w:tc>
        <w:tc>
          <w:tcPr>
            <w:tcW w:w="758" w:type="dxa"/>
            <w:tcMar>
              <w:left w:w="28" w:type="dxa"/>
              <w:right w:w="28" w:type="dxa"/>
            </w:tcMar>
            <w:vAlign w:val="center"/>
          </w:tcPr>
          <w:p w14:paraId="49960AC1">
            <w:pPr>
              <w:pStyle w:val="31"/>
              <w:bidi w:val="0"/>
              <w:ind w:firstLine="0" w:firstLineChars="0"/>
              <w:rPr>
                <w:color w:val="auto"/>
                <w:lang w:val="zh-CN"/>
              </w:rPr>
            </w:pPr>
            <w:r>
              <w:rPr>
                <w:color w:val="auto"/>
                <w:lang w:val="zh-CN"/>
              </w:rPr>
              <w:t>55</w:t>
            </w:r>
          </w:p>
        </w:tc>
        <w:tc>
          <w:tcPr>
            <w:tcW w:w="758" w:type="dxa"/>
            <w:tcMar>
              <w:left w:w="28" w:type="dxa"/>
              <w:right w:w="28" w:type="dxa"/>
            </w:tcMar>
            <w:vAlign w:val="center"/>
          </w:tcPr>
          <w:p w14:paraId="51D10E61">
            <w:pPr>
              <w:pStyle w:val="31"/>
              <w:bidi w:val="0"/>
              <w:ind w:firstLine="0" w:firstLineChars="0"/>
              <w:rPr>
                <w:color w:val="auto"/>
                <w:lang w:val="zh-CN"/>
              </w:rPr>
            </w:pPr>
            <w:r>
              <w:rPr>
                <w:color w:val="auto"/>
                <w:lang w:val="zh-CN"/>
              </w:rPr>
              <w:t>49</w:t>
            </w:r>
          </w:p>
        </w:tc>
        <w:tc>
          <w:tcPr>
            <w:tcW w:w="768" w:type="dxa"/>
            <w:tcMar>
              <w:left w:w="28" w:type="dxa"/>
              <w:right w:w="28" w:type="dxa"/>
            </w:tcMar>
            <w:vAlign w:val="center"/>
          </w:tcPr>
          <w:p w14:paraId="63B447CE">
            <w:pPr>
              <w:pStyle w:val="31"/>
              <w:bidi w:val="0"/>
              <w:ind w:firstLine="0" w:firstLineChars="0"/>
              <w:rPr>
                <w:color w:val="auto"/>
                <w:lang w:val="zh-CN"/>
              </w:rPr>
            </w:pPr>
            <w:r>
              <w:rPr>
                <w:color w:val="auto"/>
                <w:lang w:val="zh-CN"/>
              </w:rPr>
              <w:t>43</w:t>
            </w:r>
          </w:p>
        </w:tc>
      </w:tr>
      <w:tr w14:paraId="5C81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Mar>
              <w:left w:w="28" w:type="dxa"/>
              <w:right w:w="28" w:type="dxa"/>
            </w:tcMar>
            <w:vAlign w:val="center"/>
          </w:tcPr>
          <w:p w14:paraId="1D300ECC">
            <w:pPr>
              <w:pStyle w:val="31"/>
              <w:bidi w:val="0"/>
              <w:rPr>
                <w:color w:val="auto"/>
                <w:lang w:val="zh-CN"/>
              </w:rPr>
            </w:pPr>
          </w:p>
        </w:tc>
        <w:tc>
          <w:tcPr>
            <w:tcW w:w="1409" w:type="dxa"/>
            <w:tcMar>
              <w:left w:w="28" w:type="dxa"/>
              <w:right w:w="28" w:type="dxa"/>
            </w:tcMar>
            <w:vAlign w:val="center"/>
          </w:tcPr>
          <w:p w14:paraId="59256A43">
            <w:pPr>
              <w:pStyle w:val="31"/>
              <w:bidi w:val="0"/>
              <w:ind w:firstLine="0" w:firstLineChars="0"/>
              <w:rPr>
                <w:color w:val="auto"/>
                <w:lang w:val="zh-CN"/>
              </w:rPr>
            </w:pPr>
            <w:r>
              <w:rPr>
                <w:color w:val="auto"/>
                <w:lang w:val="zh-CN"/>
              </w:rPr>
              <w:t>自卸汽车</w:t>
            </w:r>
          </w:p>
        </w:tc>
        <w:tc>
          <w:tcPr>
            <w:tcW w:w="703" w:type="dxa"/>
            <w:tcMar>
              <w:left w:w="28" w:type="dxa"/>
              <w:right w:w="28" w:type="dxa"/>
            </w:tcMar>
            <w:vAlign w:val="center"/>
          </w:tcPr>
          <w:p w14:paraId="1351AFD8">
            <w:pPr>
              <w:pStyle w:val="31"/>
              <w:bidi w:val="0"/>
              <w:ind w:firstLine="0" w:firstLineChars="0"/>
              <w:rPr>
                <w:color w:val="auto"/>
                <w:lang w:val="zh-CN"/>
              </w:rPr>
            </w:pPr>
            <w:r>
              <w:rPr>
                <w:color w:val="auto"/>
                <w:lang w:val="zh-CN"/>
              </w:rPr>
              <w:t>5</w:t>
            </w:r>
          </w:p>
        </w:tc>
        <w:tc>
          <w:tcPr>
            <w:tcW w:w="706" w:type="dxa"/>
            <w:tcMar>
              <w:left w:w="28" w:type="dxa"/>
              <w:right w:w="28" w:type="dxa"/>
            </w:tcMar>
            <w:vAlign w:val="center"/>
          </w:tcPr>
          <w:p w14:paraId="13FE7C18">
            <w:pPr>
              <w:pStyle w:val="31"/>
              <w:bidi w:val="0"/>
              <w:ind w:firstLine="0" w:firstLineChars="0"/>
              <w:rPr>
                <w:color w:val="auto"/>
                <w:lang w:val="zh-CN"/>
              </w:rPr>
            </w:pPr>
            <w:r>
              <w:rPr>
                <w:color w:val="auto"/>
                <w:lang w:val="zh-CN"/>
              </w:rPr>
              <w:t>85</w:t>
            </w:r>
          </w:p>
        </w:tc>
        <w:tc>
          <w:tcPr>
            <w:tcW w:w="758" w:type="dxa"/>
            <w:tcMar>
              <w:left w:w="28" w:type="dxa"/>
              <w:right w:w="28" w:type="dxa"/>
            </w:tcMar>
            <w:vAlign w:val="center"/>
          </w:tcPr>
          <w:p w14:paraId="61B8F1F0">
            <w:pPr>
              <w:pStyle w:val="31"/>
              <w:bidi w:val="0"/>
              <w:ind w:firstLine="0" w:firstLineChars="0"/>
              <w:rPr>
                <w:color w:val="auto"/>
                <w:lang w:val="zh-CN"/>
              </w:rPr>
            </w:pPr>
            <w:r>
              <w:rPr>
                <w:color w:val="auto"/>
                <w:lang w:val="zh-CN"/>
              </w:rPr>
              <w:t>73</w:t>
            </w:r>
          </w:p>
        </w:tc>
        <w:tc>
          <w:tcPr>
            <w:tcW w:w="758" w:type="dxa"/>
            <w:tcMar>
              <w:left w:w="28" w:type="dxa"/>
              <w:right w:w="28" w:type="dxa"/>
            </w:tcMar>
            <w:vAlign w:val="center"/>
          </w:tcPr>
          <w:p w14:paraId="4D59E297">
            <w:pPr>
              <w:pStyle w:val="31"/>
              <w:bidi w:val="0"/>
              <w:ind w:firstLine="0" w:firstLineChars="0"/>
              <w:rPr>
                <w:color w:val="auto"/>
                <w:lang w:val="zh-CN"/>
              </w:rPr>
            </w:pPr>
            <w:r>
              <w:rPr>
                <w:color w:val="auto"/>
                <w:lang w:val="zh-CN"/>
              </w:rPr>
              <w:t>67</w:t>
            </w:r>
          </w:p>
        </w:tc>
        <w:tc>
          <w:tcPr>
            <w:tcW w:w="758" w:type="dxa"/>
            <w:tcMar>
              <w:left w:w="28" w:type="dxa"/>
              <w:right w:w="28" w:type="dxa"/>
            </w:tcMar>
            <w:vAlign w:val="center"/>
          </w:tcPr>
          <w:p w14:paraId="59872822">
            <w:pPr>
              <w:pStyle w:val="31"/>
              <w:bidi w:val="0"/>
              <w:ind w:firstLine="0" w:firstLineChars="0"/>
              <w:rPr>
                <w:color w:val="auto"/>
                <w:lang w:val="zh-CN"/>
              </w:rPr>
            </w:pPr>
            <w:r>
              <w:rPr>
                <w:color w:val="auto"/>
                <w:lang w:val="zh-CN"/>
              </w:rPr>
              <w:t>61</w:t>
            </w:r>
          </w:p>
        </w:tc>
        <w:tc>
          <w:tcPr>
            <w:tcW w:w="758" w:type="dxa"/>
            <w:tcMar>
              <w:left w:w="28" w:type="dxa"/>
              <w:right w:w="28" w:type="dxa"/>
            </w:tcMar>
            <w:vAlign w:val="center"/>
          </w:tcPr>
          <w:p w14:paraId="3C24AF50">
            <w:pPr>
              <w:pStyle w:val="31"/>
              <w:bidi w:val="0"/>
              <w:ind w:firstLine="0" w:firstLineChars="0"/>
              <w:rPr>
                <w:color w:val="auto"/>
                <w:lang w:val="zh-CN"/>
              </w:rPr>
            </w:pPr>
            <w:r>
              <w:rPr>
                <w:color w:val="auto"/>
                <w:lang w:val="zh-CN"/>
              </w:rPr>
              <w:t>55</w:t>
            </w:r>
          </w:p>
        </w:tc>
        <w:tc>
          <w:tcPr>
            <w:tcW w:w="758" w:type="dxa"/>
            <w:tcMar>
              <w:left w:w="28" w:type="dxa"/>
              <w:right w:w="28" w:type="dxa"/>
            </w:tcMar>
            <w:vAlign w:val="center"/>
          </w:tcPr>
          <w:p w14:paraId="3901C5A9">
            <w:pPr>
              <w:pStyle w:val="31"/>
              <w:bidi w:val="0"/>
              <w:ind w:firstLine="0" w:firstLineChars="0"/>
              <w:rPr>
                <w:color w:val="auto"/>
                <w:lang w:val="zh-CN"/>
              </w:rPr>
            </w:pPr>
            <w:r>
              <w:rPr>
                <w:color w:val="auto"/>
                <w:lang w:val="zh-CN"/>
              </w:rPr>
              <w:t>49</w:t>
            </w:r>
          </w:p>
        </w:tc>
        <w:tc>
          <w:tcPr>
            <w:tcW w:w="768" w:type="dxa"/>
            <w:tcMar>
              <w:left w:w="28" w:type="dxa"/>
              <w:right w:w="28" w:type="dxa"/>
            </w:tcMar>
            <w:vAlign w:val="center"/>
          </w:tcPr>
          <w:p w14:paraId="0BC7DFE8">
            <w:pPr>
              <w:pStyle w:val="31"/>
              <w:bidi w:val="0"/>
              <w:ind w:firstLine="0" w:firstLineChars="0"/>
              <w:rPr>
                <w:color w:val="auto"/>
                <w:lang w:val="zh-CN"/>
              </w:rPr>
            </w:pPr>
            <w:r>
              <w:rPr>
                <w:color w:val="auto"/>
                <w:lang w:val="zh-CN"/>
              </w:rPr>
              <w:t>43</w:t>
            </w:r>
          </w:p>
        </w:tc>
      </w:tr>
      <w:tr w14:paraId="02B0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restart"/>
            <w:tcMar>
              <w:left w:w="28" w:type="dxa"/>
              <w:right w:w="28" w:type="dxa"/>
            </w:tcMar>
            <w:vAlign w:val="center"/>
          </w:tcPr>
          <w:p w14:paraId="3E2A1F29">
            <w:pPr>
              <w:pStyle w:val="31"/>
              <w:bidi w:val="0"/>
              <w:rPr>
                <w:color w:val="auto"/>
                <w:lang w:val="zh-CN"/>
              </w:rPr>
            </w:pPr>
            <w:r>
              <w:rPr>
                <w:rFonts w:hint="eastAsia"/>
                <w:color w:val="auto"/>
                <w:lang w:val="zh-CN"/>
              </w:rPr>
              <w:t>弃土区</w:t>
            </w:r>
          </w:p>
        </w:tc>
        <w:tc>
          <w:tcPr>
            <w:tcW w:w="842" w:type="pct"/>
            <w:tcMar>
              <w:left w:w="28" w:type="dxa"/>
              <w:right w:w="28" w:type="dxa"/>
            </w:tcMar>
            <w:vAlign w:val="center"/>
          </w:tcPr>
          <w:p w14:paraId="22B037CD">
            <w:pPr>
              <w:pStyle w:val="31"/>
              <w:bidi w:val="0"/>
              <w:rPr>
                <w:color w:val="auto"/>
                <w:lang w:val="zh-CN"/>
              </w:rPr>
            </w:pPr>
            <w:r>
              <w:rPr>
                <w:color w:val="auto"/>
                <w:lang w:val="zh-CN"/>
              </w:rPr>
              <w:t>反铲挖掘机</w:t>
            </w:r>
          </w:p>
        </w:tc>
        <w:tc>
          <w:tcPr>
            <w:tcW w:w="420" w:type="pct"/>
            <w:tcMar>
              <w:left w:w="28" w:type="dxa"/>
              <w:right w:w="28" w:type="dxa"/>
            </w:tcMar>
            <w:vAlign w:val="center"/>
          </w:tcPr>
          <w:p w14:paraId="38C01E2D">
            <w:pPr>
              <w:pStyle w:val="31"/>
              <w:bidi w:val="0"/>
              <w:rPr>
                <w:color w:val="auto"/>
                <w:lang w:val="zh-CN"/>
              </w:rPr>
            </w:pPr>
            <w:r>
              <w:rPr>
                <w:color w:val="auto"/>
                <w:lang w:val="zh-CN"/>
              </w:rPr>
              <w:t>5</w:t>
            </w:r>
          </w:p>
        </w:tc>
        <w:tc>
          <w:tcPr>
            <w:tcW w:w="422" w:type="pct"/>
            <w:tcMar>
              <w:left w:w="28" w:type="dxa"/>
              <w:right w:w="28" w:type="dxa"/>
            </w:tcMar>
            <w:vAlign w:val="center"/>
          </w:tcPr>
          <w:p w14:paraId="34E22246">
            <w:pPr>
              <w:pStyle w:val="31"/>
              <w:bidi w:val="0"/>
              <w:rPr>
                <w:color w:val="auto"/>
                <w:lang w:val="zh-CN"/>
              </w:rPr>
            </w:pPr>
            <w:r>
              <w:rPr>
                <w:color w:val="auto"/>
                <w:lang w:val="zh-CN"/>
              </w:rPr>
              <w:t>84</w:t>
            </w:r>
          </w:p>
        </w:tc>
        <w:tc>
          <w:tcPr>
            <w:tcW w:w="453" w:type="pct"/>
            <w:tcMar>
              <w:left w:w="28" w:type="dxa"/>
              <w:right w:w="28" w:type="dxa"/>
            </w:tcMar>
            <w:vAlign w:val="center"/>
          </w:tcPr>
          <w:p w14:paraId="4329A2E9">
            <w:pPr>
              <w:pStyle w:val="31"/>
              <w:bidi w:val="0"/>
              <w:rPr>
                <w:color w:val="auto"/>
                <w:lang w:val="zh-CN"/>
              </w:rPr>
            </w:pPr>
            <w:r>
              <w:rPr>
                <w:color w:val="auto"/>
                <w:lang w:val="zh-CN"/>
              </w:rPr>
              <w:t>72</w:t>
            </w:r>
          </w:p>
        </w:tc>
        <w:tc>
          <w:tcPr>
            <w:tcW w:w="453" w:type="pct"/>
            <w:tcMar>
              <w:left w:w="28" w:type="dxa"/>
              <w:right w:w="28" w:type="dxa"/>
            </w:tcMar>
            <w:vAlign w:val="center"/>
          </w:tcPr>
          <w:p w14:paraId="6F9E3277">
            <w:pPr>
              <w:pStyle w:val="31"/>
              <w:bidi w:val="0"/>
              <w:rPr>
                <w:color w:val="auto"/>
                <w:lang w:val="zh-CN"/>
              </w:rPr>
            </w:pPr>
            <w:r>
              <w:rPr>
                <w:color w:val="auto"/>
                <w:lang w:val="zh-CN"/>
              </w:rPr>
              <w:t>66</w:t>
            </w:r>
          </w:p>
        </w:tc>
        <w:tc>
          <w:tcPr>
            <w:tcW w:w="453" w:type="pct"/>
            <w:tcMar>
              <w:left w:w="28" w:type="dxa"/>
              <w:right w:w="28" w:type="dxa"/>
            </w:tcMar>
            <w:vAlign w:val="center"/>
          </w:tcPr>
          <w:p w14:paraId="7049E85B">
            <w:pPr>
              <w:pStyle w:val="31"/>
              <w:bidi w:val="0"/>
              <w:rPr>
                <w:color w:val="auto"/>
                <w:lang w:val="zh-CN"/>
              </w:rPr>
            </w:pPr>
            <w:r>
              <w:rPr>
                <w:color w:val="auto"/>
                <w:lang w:val="zh-CN"/>
              </w:rPr>
              <w:t>60</w:t>
            </w:r>
          </w:p>
        </w:tc>
        <w:tc>
          <w:tcPr>
            <w:tcW w:w="453" w:type="pct"/>
            <w:tcMar>
              <w:left w:w="28" w:type="dxa"/>
              <w:right w:w="28" w:type="dxa"/>
            </w:tcMar>
            <w:vAlign w:val="center"/>
          </w:tcPr>
          <w:p w14:paraId="5FE4C41A">
            <w:pPr>
              <w:pStyle w:val="31"/>
              <w:bidi w:val="0"/>
              <w:rPr>
                <w:color w:val="auto"/>
                <w:lang w:val="zh-CN"/>
              </w:rPr>
            </w:pPr>
            <w:r>
              <w:rPr>
                <w:color w:val="auto"/>
                <w:lang w:val="zh-CN"/>
              </w:rPr>
              <w:t>54</w:t>
            </w:r>
          </w:p>
        </w:tc>
        <w:tc>
          <w:tcPr>
            <w:tcW w:w="453" w:type="pct"/>
            <w:tcMar>
              <w:left w:w="28" w:type="dxa"/>
              <w:right w:w="28" w:type="dxa"/>
            </w:tcMar>
            <w:vAlign w:val="center"/>
          </w:tcPr>
          <w:p w14:paraId="2D612F57">
            <w:pPr>
              <w:pStyle w:val="31"/>
              <w:bidi w:val="0"/>
              <w:rPr>
                <w:color w:val="auto"/>
                <w:lang w:val="zh-CN"/>
              </w:rPr>
            </w:pPr>
            <w:r>
              <w:rPr>
                <w:color w:val="auto"/>
                <w:lang w:val="zh-CN"/>
              </w:rPr>
              <w:t>48</w:t>
            </w:r>
          </w:p>
        </w:tc>
        <w:tc>
          <w:tcPr>
            <w:tcW w:w="458" w:type="pct"/>
            <w:tcMar>
              <w:left w:w="28" w:type="dxa"/>
              <w:right w:w="28" w:type="dxa"/>
            </w:tcMar>
            <w:vAlign w:val="center"/>
          </w:tcPr>
          <w:p w14:paraId="7019C486">
            <w:pPr>
              <w:pStyle w:val="31"/>
              <w:bidi w:val="0"/>
              <w:rPr>
                <w:color w:val="auto"/>
                <w:lang w:val="zh-CN"/>
              </w:rPr>
            </w:pPr>
            <w:r>
              <w:rPr>
                <w:color w:val="auto"/>
                <w:lang w:val="zh-CN"/>
              </w:rPr>
              <w:t>42</w:t>
            </w:r>
          </w:p>
        </w:tc>
      </w:tr>
      <w:tr w14:paraId="7A5C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Mar>
              <w:left w:w="28" w:type="dxa"/>
              <w:right w:w="28" w:type="dxa"/>
            </w:tcMar>
            <w:vAlign w:val="center"/>
          </w:tcPr>
          <w:p w14:paraId="6CE07F95">
            <w:pPr>
              <w:pStyle w:val="31"/>
              <w:bidi w:val="0"/>
              <w:rPr>
                <w:color w:val="auto"/>
                <w:lang w:val="zh-CN"/>
              </w:rPr>
            </w:pPr>
          </w:p>
        </w:tc>
        <w:tc>
          <w:tcPr>
            <w:tcW w:w="842" w:type="pct"/>
            <w:tcMar>
              <w:left w:w="28" w:type="dxa"/>
              <w:right w:w="28" w:type="dxa"/>
            </w:tcMar>
            <w:vAlign w:val="center"/>
          </w:tcPr>
          <w:p w14:paraId="181E3259">
            <w:pPr>
              <w:pStyle w:val="31"/>
              <w:bidi w:val="0"/>
              <w:rPr>
                <w:color w:val="auto"/>
                <w:lang w:val="zh-CN"/>
              </w:rPr>
            </w:pPr>
            <w:r>
              <w:rPr>
                <w:color w:val="auto"/>
                <w:lang w:val="zh-CN"/>
              </w:rPr>
              <w:t>推土机</w:t>
            </w:r>
          </w:p>
        </w:tc>
        <w:tc>
          <w:tcPr>
            <w:tcW w:w="420" w:type="pct"/>
            <w:tcMar>
              <w:left w:w="28" w:type="dxa"/>
              <w:right w:w="28" w:type="dxa"/>
            </w:tcMar>
            <w:vAlign w:val="center"/>
          </w:tcPr>
          <w:p w14:paraId="031552C0">
            <w:pPr>
              <w:pStyle w:val="31"/>
              <w:bidi w:val="0"/>
              <w:rPr>
                <w:color w:val="auto"/>
                <w:lang w:val="zh-CN"/>
              </w:rPr>
            </w:pPr>
            <w:r>
              <w:rPr>
                <w:color w:val="auto"/>
                <w:lang w:val="zh-CN"/>
              </w:rPr>
              <w:t>5</w:t>
            </w:r>
          </w:p>
        </w:tc>
        <w:tc>
          <w:tcPr>
            <w:tcW w:w="422" w:type="pct"/>
            <w:tcMar>
              <w:left w:w="28" w:type="dxa"/>
              <w:right w:w="28" w:type="dxa"/>
            </w:tcMar>
            <w:vAlign w:val="center"/>
          </w:tcPr>
          <w:p w14:paraId="44626C66">
            <w:pPr>
              <w:pStyle w:val="31"/>
              <w:bidi w:val="0"/>
              <w:rPr>
                <w:color w:val="auto"/>
                <w:lang w:val="zh-CN"/>
              </w:rPr>
            </w:pPr>
            <w:r>
              <w:rPr>
                <w:color w:val="auto"/>
                <w:lang w:val="zh-CN"/>
              </w:rPr>
              <w:t>85</w:t>
            </w:r>
          </w:p>
        </w:tc>
        <w:tc>
          <w:tcPr>
            <w:tcW w:w="453" w:type="pct"/>
            <w:tcMar>
              <w:left w:w="28" w:type="dxa"/>
              <w:right w:w="28" w:type="dxa"/>
            </w:tcMar>
            <w:vAlign w:val="center"/>
          </w:tcPr>
          <w:p w14:paraId="52AA1B01">
            <w:pPr>
              <w:pStyle w:val="31"/>
              <w:bidi w:val="0"/>
              <w:rPr>
                <w:color w:val="auto"/>
                <w:lang w:val="zh-CN"/>
              </w:rPr>
            </w:pPr>
            <w:r>
              <w:rPr>
                <w:color w:val="auto"/>
                <w:lang w:val="zh-CN"/>
              </w:rPr>
              <w:t>73</w:t>
            </w:r>
          </w:p>
        </w:tc>
        <w:tc>
          <w:tcPr>
            <w:tcW w:w="453" w:type="pct"/>
            <w:tcMar>
              <w:left w:w="28" w:type="dxa"/>
              <w:right w:w="28" w:type="dxa"/>
            </w:tcMar>
            <w:vAlign w:val="center"/>
          </w:tcPr>
          <w:p w14:paraId="370D26DB">
            <w:pPr>
              <w:pStyle w:val="31"/>
              <w:bidi w:val="0"/>
              <w:rPr>
                <w:color w:val="auto"/>
                <w:lang w:val="zh-CN"/>
              </w:rPr>
            </w:pPr>
            <w:r>
              <w:rPr>
                <w:color w:val="auto"/>
                <w:lang w:val="zh-CN"/>
              </w:rPr>
              <w:t>67</w:t>
            </w:r>
          </w:p>
        </w:tc>
        <w:tc>
          <w:tcPr>
            <w:tcW w:w="453" w:type="pct"/>
            <w:tcMar>
              <w:left w:w="28" w:type="dxa"/>
              <w:right w:w="28" w:type="dxa"/>
            </w:tcMar>
            <w:vAlign w:val="center"/>
          </w:tcPr>
          <w:p w14:paraId="340F553C">
            <w:pPr>
              <w:pStyle w:val="31"/>
              <w:bidi w:val="0"/>
              <w:rPr>
                <w:color w:val="auto"/>
                <w:lang w:val="zh-CN"/>
              </w:rPr>
            </w:pPr>
            <w:r>
              <w:rPr>
                <w:color w:val="auto"/>
                <w:lang w:val="zh-CN"/>
              </w:rPr>
              <w:t>61</w:t>
            </w:r>
          </w:p>
        </w:tc>
        <w:tc>
          <w:tcPr>
            <w:tcW w:w="453" w:type="pct"/>
            <w:tcMar>
              <w:left w:w="28" w:type="dxa"/>
              <w:right w:w="28" w:type="dxa"/>
            </w:tcMar>
            <w:vAlign w:val="center"/>
          </w:tcPr>
          <w:p w14:paraId="1D0D220A">
            <w:pPr>
              <w:pStyle w:val="31"/>
              <w:bidi w:val="0"/>
              <w:rPr>
                <w:color w:val="auto"/>
                <w:lang w:val="zh-CN"/>
              </w:rPr>
            </w:pPr>
            <w:r>
              <w:rPr>
                <w:color w:val="auto"/>
                <w:lang w:val="zh-CN"/>
              </w:rPr>
              <w:t>55</w:t>
            </w:r>
          </w:p>
        </w:tc>
        <w:tc>
          <w:tcPr>
            <w:tcW w:w="453" w:type="pct"/>
            <w:tcMar>
              <w:left w:w="28" w:type="dxa"/>
              <w:right w:w="28" w:type="dxa"/>
            </w:tcMar>
            <w:vAlign w:val="center"/>
          </w:tcPr>
          <w:p w14:paraId="3012406E">
            <w:pPr>
              <w:pStyle w:val="31"/>
              <w:bidi w:val="0"/>
              <w:rPr>
                <w:color w:val="auto"/>
                <w:lang w:val="zh-CN"/>
              </w:rPr>
            </w:pPr>
            <w:r>
              <w:rPr>
                <w:color w:val="auto"/>
                <w:lang w:val="zh-CN"/>
              </w:rPr>
              <w:t>49</w:t>
            </w:r>
          </w:p>
        </w:tc>
        <w:tc>
          <w:tcPr>
            <w:tcW w:w="458" w:type="pct"/>
            <w:tcMar>
              <w:left w:w="28" w:type="dxa"/>
              <w:right w:w="28" w:type="dxa"/>
            </w:tcMar>
            <w:vAlign w:val="center"/>
          </w:tcPr>
          <w:p w14:paraId="089B3EBA">
            <w:pPr>
              <w:pStyle w:val="31"/>
              <w:bidi w:val="0"/>
              <w:rPr>
                <w:color w:val="auto"/>
                <w:lang w:val="zh-CN"/>
              </w:rPr>
            </w:pPr>
            <w:r>
              <w:rPr>
                <w:color w:val="auto"/>
                <w:lang w:val="zh-CN"/>
              </w:rPr>
              <w:t>43</w:t>
            </w:r>
          </w:p>
        </w:tc>
      </w:tr>
      <w:tr w14:paraId="6B4E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0" w:type="pct"/>
            <w:vMerge w:val="continue"/>
            <w:tcMar>
              <w:left w:w="28" w:type="dxa"/>
              <w:right w:w="28" w:type="dxa"/>
            </w:tcMar>
            <w:vAlign w:val="center"/>
          </w:tcPr>
          <w:p w14:paraId="44853615">
            <w:pPr>
              <w:pStyle w:val="31"/>
              <w:bidi w:val="0"/>
              <w:rPr>
                <w:color w:val="auto"/>
                <w:lang w:val="zh-CN"/>
              </w:rPr>
            </w:pPr>
          </w:p>
        </w:tc>
        <w:tc>
          <w:tcPr>
            <w:tcW w:w="842" w:type="pct"/>
            <w:tcMar>
              <w:left w:w="28" w:type="dxa"/>
              <w:right w:w="28" w:type="dxa"/>
            </w:tcMar>
            <w:vAlign w:val="center"/>
          </w:tcPr>
          <w:p w14:paraId="4BD0E76E">
            <w:pPr>
              <w:pStyle w:val="31"/>
              <w:bidi w:val="0"/>
              <w:rPr>
                <w:color w:val="auto"/>
                <w:lang w:val="zh-CN"/>
              </w:rPr>
            </w:pPr>
            <w:r>
              <w:rPr>
                <w:color w:val="auto"/>
                <w:lang w:val="zh-CN"/>
              </w:rPr>
              <w:t>自卸汽车</w:t>
            </w:r>
          </w:p>
        </w:tc>
        <w:tc>
          <w:tcPr>
            <w:tcW w:w="420" w:type="pct"/>
            <w:tcMar>
              <w:left w:w="28" w:type="dxa"/>
              <w:right w:w="28" w:type="dxa"/>
            </w:tcMar>
            <w:vAlign w:val="center"/>
          </w:tcPr>
          <w:p w14:paraId="60E794D0">
            <w:pPr>
              <w:pStyle w:val="31"/>
              <w:bidi w:val="0"/>
              <w:rPr>
                <w:color w:val="auto"/>
                <w:lang w:val="zh-CN"/>
              </w:rPr>
            </w:pPr>
            <w:r>
              <w:rPr>
                <w:color w:val="auto"/>
                <w:lang w:val="zh-CN"/>
              </w:rPr>
              <w:t>5</w:t>
            </w:r>
          </w:p>
        </w:tc>
        <w:tc>
          <w:tcPr>
            <w:tcW w:w="422" w:type="pct"/>
            <w:tcMar>
              <w:left w:w="28" w:type="dxa"/>
              <w:right w:w="28" w:type="dxa"/>
            </w:tcMar>
            <w:vAlign w:val="center"/>
          </w:tcPr>
          <w:p w14:paraId="1DFC73E7">
            <w:pPr>
              <w:pStyle w:val="31"/>
              <w:bidi w:val="0"/>
              <w:rPr>
                <w:color w:val="auto"/>
                <w:lang w:val="zh-CN"/>
              </w:rPr>
            </w:pPr>
            <w:r>
              <w:rPr>
                <w:color w:val="auto"/>
                <w:lang w:val="zh-CN"/>
              </w:rPr>
              <w:t>85</w:t>
            </w:r>
          </w:p>
        </w:tc>
        <w:tc>
          <w:tcPr>
            <w:tcW w:w="453" w:type="pct"/>
            <w:tcMar>
              <w:left w:w="28" w:type="dxa"/>
              <w:right w:w="28" w:type="dxa"/>
            </w:tcMar>
            <w:vAlign w:val="center"/>
          </w:tcPr>
          <w:p w14:paraId="529A5BD1">
            <w:pPr>
              <w:pStyle w:val="31"/>
              <w:bidi w:val="0"/>
              <w:rPr>
                <w:color w:val="auto"/>
                <w:lang w:val="zh-CN"/>
              </w:rPr>
            </w:pPr>
            <w:r>
              <w:rPr>
                <w:color w:val="auto"/>
                <w:lang w:val="zh-CN"/>
              </w:rPr>
              <w:t>73</w:t>
            </w:r>
          </w:p>
        </w:tc>
        <w:tc>
          <w:tcPr>
            <w:tcW w:w="453" w:type="pct"/>
            <w:tcMar>
              <w:left w:w="28" w:type="dxa"/>
              <w:right w:w="28" w:type="dxa"/>
            </w:tcMar>
            <w:vAlign w:val="center"/>
          </w:tcPr>
          <w:p w14:paraId="6F53AF61">
            <w:pPr>
              <w:pStyle w:val="31"/>
              <w:bidi w:val="0"/>
              <w:rPr>
                <w:color w:val="auto"/>
                <w:lang w:val="zh-CN"/>
              </w:rPr>
            </w:pPr>
            <w:r>
              <w:rPr>
                <w:color w:val="auto"/>
                <w:lang w:val="zh-CN"/>
              </w:rPr>
              <w:t>67</w:t>
            </w:r>
          </w:p>
        </w:tc>
        <w:tc>
          <w:tcPr>
            <w:tcW w:w="453" w:type="pct"/>
            <w:tcMar>
              <w:left w:w="28" w:type="dxa"/>
              <w:right w:w="28" w:type="dxa"/>
            </w:tcMar>
            <w:vAlign w:val="center"/>
          </w:tcPr>
          <w:p w14:paraId="5EADC8DD">
            <w:pPr>
              <w:pStyle w:val="31"/>
              <w:bidi w:val="0"/>
              <w:rPr>
                <w:color w:val="auto"/>
                <w:lang w:val="zh-CN"/>
              </w:rPr>
            </w:pPr>
            <w:r>
              <w:rPr>
                <w:color w:val="auto"/>
                <w:lang w:val="zh-CN"/>
              </w:rPr>
              <w:t>61</w:t>
            </w:r>
          </w:p>
        </w:tc>
        <w:tc>
          <w:tcPr>
            <w:tcW w:w="453" w:type="pct"/>
            <w:tcMar>
              <w:left w:w="28" w:type="dxa"/>
              <w:right w:w="28" w:type="dxa"/>
            </w:tcMar>
            <w:vAlign w:val="center"/>
          </w:tcPr>
          <w:p w14:paraId="294DDB90">
            <w:pPr>
              <w:pStyle w:val="31"/>
              <w:bidi w:val="0"/>
              <w:rPr>
                <w:color w:val="auto"/>
                <w:lang w:val="zh-CN"/>
              </w:rPr>
            </w:pPr>
            <w:r>
              <w:rPr>
                <w:color w:val="auto"/>
                <w:lang w:val="zh-CN"/>
              </w:rPr>
              <w:t>55</w:t>
            </w:r>
          </w:p>
        </w:tc>
        <w:tc>
          <w:tcPr>
            <w:tcW w:w="453" w:type="pct"/>
            <w:tcMar>
              <w:left w:w="28" w:type="dxa"/>
              <w:right w:w="28" w:type="dxa"/>
            </w:tcMar>
            <w:vAlign w:val="center"/>
          </w:tcPr>
          <w:p w14:paraId="0ECA392D">
            <w:pPr>
              <w:pStyle w:val="31"/>
              <w:bidi w:val="0"/>
              <w:rPr>
                <w:color w:val="auto"/>
                <w:lang w:val="zh-CN"/>
              </w:rPr>
            </w:pPr>
            <w:r>
              <w:rPr>
                <w:color w:val="auto"/>
                <w:lang w:val="zh-CN"/>
              </w:rPr>
              <w:t>49</w:t>
            </w:r>
          </w:p>
        </w:tc>
        <w:tc>
          <w:tcPr>
            <w:tcW w:w="458" w:type="pct"/>
            <w:tcMar>
              <w:left w:w="28" w:type="dxa"/>
              <w:right w:w="28" w:type="dxa"/>
            </w:tcMar>
            <w:vAlign w:val="center"/>
          </w:tcPr>
          <w:p w14:paraId="6A361327">
            <w:pPr>
              <w:pStyle w:val="31"/>
              <w:bidi w:val="0"/>
              <w:rPr>
                <w:color w:val="auto"/>
                <w:lang w:val="zh-CN"/>
              </w:rPr>
            </w:pPr>
            <w:r>
              <w:rPr>
                <w:color w:val="auto"/>
                <w:lang w:val="zh-CN"/>
              </w:rPr>
              <w:t>43</w:t>
            </w:r>
          </w:p>
        </w:tc>
      </w:tr>
    </w:tbl>
    <w:p w14:paraId="0F73AB9E">
      <w:pPr>
        <w:bidi w:val="0"/>
        <w:rPr>
          <w:rFonts w:hint="eastAsia"/>
          <w:color w:val="auto"/>
        </w:rPr>
      </w:pPr>
      <w:r>
        <w:rPr>
          <w:rFonts w:hint="eastAsia"/>
          <w:color w:val="auto"/>
          <w:lang w:val="en-US" w:eastAsia="zh-CN"/>
        </w:rPr>
        <w:t>由上表</w:t>
      </w:r>
      <w:r>
        <w:rPr>
          <w:rFonts w:hint="eastAsia"/>
          <w:color w:val="auto"/>
        </w:rPr>
        <w:t>可知，施工期在不采取降噪措施的情况下，距</w:t>
      </w:r>
      <w:r>
        <w:rPr>
          <w:rFonts w:hint="eastAsia"/>
          <w:color w:val="auto"/>
          <w:lang w:val="en-US" w:eastAsia="zh-CN"/>
        </w:rPr>
        <w:t>弃土区</w:t>
      </w:r>
      <w:r>
        <w:rPr>
          <w:rFonts w:hint="eastAsia"/>
          <w:color w:val="auto"/>
        </w:rPr>
        <w:t>、施工工区</w:t>
      </w:r>
      <w:r>
        <w:rPr>
          <w:rFonts w:hint="eastAsia"/>
          <w:color w:val="auto"/>
          <w:lang w:val="en-US" w:eastAsia="zh-CN"/>
        </w:rPr>
        <w:t>4</w:t>
      </w:r>
      <w:r>
        <w:rPr>
          <w:rFonts w:hint="eastAsia"/>
          <w:color w:val="auto"/>
        </w:rPr>
        <w:t>0m处昼间噪声值可以满足《建筑施工场界环境噪声排放标准》（GB12523-2011）昼间标准70dB</w:t>
      </w:r>
      <w:r>
        <w:rPr>
          <w:rFonts w:hint="eastAsia"/>
          <w:color w:val="auto"/>
          <w:lang w:eastAsia="zh-CN"/>
        </w:rPr>
        <w:t>（</w:t>
      </w:r>
      <w:r>
        <w:rPr>
          <w:rFonts w:hint="eastAsia"/>
          <w:color w:val="auto"/>
        </w:rPr>
        <w:t>A）的要求。</w:t>
      </w:r>
    </w:p>
    <w:p w14:paraId="424EB5C1">
      <w:pPr>
        <w:bidi w:val="0"/>
        <w:rPr>
          <w:rFonts w:hint="eastAsia"/>
          <w:color w:val="auto"/>
          <w:lang w:val="en-US" w:eastAsia="zh-CN"/>
        </w:rPr>
      </w:pPr>
      <w:r>
        <w:rPr>
          <w:rFonts w:hint="eastAsia"/>
          <w:color w:val="auto"/>
          <w:lang w:val="en-US" w:eastAsia="zh-CN"/>
        </w:rPr>
        <w:t>2）噪声叠加影响预测结果</w:t>
      </w:r>
    </w:p>
    <w:p w14:paraId="726C4B47">
      <w:pPr>
        <w:bidi w:val="0"/>
        <w:rPr>
          <w:rFonts w:hint="default"/>
          <w:color w:val="auto"/>
          <w:lang w:val="en-US" w:eastAsia="zh-CN"/>
        </w:rPr>
      </w:pPr>
      <w:r>
        <w:rPr>
          <w:rFonts w:hint="eastAsia"/>
          <w:color w:val="auto"/>
          <w:lang w:val="en-US" w:eastAsia="zh-CN"/>
        </w:rPr>
        <w:t>根据项目最大量情况下同时投入运行的设备数量及各设备的声压级，利用上述噪声预测，预测出本项目运行后各预测点的环境噪声水平，施工噪声源组合在不同距离的噪声预测结果见下表</w:t>
      </w:r>
    </w:p>
    <w:p w14:paraId="64671565">
      <w:pPr>
        <w:pStyle w:val="11"/>
        <w:bidi w:val="0"/>
        <w:rPr>
          <w:rFonts w:hint="eastAsia"/>
          <w:lang w:val="en-US" w:eastAsia="zh-CN"/>
        </w:rPr>
      </w:pPr>
      <w:r>
        <w:rPr>
          <w:rFonts w:hint="eastAsia"/>
          <w:lang w:val="en-US" w:eastAsia="zh-CN"/>
        </w:rP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5</w:t>
      </w:r>
      <w:r>
        <w:fldChar w:fldCharType="end"/>
      </w:r>
      <w:r>
        <w:rPr>
          <w:rFonts w:hint="eastAsia"/>
          <w:lang w:val="en-US" w:eastAsia="zh-CN"/>
        </w:rPr>
        <w:t>施工噪声源组合在不同距离的噪声预测值单位：dB（A）</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6"/>
        <w:gridCol w:w="924"/>
        <w:gridCol w:w="932"/>
        <w:gridCol w:w="932"/>
        <w:gridCol w:w="931"/>
        <w:gridCol w:w="932"/>
        <w:gridCol w:w="1067"/>
        <w:gridCol w:w="1088"/>
      </w:tblGrid>
      <w:tr w14:paraId="0C55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7" w:type="pct"/>
            <w:vMerge w:val="restart"/>
            <w:vAlign w:val="center"/>
          </w:tcPr>
          <w:p w14:paraId="1F23CDED">
            <w:pPr>
              <w:pStyle w:val="31"/>
              <w:bidi w:val="0"/>
              <w:rPr>
                <w:color w:val="auto"/>
              </w:rPr>
            </w:pPr>
            <w:r>
              <w:rPr>
                <w:color w:val="auto"/>
              </w:rPr>
              <w:t>施工阶段</w:t>
            </w:r>
          </w:p>
        </w:tc>
        <w:tc>
          <w:tcPr>
            <w:tcW w:w="3992" w:type="pct"/>
            <w:gridSpan w:val="7"/>
            <w:vAlign w:val="center"/>
          </w:tcPr>
          <w:p w14:paraId="3257CE9D">
            <w:pPr>
              <w:pStyle w:val="31"/>
              <w:bidi w:val="0"/>
              <w:rPr>
                <w:color w:val="auto"/>
              </w:rPr>
            </w:pPr>
            <w:r>
              <w:rPr>
                <w:color w:val="auto"/>
              </w:rPr>
              <w:t>距离（m）</w:t>
            </w:r>
          </w:p>
        </w:tc>
      </w:tr>
      <w:tr w14:paraId="1EE6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7" w:type="pct"/>
            <w:vMerge w:val="continue"/>
            <w:vAlign w:val="center"/>
          </w:tcPr>
          <w:p w14:paraId="6D732CDA">
            <w:pPr>
              <w:pStyle w:val="31"/>
              <w:bidi w:val="0"/>
              <w:rPr>
                <w:color w:val="auto"/>
              </w:rPr>
            </w:pPr>
          </w:p>
        </w:tc>
        <w:tc>
          <w:tcPr>
            <w:tcW w:w="542" w:type="pct"/>
            <w:vAlign w:val="center"/>
          </w:tcPr>
          <w:p w14:paraId="1908C6DF">
            <w:pPr>
              <w:pStyle w:val="31"/>
              <w:bidi w:val="0"/>
              <w:rPr>
                <w:color w:val="auto"/>
              </w:rPr>
            </w:pPr>
            <w:r>
              <w:rPr>
                <w:color w:val="auto"/>
              </w:rPr>
              <w:t>5</w:t>
            </w:r>
          </w:p>
        </w:tc>
        <w:tc>
          <w:tcPr>
            <w:tcW w:w="547" w:type="pct"/>
            <w:vAlign w:val="center"/>
          </w:tcPr>
          <w:p w14:paraId="3FFF5009">
            <w:pPr>
              <w:pStyle w:val="31"/>
              <w:bidi w:val="0"/>
              <w:rPr>
                <w:color w:val="auto"/>
              </w:rPr>
            </w:pPr>
            <w:r>
              <w:rPr>
                <w:color w:val="auto"/>
              </w:rPr>
              <w:t>20</w:t>
            </w:r>
          </w:p>
        </w:tc>
        <w:tc>
          <w:tcPr>
            <w:tcW w:w="547" w:type="pct"/>
            <w:vAlign w:val="center"/>
          </w:tcPr>
          <w:p w14:paraId="5BCB04EB">
            <w:pPr>
              <w:pStyle w:val="31"/>
              <w:bidi w:val="0"/>
              <w:rPr>
                <w:color w:val="auto"/>
              </w:rPr>
            </w:pPr>
            <w:r>
              <w:rPr>
                <w:color w:val="auto"/>
              </w:rPr>
              <w:t>40</w:t>
            </w:r>
          </w:p>
        </w:tc>
        <w:tc>
          <w:tcPr>
            <w:tcW w:w="546" w:type="pct"/>
            <w:vAlign w:val="center"/>
          </w:tcPr>
          <w:p w14:paraId="04ED5C75">
            <w:pPr>
              <w:pStyle w:val="31"/>
              <w:bidi w:val="0"/>
              <w:rPr>
                <w:color w:val="auto"/>
              </w:rPr>
            </w:pPr>
            <w:r>
              <w:rPr>
                <w:color w:val="auto"/>
              </w:rPr>
              <w:t>80</w:t>
            </w:r>
          </w:p>
        </w:tc>
        <w:tc>
          <w:tcPr>
            <w:tcW w:w="547" w:type="pct"/>
            <w:vAlign w:val="center"/>
          </w:tcPr>
          <w:p w14:paraId="098D5A48">
            <w:pPr>
              <w:pStyle w:val="31"/>
              <w:bidi w:val="0"/>
              <w:rPr>
                <w:color w:val="auto"/>
              </w:rPr>
            </w:pPr>
            <w:r>
              <w:rPr>
                <w:color w:val="auto"/>
              </w:rPr>
              <w:t>160</w:t>
            </w:r>
          </w:p>
        </w:tc>
        <w:tc>
          <w:tcPr>
            <w:tcW w:w="626" w:type="pct"/>
            <w:vAlign w:val="center"/>
          </w:tcPr>
          <w:p w14:paraId="35AFEACE">
            <w:pPr>
              <w:pStyle w:val="31"/>
              <w:bidi w:val="0"/>
              <w:rPr>
                <w:color w:val="auto"/>
              </w:rPr>
            </w:pPr>
            <w:r>
              <w:rPr>
                <w:color w:val="auto"/>
              </w:rPr>
              <w:t>320</w:t>
            </w:r>
          </w:p>
        </w:tc>
        <w:tc>
          <w:tcPr>
            <w:tcW w:w="636" w:type="pct"/>
            <w:vAlign w:val="center"/>
          </w:tcPr>
          <w:p w14:paraId="25CF0FDF">
            <w:pPr>
              <w:pStyle w:val="31"/>
              <w:bidi w:val="0"/>
              <w:rPr>
                <w:color w:val="auto"/>
              </w:rPr>
            </w:pPr>
            <w:r>
              <w:rPr>
                <w:color w:val="auto"/>
              </w:rPr>
              <w:t>640</w:t>
            </w:r>
          </w:p>
        </w:tc>
      </w:tr>
      <w:tr w14:paraId="0953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7" w:type="pct"/>
            <w:vAlign w:val="center"/>
          </w:tcPr>
          <w:p w14:paraId="1DEAF585">
            <w:pPr>
              <w:pStyle w:val="31"/>
              <w:bidi w:val="0"/>
              <w:rPr>
                <w:color w:val="auto"/>
              </w:rPr>
            </w:pPr>
            <w:r>
              <w:rPr>
                <w:rFonts w:hint="eastAsia"/>
                <w:color w:val="auto"/>
                <w:lang w:val="en-US" w:eastAsia="zh-CN"/>
              </w:rPr>
              <w:t>抛泥区</w:t>
            </w:r>
          </w:p>
        </w:tc>
        <w:tc>
          <w:tcPr>
            <w:tcW w:w="542" w:type="pct"/>
            <w:vAlign w:val="center"/>
          </w:tcPr>
          <w:p w14:paraId="5A492E18">
            <w:pPr>
              <w:pStyle w:val="31"/>
              <w:bidi w:val="0"/>
              <w:rPr>
                <w:color w:val="auto"/>
              </w:rPr>
            </w:pPr>
            <w:r>
              <w:rPr>
                <w:rFonts w:hint="eastAsia"/>
                <w:color w:val="auto"/>
                <w:lang w:val="en-US" w:eastAsia="zh-CN"/>
              </w:rPr>
              <w:t>89.5</w:t>
            </w:r>
          </w:p>
        </w:tc>
        <w:tc>
          <w:tcPr>
            <w:tcW w:w="547" w:type="pct"/>
            <w:vAlign w:val="center"/>
          </w:tcPr>
          <w:p w14:paraId="007530EF">
            <w:pPr>
              <w:pStyle w:val="31"/>
              <w:bidi w:val="0"/>
              <w:rPr>
                <w:color w:val="auto"/>
              </w:rPr>
            </w:pPr>
            <w:r>
              <w:rPr>
                <w:rFonts w:hint="eastAsia"/>
                <w:color w:val="auto"/>
                <w:lang w:val="en-US" w:eastAsia="zh-CN"/>
              </w:rPr>
              <w:t>77.5</w:t>
            </w:r>
          </w:p>
        </w:tc>
        <w:tc>
          <w:tcPr>
            <w:tcW w:w="547" w:type="pct"/>
            <w:vAlign w:val="center"/>
          </w:tcPr>
          <w:p w14:paraId="29E25EA3">
            <w:pPr>
              <w:pStyle w:val="31"/>
              <w:bidi w:val="0"/>
              <w:rPr>
                <w:color w:val="auto"/>
              </w:rPr>
            </w:pPr>
            <w:r>
              <w:rPr>
                <w:rFonts w:hint="eastAsia"/>
                <w:color w:val="auto"/>
                <w:lang w:val="en-US" w:eastAsia="zh-CN"/>
              </w:rPr>
              <w:t>71.5</w:t>
            </w:r>
          </w:p>
        </w:tc>
        <w:tc>
          <w:tcPr>
            <w:tcW w:w="546" w:type="pct"/>
            <w:vAlign w:val="center"/>
          </w:tcPr>
          <w:p w14:paraId="53985E26">
            <w:pPr>
              <w:pStyle w:val="31"/>
              <w:bidi w:val="0"/>
              <w:rPr>
                <w:color w:val="auto"/>
              </w:rPr>
            </w:pPr>
            <w:r>
              <w:rPr>
                <w:rFonts w:hint="eastAsia"/>
                <w:color w:val="auto"/>
                <w:lang w:val="en-US" w:eastAsia="zh-CN"/>
              </w:rPr>
              <w:t>65.5</w:t>
            </w:r>
          </w:p>
        </w:tc>
        <w:tc>
          <w:tcPr>
            <w:tcW w:w="547" w:type="pct"/>
            <w:vAlign w:val="center"/>
          </w:tcPr>
          <w:p w14:paraId="24C951CB">
            <w:pPr>
              <w:pStyle w:val="31"/>
              <w:bidi w:val="0"/>
              <w:rPr>
                <w:color w:val="auto"/>
              </w:rPr>
            </w:pPr>
            <w:r>
              <w:rPr>
                <w:rFonts w:hint="eastAsia"/>
                <w:color w:val="auto"/>
                <w:lang w:val="en-US" w:eastAsia="zh-CN"/>
              </w:rPr>
              <w:t>59.5</w:t>
            </w:r>
          </w:p>
        </w:tc>
        <w:tc>
          <w:tcPr>
            <w:tcW w:w="626" w:type="pct"/>
            <w:vAlign w:val="center"/>
          </w:tcPr>
          <w:p w14:paraId="35C724B2">
            <w:pPr>
              <w:pStyle w:val="31"/>
              <w:bidi w:val="0"/>
              <w:rPr>
                <w:color w:val="auto"/>
              </w:rPr>
            </w:pPr>
            <w:r>
              <w:rPr>
                <w:rFonts w:hint="eastAsia"/>
                <w:color w:val="auto"/>
                <w:lang w:val="en-US" w:eastAsia="zh-CN"/>
              </w:rPr>
              <w:t>53.5</w:t>
            </w:r>
          </w:p>
        </w:tc>
        <w:tc>
          <w:tcPr>
            <w:tcW w:w="636" w:type="pct"/>
            <w:vAlign w:val="center"/>
          </w:tcPr>
          <w:p w14:paraId="3B81BB1B">
            <w:pPr>
              <w:pStyle w:val="31"/>
              <w:bidi w:val="0"/>
              <w:rPr>
                <w:color w:val="auto"/>
              </w:rPr>
            </w:pPr>
            <w:r>
              <w:rPr>
                <w:rFonts w:hint="eastAsia"/>
                <w:color w:val="auto"/>
                <w:lang w:val="en-US" w:eastAsia="zh-CN"/>
              </w:rPr>
              <w:t>47.5</w:t>
            </w:r>
          </w:p>
        </w:tc>
      </w:tr>
      <w:tr w14:paraId="4884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7" w:type="pct"/>
            <w:vAlign w:val="center"/>
          </w:tcPr>
          <w:p w14:paraId="100B90BA">
            <w:pPr>
              <w:pStyle w:val="31"/>
              <w:bidi w:val="0"/>
              <w:rPr>
                <w:color w:val="auto"/>
              </w:rPr>
            </w:pPr>
            <w:r>
              <w:rPr>
                <w:rFonts w:hint="eastAsia"/>
                <w:color w:val="auto"/>
              </w:rPr>
              <w:t>弃土区</w:t>
            </w:r>
          </w:p>
        </w:tc>
        <w:tc>
          <w:tcPr>
            <w:tcW w:w="542" w:type="pct"/>
            <w:vAlign w:val="center"/>
          </w:tcPr>
          <w:p w14:paraId="07173AD8">
            <w:pPr>
              <w:pStyle w:val="31"/>
              <w:bidi w:val="0"/>
              <w:rPr>
                <w:color w:val="auto"/>
              </w:rPr>
            </w:pPr>
            <w:r>
              <w:rPr>
                <w:color w:val="auto"/>
              </w:rPr>
              <w:t>89.5</w:t>
            </w:r>
          </w:p>
        </w:tc>
        <w:tc>
          <w:tcPr>
            <w:tcW w:w="547" w:type="pct"/>
            <w:vAlign w:val="center"/>
          </w:tcPr>
          <w:p w14:paraId="5FF4B53E">
            <w:pPr>
              <w:pStyle w:val="31"/>
              <w:bidi w:val="0"/>
              <w:rPr>
                <w:color w:val="auto"/>
              </w:rPr>
            </w:pPr>
            <w:r>
              <w:rPr>
                <w:color w:val="auto"/>
              </w:rPr>
              <w:t>77.5</w:t>
            </w:r>
          </w:p>
        </w:tc>
        <w:tc>
          <w:tcPr>
            <w:tcW w:w="547" w:type="pct"/>
            <w:vAlign w:val="center"/>
          </w:tcPr>
          <w:p w14:paraId="1B212FBF">
            <w:pPr>
              <w:pStyle w:val="31"/>
              <w:bidi w:val="0"/>
              <w:rPr>
                <w:color w:val="auto"/>
              </w:rPr>
            </w:pPr>
            <w:r>
              <w:rPr>
                <w:color w:val="auto"/>
              </w:rPr>
              <w:t>71.5</w:t>
            </w:r>
          </w:p>
        </w:tc>
        <w:tc>
          <w:tcPr>
            <w:tcW w:w="546" w:type="pct"/>
            <w:vAlign w:val="center"/>
          </w:tcPr>
          <w:p w14:paraId="39D40399">
            <w:pPr>
              <w:pStyle w:val="31"/>
              <w:bidi w:val="0"/>
              <w:rPr>
                <w:color w:val="auto"/>
              </w:rPr>
            </w:pPr>
            <w:r>
              <w:rPr>
                <w:color w:val="auto"/>
              </w:rPr>
              <w:t>65.5</w:t>
            </w:r>
          </w:p>
        </w:tc>
        <w:tc>
          <w:tcPr>
            <w:tcW w:w="547" w:type="pct"/>
            <w:vAlign w:val="center"/>
          </w:tcPr>
          <w:p w14:paraId="211A0274">
            <w:pPr>
              <w:pStyle w:val="31"/>
              <w:bidi w:val="0"/>
              <w:rPr>
                <w:color w:val="auto"/>
              </w:rPr>
            </w:pPr>
            <w:r>
              <w:rPr>
                <w:color w:val="auto"/>
              </w:rPr>
              <w:t>59.5</w:t>
            </w:r>
          </w:p>
        </w:tc>
        <w:tc>
          <w:tcPr>
            <w:tcW w:w="626" w:type="pct"/>
            <w:vAlign w:val="center"/>
          </w:tcPr>
          <w:p w14:paraId="1E93778E">
            <w:pPr>
              <w:pStyle w:val="31"/>
              <w:bidi w:val="0"/>
              <w:rPr>
                <w:color w:val="auto"/>
              </w:rPr>
            </w:pPr>
            <w:r>
              <w:rPr>
                <w:color w:val="auto"/>
              </w:rPr>
              <w:t>53.5</w:t>
            </w:r>
          </w:p>
        </w:tc>
        <w:tc>
          <w:tcPr>
            <w:tcW w:w="636" w:type="pct"/>
            <w:vAlign w:val="center"/>
          </w:tcPr>
          <w:p w14:paraId="76331623">
            <w:pPr>
              <w:pStyle w:val="31"/>
              <w:bidi w:val="0"/>
              <w:rPr>
                <w:color w:val="auto"/>
              </w:rPr>
            </w:pPr>
            <w:r>
              <w:rPr>
                <w:color w:val="auto"/>
              </w:rPr>
              <w:t>47.5</w:t>
            </w:r>
          </w:p>
        </w:tc>
      </w:tr>
      <w:tr w14:paraId="5D761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8"/>
            <w:vAlign w:val="center"/>
          </w:tcPr>
          <w:p w14:paraId="1AAE2ECC">
            <w:pPr>
              <w:pStyle w:val="31"/>
              <w:bidi w:val="0"/>
              <w:rPr>
                <w:color w:val="auto"/>
              </w:rPr>
            </w:pPr>
            <w:r>
              <w:rPr>
                <w:rFonts w:hint="eastAsia"/>
                <w:color w:val="auto"/>
                <w:lang w:val="en-US" w:eastAsia="zh-CN"/>
              </w:rPr>
              <w:t>注：按照最大环境影响考虑，将各施工阶段所有设备组合预测源强，本工程仅昼间施工。</w:t>
            </w:r>
          </w:p>
        </w:tc>
      </w:tr>
    </w:tbl>
    <w:p w14:paraId="768485EF">
      <w:pPr>
        <w:bidi w:val="0"/>
        <w:rPr>
          <w:rFonts w:hint="eastAsia"/>
          <w:color w:val="auto"/>
        </w:rPr>
      </w:pPr>
      <w:r>
        <w:rPr>
          <w:rFonts w:hint="eastAsia"/>
          <w:color w:val="auto"/>
          <w:lang w:val="en-US" w:eastAsia="zh-CN"/>
        </w:rPr>
        <w:t>3）</w:t>
      </w:r>
      <w:r>
        <w:rPr>
          <w:rFonts w:hint="eastAsia"/>
          <w:color w:val="auto"/>
        </w:rPr>
        <w:t>敏感点噪声预测结果及评价。</w:t>
      </w:r>
    </w:p>
    <w:p w14:paraId="64B1AD9D">
      <w:pPr>
        <w:bidi w:val="0"/>
        <w:rPr>
          <w:rFonts w:hint="eastAsia"/>
          <w:color w:val="auto"/>
        </w:rPr>
      </w:pPr>
      <w:r>
        <w:rPr>
          <w:rFonts w:hint="eastAsia"/>
          <w:color w:val="auto"/>
        </w:rPr>
        <w:t>根据声环境质量现状监测的结果，确定本次评价的背景噪声值。本次预测施工机械噪声对敏感点的影响，根据敏感点与工区位置，选取各阶段施工机械最大噪声值进行预测，根据受影响敏感点调查结果以及噪声衰减模式计算，预测施工噪声对敏感点影响见表5.1-6。施工期禁止夜间施工，因此仅预测昼间噪声对敏感点的影响。</w:t>
      </w:r>
    </w:p>
    <w:p w14:paraId="6229CB96">
      <w:pPr>
        <w:pStyle w:val="11"/>
        <w:bidi w:val="0"/>
        <w:rPr>
          <w:rFonts w:hint="eastAsia"/>
        </w:rPr>
      </w:pPr>
    </w:p>
    <w:p w14:paraId="717A45BE">
      <w:pPr>
        <w:pStyle w:val="11"/>
        <w:bidi w:val="0"/>
        <w:rPr>
          <w:rFonts w:hint="eastAsia"/>
        </w:rPr>
      </w:pPr>
      <w:r>
        <w:rPr>
          <w:rFonts w:hint="eastAsia"/>
        </w:rP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6</w:t>
      </w:r>
      <w:r>
        <w:fldChar w:fldCharType="end"/>
      </w:r>
      <w:r>
        <w:rPr>
          <w:rFonts w:hint="eastAsia"/>
        </w:rPr>
        <w:t>声环境敏感点噪声预测值</w:t>
      </w:r>
      <w:r>
        <w:rPr>
          <w:rFonts w:hint="eastAsia"/>
        </w:rPr>
        <w:tab/>
      </w:r>
      <w:r>
        <w:rPr>
          <w:rFonts w:hint="eastAsia"/>
        </w:rPr>
        <w:t>单位：dB（A）</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6"/>
        <w:gridCol w:w="1294"/>
        <w:gridCol w:w="731"/>
        <w:gridCol w:w="1059"/>
        <w:gridCol w:w="957"/>
        <w:gridCol w:w="862"/>
        <w:gridCol w:w="900"/>
        <w:gridCol w:w="909"/>
        <w:gridCol w:w="1064"/>
      </w:tblGrid>
      <w:tr w14:paraId="6226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37" w:type="pct"/>
            <w:vMerge w:val="restart"/>
            <w:shd w:val="clear" w:color="auto" w:fill="auto"/>
            <w:vAlign w:val="center"/>
          </w:tcPr>
          <w:p w14:paraId="2B1162C3">
            <w:pPr>
              <w:pStyle w:val="31"/>
              <w:bidi w:val="0"/>
              <w:rPr>
                <w:rFonts w:hint="eastAsia"/>
              </w:rPr>
            </w:pPr>
            <w:r>
              <w:rPr>
                <w:rFonts w:hint="eastAsia"/>
                <w:lang w:val="en-US" w:eastAsia="zh-CN"/>
              </w:rPr>
              <w:t>敏感点</w:t>
            </w:r>
          </w:p>
        </w:tc>
        <w:tc>
          <w:tcPr>
            <w:tcW w:w="759" w:type="pct"/>
            <w:vMerge w:val="restart"/>
            <w:shd w:val="clear" w:color="auto" w:fill="auto"/>
            <w:vAlign w:val="center"/>
          </w:tcPr>
          <w:p w14:paraId="61ADBC53">
            <w:pPr>
              <w:pStyle w:val="31"/>
              <w:bidi w:val="0"/>
              <w:rPr>
                <w:rFonts w:hint="eastAsia"/>
              </w:rPr>
            </w:pPr>
            <w:r>
              <w:rPr>
                <w:rFonts w:hint="eastAsia"/>
                <w:lang w:val="en-US" w:eastAsia="zh-CN"/>
              </w:rPr>
              <w:t>施工阶段最大影响值（5m处）</w:t>
            </w:r>
          </w:p>
        </w:tc>
        <w:tc>
          <w:tcPr>
            <w:tcW w:w="428" w:type="pct"/>
            <w:vMerge w:val="restart"/>
            <w:shd w:val="clear" w:color="auto" w:fill="auto"/>
            <w:vAlign w:val="center"/>
          </w:tcPr>
          <w:p w14:paraId="6B02E088">
            <w:pPr>
              <w:pStyle w:val="31"/>
              <w:bidi w:val="0"/>
              <w:rPr>
                <w:rFonts w:hint="eastAsia"/>
              </w:rPr>
            </w:pPr>
            <w:r>
              <w:rPr>
                <w:rFonts w:hint="eastAsia"/>
                <w:lang w:val="en-US" w:eastAsia="zh-CN"/>
              </w:rPr>
              <w:t>距离施工场地</w:t>
            </w:r>
          </w:p>
        </w:tc>
        <w:tc>
          <w:tcPr>
            <w:tcW w:w="3374" w:type="pct"/>
            <w:gridSpan w:val="6"/>
            <w:shd w:val="clear" w:color="auto" w:fill="auto"/>
            <w:vAlign w:val="center"/>
          </w:tcPr>
          <w:p w14:paraId="269D31A5">
            <w:pPr>
              <w:pStyle w:val="31"/>
              <w:bidi w:val="0"/>
              <w:rPr>
                <w:rFonts w:hint="eastAsia"/>
              </w:rPr>
            </w:pPr>
            <w:r>
              <w:rPr>
                <w:rFonts w:hint="eastAsia"/>
                <w:lang w:val="en-US" w:eastAsia="zh-CN"/>
              </w:rPr>
              <w:t>噪声预测结果（昼间）</w:t>
            </w:r>
          </w:p>
        </w:tc>
      </w:tr>
      <w:tr w14:paraId="1DE8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437" w:type="pct"/>
            <w:vMerge w:val="continue"/>
            <w:shd w:val="clear" w:color="auto" w:fill="auto"/>
            <w:vAlign w:val="center"/>
          </w:tcPr>
          <w:p w14:paraId="44F297A3">
            <w:pPr>
              <w:pStyle w:val="31"/>
              <w:bidi w:val="0"/>
              <w:rPr>
                <w:rFonts w:hint="eastAsia"/>
              </w:rPr>
            </w:pPr>
          </w:p>
        </w:tc>
        <w:tc>
          <w:tcPr>
            <w:tcW w:w="759" w:type="pct"/>
            <w:vMerge w:val="continue"/>
            <w:shd w:val="clear" w:color="auto" w:fill="auto"/>
            <w:vAlign w:val="center"/>
          </w:tcPr>
          <w:p w14:paraId="0BF8B49A">
            <w:pPr>
              <w:pStyle w:val="31"/>
              <w:bidi w:val="0"/>
              <w:rPr>
                <w:rFonts w:hint="eastAsia"/>
              </w:rPr>
            </w:pPr>
          </w:p>
        </w:tc>
        <w:tc>
          <w:tcPr>
            <w:tcW w:w="428" w:type="pct"/>
            <w:vMerge w:val="continue"/>
            <w:shd w:val="clear" w:color="auto" w:fill="auto"/>
            <w:vAlign w:val="center"/>
          </w:tcPr>
          <w:p w14:paraId="10C29774">
            <w:pPr>
              <w:pStyle w:val="31"/>
              <w:bidi w:val="0"/>
              <w:rPr>
                <w:rFonts w:hint="eastAsia"/>
              </w:rPr>
            </w:pPr>
          </w:p>
        </w:tc>
        <w:tc>
          <w:tcPr>
            <w:tcW w:w="621" w:type="pct"/>
            <w:shd w:val="clear" w:color="auto" w:fill="auto"/>
            <w:vAlign w:val="center"/>
          </w:tcPr>
          <w:p w14:paraId="29739A7C">
            <w:pPr>
              <w:pStyle w:val="31"/>
              <w:bidi w:val="0"/>
              <w:rPr>
                <w:rFonts w:hint="eastAsia"/>
              </w:rPr>
            </w:pPr>
            <w:r>
              <w:rPr>
                <w:rFonts w:hint="eastAsia"/>
                <w:lang w:val="en-US" w:eastAsia="zh-CN"/>
              </w:rPr>
              <w:t>贡献值</w:t>
            </w:r>
          </w:p>
        </w:tc>
        <w:tc>
          <w:tcPr>
            <w:tcW w:w="561" w:type="pct"/>
            <w:shd w:val="clear" w:color="auto" w:fill="auto"/>
            <w:vAlign w:val="center"/>
          </w:tcPr>
          <w:p w14:paraId="11F80008">
            <w:pPr>
              <w:pStyle w:val="31"/>
              <w:bidi w:val="0"/>
              <w:rPr>
                <w:rFonts w:hint="default"/>
                <w:lang w:val="en-US" w:eastAsia="zh-CN"/>
              </w:rPr>
            </w:pPr>
            <w:r>
              <w:rPr>
                <w:rFonts w:hint="eastAsia"/>
                <w:lang w:val="en-US" w:eastAsia="zh-CN"/>
              </w:rPr>
              <w:t>削减值</w:t>
            </w:r>
          </w:p>
        </w:tc>
        <w:tc>
          <w:tcPr>
            <w:tcW w:w="505" w:type="pct"/>
            <w:shd w:val="clear" w:color="auto" w:fill="auto"/>
            <w:vAlign w:val="center"/>
          </w:tcPr>
          <w:p w14:paraId="4BA8C5EF">
            <w:pPr>
              <w:pStyle w:val="31"/>
              <w:bidi w:val="0"/>
              <w:rPr>
                <w:rFonts w:hint="eastAsia"/>
              </w:rPr>
            </w:pPr>
            <w:r>
              <w:rPr>
                <w:rFonts w:hint="eastAsia"/>
                <w:lang w:val="en-US" w:eastAsia="zh-CN"/>
              </w:rPr>
              <w:t>背景值</w:t>
            </w:r>
          </w:p>
        </w:tc>
        <w:tc>
          <w:tcPr>
            <w:tcW w:w="528" w:type="pct"/>
            <w:shd w:val="clear" w:color="auto" w:fill="auto"/>
            <w:vAlign w:val="center"/>
          </w:tcPr>
          <w:p w14:paraId="237F5EDF">
            <w:pPr>
              <w:pStyle w:val="31"/>
              <w:bidi w:val="0"/>
              <w:rPr>
                <w:rFonts w:hint="eastAsia"/>
              </w:rPr>
            </w:pPr>
            <w:r>
              <w:rPr>
                <w:rFonts w:hint="eastAsia"/>
                <w:lang w:val="en-US" w:eastAsia="zh-CN"/>
              </w:rPr>
              <w:t>预测值</w:t>
            </w:r>
          </w:p>
        </w:tc>
        <w:tc>
          <w:tcPr>
            <w:tcW w:w="533" w:type="pct"/>
            <w:shd w:val="clear" w:color="auto" w:fill="auto"/>
            <w:vAlign w:val="center"/>
          </w:tcPr>
          <w:p w14:paraId="3152E0CF">
            <w:pPr>
              <w:pStyle w:val="31"/>
              <w:bidi w:val="0"/>
              <w:rPr>
                <w:rFonts w:hint="eastAsia"/>
              </w:rPr>
            </w:pPr>
            <w:r>
              <w:rPr>
                <w:rFonts w:hint="eastAsia"/>
                <w:lang w:val="en-US" w:eastAsia="zh-CN"/>
              </w:rPr>
              <w:t>标准值</w:t>
            </w:r>
          </w:p>
        </w:tc>
        <w:tc>
          <w:tcPr>
            <w:tcW w:w="624" w:type="pct"/>
            <w:shd w:val="clear" w:color="auto" w:fill="auto"/>
            <w:vAlign w:val="center"/>
          </w:tcPr>
          <w:p w14:paraId="62790FED">
            <w:pPr>
              <w:pStyle w:val="31"/>
              <w:bidi w:val="0"/>
              <w:rPr>
                <w:rFonts w:hint="eastAsia"/>
              </w:rPr>
            </w:pPr>
            <w:r>
              <w:rPr>
                <w:rFonts w:hint="eastAsia"/>
                <w:lang w:val="en-US" w:eastAsia="zh-CN"/>
              </w:rPr>
              <w:t>达标情况</w:t>
            </w:r>
          </w:p>
        </w:tc>
      </w:tr>
      <w:tr w14:paraId="40CBE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37" w:type="pct"/>
            <w:shd w:val="clear" w:color="auto" w:fill="auto"/>
            <w:vAlign w:val="center"/>
          </w:tcPr>
          <w:p w14:paraId="306DD93C">
            <w:pPr>
              <w:pStyle w:val="31"/>
              <w:bidi w:val="0"/>
              <w:rPr>
                <w:rFonts w:hint="default"/>
                <w:lang w:val="en-US" w:eastAsia="zh-CN"/>
              </w:rPr>
            </w:pPr>
            <w:r>
              <w:rPr>
                <w:rFonts w:hint="eastAsia"/>
                <w:lang w:val="en-US" w:eastAsia="zh-CN"/>
              </w:rPr>
              <w:t>芦冲</w:t>
            </w:r>
          </w:p>
        </w:tc>
        <w:tc>
          <w:tcPr>
            <w:tcW w:w="759" w:type="pct"/>
            <w:shd w:val="clear" w:color="auto" w:fill="auto"/>
            <w:vAlign w:val="center"/>
          </w:tcPr>
          <w:p w14:paraId="5E9B387B">
            <w:pPr>
              <w:pStyle w:val="31"/>
              <w:bidi w:val="0"/>
              <w:rPr>
                <w:rFonts w:hint="default"/>
              </w:rPr>
            </w:pPr>
            <w:r>
              <w:t>89.5</w:t>
            </w:r>
          </w:p>
        </w:tc>
        <w:tc>
          <w:tcPr>
            <w:tcW w:w="428" w:type="pct"/>
            <w:shd w:val="clear" w:color="auto" w:fill="auto"/>
            <w:vAlign w:val="center"/>
          </w:tcPr>
          <w:p w14:paraId="73F17E33">
            <w:pPr>
              <w:pStyle w:val="31"/>
              <w:bidi w:val="0"/>
              <w:rPr>
                <w:rFonts w:hint="default"/>
              </w:rPr>
            </w:pPr>
            <w:r>
              <w:rPr>
                <w:rFonts w:hint="eastAsia"/>
                <w:lang w:val="en-US" w:eastAsia="zh-CN"/>
              </w:rPr>
              <w:t>90m</w:t>
            </w:r>
          </w:p>
        </w:tc>
        <w:tc>
          <w:tcPr>
            <w:tcW w:w="621" w:type="pct"/>
            <w:shd w:val="clear" w:color="auto" w:fill="auto"/>
            <w:vAlign w:val="center"/>
          </w:tcPr>
          <w:p w14:paraId="7F646E43">
            <w:pPr>
              <w:pStyle w:val="31"/>
              <w:bidi w:val="0"/>
              <w:rPr>
                <w:rFonts w:hint="default"/>
                <w:lang w:val="en-US" w:eastAsia="zh-CN"/>
              </w:rPr>
            </w:pPr>
            <w:r>
              <w:rPr>
                <w:rFonts w:hint="eastAsia"/>
                <w:lang w:val="en-US" w:eastAsia="zh-CN"/>
              </w:rPr>
              <w:t>64.5</w:t>
            </w:r>
          </w:p>
        </w:tc>
        <w:tc>
          <w:tcPr>
            <w:tcW w:w="561" w:type="pct"/>
            <w:shd w:val="clear" w:color="auto" w:fill="auto"/>
            <w:vAlign w:val="center"/>
          </w:tcPr>
          <w:p w14:paraId="5B0C6033">
            <w:pPr>
              <w:pStyle w:val="31"/>
              <w:bidi w:val="0"/>
              <w:rPr>
                <w:rFonts w:hint="default"/>
                <w:lang w:val="en-US" w:eastAsia="zh-CN"/>
              </w:rPr>
            </w:pPr>
            <w:r>
              <w:rPr>
                <w:rFonts w:hint="eastAsia"/>
                <w:lang w:val="en-US" w:eastAsia="zh-CN"/>
              </w:rPr>
              <w:t>15</w:t>
            </w:r>
          </w:p>
        </w:tc>
        <w:tc>
          <w:tcPr>
            <w:tcW w:w="505" w:type="pct"/>
            <w:shd w:val="clear" w:color="auto" w:fill="auto"/>
            <w:vAlign w:val="center"/>
          </w:tcPr>
          <w:p w14:paraId="48A81BFF">
            <w:pPr>
              <w:pStyle w:val="31"/>
              <w:bidi w:val="0"/>
              <w:rPr>
                <w:rFonts w:hint="default"/>
                <w:lang w:val="en-US" w:eastAsia="zh-CN"/>
              </w:rPr>
            </w:pPr>
            <w:r>
              <w:rPr>
                <w:rFonts w:hint="eastAsia"/>
                <w:lang w:val="en-US" w:eastAsia="zh-CN"/>
              </w:rPr>
              <w:t>41.7</w:t>
            </w:r>
          </w:p>
        </w:tc>
        <w:tc>
          <w:tcPr>
            <w:tcW w:w="528" w:type="pct"/>
            <w:shd w:val="clear" w:color="auto" w:fill="auto"/>
            <w:vAlign w:val="center"/>
          </w:tcPr>
          <w:p w14:paraId="5974726C">
            <w:pPr>
              <w:pStyle w:val="31"/>
              <w:bidi w:val="0"/>
              <w:rPr>
                <w:rFonts w:hint="default"/>
                <w:lang w:val="en-US" w:eastAsia="zh-CN"/>
              </w:rPr>
            </w:pPr>
            <w:r>
              <w:rPr>
                <w:rFonts w:hint="eastAsia"/>
                <w:lang w:val="en-US" w:eastAsia="zh-CN"/>
              </w:rPr>
              <w:t>50.2</w:t>
            </w:r>
          </w:p>
        </w:tc>
        <w:tc>
          <w:tcPr>
            <w:tcW w:w="533" w:type="pct"/>
            <w:shd w:val="clear" w:color="auto" w:fill="auto"/>
            <w:vAlign w:val="center"/>
          </w:tcPr>
          <w:p w14:paraId="78CE7C36">
            <w:pPr>
              <w:pStyle w:val="31"/>
              <w:bidi w:val="0"/>
              <w:rPr>
                <w:rFonts w:hint="default"/>
                <w:lang w:val="en-US"/>
              </w:rPr>
            </w:pPr>
            <w:r>
              <w:rPr>
                <w:rFonts w:hint="eastAsia"/>
                <w:lang w:val="en-US" w:eastAsia="zh-CN"/>
              </w:rPr>
              <w:t>55</w:t>
            </w:r>
          </w:p>
        </w:tc>
        <w:tc>
          <w:tcPr>
            <w:tcW w:w="624" w:type="pct"/>
            <w:shd w:val="clear" w:color="auto" w:fill="auto"/>
            <w:vAlign w:val="center"/>
          </w:tcPr>
          <w:p w14:paraId="32BBE663">
            <w:pPr>
              <w:pStyle w:val="31"/>
              <w:bidi w:val="0"/>
              <w:rPr>
                <w:rFonts w:hint="eastAsia"/>
              </w:rPr>
            </w:pPr>
            <w:r>
              <w:rPr>
                <w:rFonts w:hint="eastAsia"/>
                <w:lang w:val="en-US" w:eastAsia="zh-CN"/>
              </w:rPr>
              <w:t>达标</w:t>
            </w:r>
          </w:p>
        </w:tc>
      </w:tr>
      <w:tr w14:paraId="47B58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5000" w:type="pct"/>
            <w:gridSpan w:val="9"/>
            <w:shd w:val="clear" w:color="auto" w:fill="auto"/>
            <w:vAlign w:val="center"/>
          </w:tcPr>
          <w:p w14:paraId="424683D9">
            <w:pPr>
              <w:pStyle w:val="31"/>
              <w:bidi w:val="0"/>
              <w:jc w:val="both"/>
              <w:rPr>
                <w:rFonts w:hint="default"/>
                <w:lang w:val="en-US" w:eastAsia="zh-CN"/>
              </w:rPr>
            </w:pPr>
            <w:r>
              <w:rPr>
                <w:rFonts w:hint="eastAsia"/>
                <w:lang w:val="en-US" w:eastAsia="zh-CN"/>
              </w:rPr>
              <w:t>注：敏感点芦冲与本项目之间山体阻隔及绿化吸声</w:t>
            </w:r>
          </w:p>
        </w:tc>
      </w:tr>
    </w:tbl>
    <w:p w14:paraId="0FF01508">
      <w:pPr>
        <w:bidi w:val="0"/>
        <w:rPr>
          <w:rFonts w:hint="eastAsia"/>
          <w:color w:val="auto"/>
        </w:rPr>
      </w:pPr>
      <w:r>
        <w:rPr>
          <w:rFonts w:hint="eastAsia"/>
          <w:color w:val="auto"/>
        </w:rPr>
        <w:t>根据工程施工平面总布置，工程施工场地周边200m范围内分布主要有</w:t>
      </w:r>
      <w:r>
        <w:rPr>
          <w:rFonts w:hint="eastAsia"/>
          <w:color w:val="auto"/>
          <w:lang w:val="en-US" w:eastAsia="zh-CN"/>
        </w:rPr>
        <w:t>1</w:t>
      </w:r>
      <w:r>
        <w:rPr>
          <w:rFonts w:hint="eastAsia"/>
          <w:color w:val="auto"/>
        </w:rPr>
        <w:t>个敏感点。由预测结果可知，工程施工对周边敏感点的影响</w:t>
      </w:r>
      <w:r>
        <w:rPr>
          <w:rFonts w:hint="eastAsia"/>
          <w:color w:val="auto"/>
          <w:lang w:val="en-US" w:eastAsia="zh-CN"/>
        </w:rPr>
        <w:t>较小</w:t>
      </w:r>
      <w:r>
        <w:rPr>
          <w:rFonts w:hint="eastAsia"/>
          <w:color w:val="auto"/>
        </w:rPr>
        <w:t>，各施工阶段昼间噪声值满足《声环境质量标准》（GB3096-2008）</w:t>
      </w:r>
      <w:r>
        <w:rPr>
          <w:rFonts w:hint="eastAsia"/>
          <w:color w:val="auto"/>
          <w:lang w:val="en-US" w:eastAsia="zh-CN"/>
        </w:rPr>
        <w:t>2</w:t>
      </w:r>
      <w:r>
        <w:rPr>
          <w:rFonts w:hint="eastAsia"/>
          <w:color w:val="auto"/>
        </w:rPr>
        <w:t>类标准</w:t>
      </w:r>
      <w:r>
        <w:rPr>
          <w:rFonts w:hint="eastAsia"/>
          <w:color w:val="auto"/>
          <w:lang w:eastAsia="zh-CN"/>
        </w:rPr>
        <w:t>。</w:t>
      </w:r>
      <w:r>
        <w:rPr>
          <w:rFonts w:hint="eastAsia"/>
          <w:color w:val="auto"/>
        </w:rPr>
        <w:t>本工程</w:t>
      </w:r>
      <w:r>
        <w:rPr>
          <w:rFonts w:hint="eastAsia"/>
          <w:color w:val="auto"/>
          <w:lang w:val="en-US" w:eastAsia="zh-CN"/>
        </w:rPr>
        <w:t>为降低</w:t>
      </w:r>
      <w:r>
        <w:rPr>
          <w:rFonts w:hint="eastAsia"/>
          <w:color w:val="auto"/>
        </w:rPr>
        <w:t>对周边敏感点的影响</w:t>
      </w:r>
      <w:r>
        <w:rPr>
          <w:rFonts w:hint="eastAsia"/>
          <w:color w:val="auto"/>
          <w:lang w:eastAsia="zh-CN"/>
        </w:rPr>
        <w:t>，</w:t>
      </w:r>
      <w:r>
        <w:rPr>
          <w:rFonts w:hint="eastAsia"/>
          <w:color w:val="auto"/>
        </w:rPr>
        <w:t>应合理布置施工机械设备位置，固定且高噪声的施工机械应设置在远离居民点的位置。合理安排施工时间，严禁夜间施工，运输车辆经过敏感点时降速行使，禁止鸣笛。</w:t>
      </w:r>
    </w:p>
    <w:p w14:paraId="4B5997DD">
      <w:pPr>
        <w:bidi w:val="0"/>
        <w:rPr>
          <w:color w:val="auto"/>
        </w:rPr>
      </w:pPr>
      <w:r>
        <w:rPr>
          <w:rFonts w:hint="eastAsia"/>
          <w:color w:val="auto"/>
        </w:rPr>
        <w:t>采取以上措施可将施工活动对声环境的不利影响</w:t>
      </w:r>
      <w:r>
        <w:rPr>
          <w:rFonts w:hint="eastAsia"/>
          <w:color w:val="auto"/>
          <w:lang w:val="en-US" w:eastAsia="zh-CN"/>
        </w:rPr>
        <w:t>可接受</w:t>
      </w:r>
      <w:r>
        <w:rPr>
          <w:rFonts w:hint="eastAsia"/>
          <w:color w:val="auto"/>
        </w:rPr>
        <w:t>。</w:t>
      </w:r>
      <w:r>
        <w:rPr>
          <w:rFonts w:hint="eastAsia"/>
          <w:color w:val="auto"/>
          <w:lang w:val="en-US" w:eastAsia="zh-CN"/>
        </w:rPr>
        <w:t>切</w:t>
      </w:r>
      <w:r>
        <w:rPr>
          <w:rFonts w:hint="eastAsia"/>
          <w:color w:val="auto"/>
        </w:rPr>
        <w:t>本工程为</w:t>
      </w:r>
      <w:r>
        <w:rPr>
          <w:rFonts w:hint="eastAsia"/>
          <w:color w:val="auto"/>
          <w:lang w:val="en-US" w:eastAsia="zh-CN"/>
        </w:rPr>
        <w:t>河湖整治</w:t>
      </w:r>
      <w:r>
        <w:rPr>
          <w:rFonts w:hint="eastAsia"/>
          <w:color w:val="auto"/>
        </w:rPr>
        <w:t>工程，随着施工的结束，施工噪声影响也就随着结束。</w:t>
      </w:r>
    </w:p>
    <w:p w14:paraId="6E81F28F">
      <w:pPr>
        <w:pStyle w:val="5"/>
        <w:bidi w:val="0"/>
        <w:rPr>
          <w:color w:val="auto"/>
        </w:rPr>
      </w:pPr>
      <w:r>
        <w:rPr>
          <w:rFonts w:hint="eastAsia"/>
          <w:color w:val="auto"/>
        </w:rPr>
        <w:t>运输交通噪声影响</w:t>
      </w:r>
      <w:r>
        <w:rPr>
          <w:color w:val="auto"/>
        </w:rPr>
        <w:t>预测</w:t>
      </w:r>
      <w:r>
        <w:rPr>
          <w:rFonts w:hint="eastAsia"/>
          <w:color w:val="auto"/>
        </w:rPr>
        <w:t>分析</w:t>
      </w:r>
    </w:p>
    <w:p w14:paraId="08BD4C7A">
      <w:pPr>
        <w:bidi w:val="0"/>
        <w:rPr>
          <w:color w:val="auto"/>
        </w:rPr>
      </w:pPr>
      <w:r>
        <w:rPr>
          <w:rFonts w:hint="eastAsia"/>
          <w:color w:val="auto"/>
        </w:rPr>
        <w:t>（</w:t>
      </w:r>
      <w:r>
        <w:rPr>
          <w:color w:val="auto"/>
        </w:rPr>
        <w:t>1</w:t>
      </w:r>
      <w:r>
        <w:rPr>
          <w:rFonts w:hint="eastAsia"/>
          <w:color w:val="auto"/>
        </w:rPr>
        <w:t>）预测方法及参数</w:t>
      </w:r>
    </w:p>
    <w:p w14:paraId="3379FE38">
      <w:pPr>
        <w:bidi w:val="0"/>
        <w:rPr>
          <w:color w:val="auto"/>
        </w:rPr>
      </w:pPr>
      <w:r>
        <w:rPr>
          <w:rFonts w:hint="eastAsia"/>
          <w:color w:val="auto"/>
        </w:rPr>
        <w:t>各种自卸汽车和载重汽车的交通运输产生的噪声均可视为流动声源，其噪声的大小与车流量、车型、车速及路况等因素有关，拟采用下列模型计算其衰减量。流动声源预测模式：</w:t>
      </w:r>
    </w:p>
    <w:p w14:paraId="5E0078C4">
      <w:pPr>
        <w:jc w:val="center"/>
        <w:rPr>
          <w:color w:val="auto"/>
        </w:rPr>
      </w:pPr>
      <w:r>
        <w:rPr>
          <w:color w:val="auto"/>
        </w:rPr>
        <w:drawing>
          <wp:inline distT="0" distB="0" distL="0" distR="0">
            <wp:extent cx="2962275" cy="427355"/>
            <wp:effectExtent l="0" t="0" r="9525" b="444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85"/>
                    <a:stretch>
                      <a:fillRect/>
                    </a:stretch>
                  </pic:blipFill>
                  <pic:spPr>
                    <a:xfrm>
                      <a:off x="0" y="0"/>
                      <a:ext cx="2980203" cy="430213"/>
                    </a:xfrm>
                    <a:prstGeom prst="rect">
                      <a:avLst/>
                    </a:prstGeom>
                  </pic:spPr>
                </pic:pic>
              </a:graphicData>
            </a:graphic>
          </wp:inline>
        </w:drawing>
      </w:r>
    </w:p>
    <w:p w14:paraId="70E4B031">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式中：</w:t>
      </w:r>
    </w:p>
    <w:p w14:paraId="0F48CC97">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Leq——预测点处的声压级，dB（A）；</w:t>
      </w:r>
    </w:p>
    <w:p w14:paraId="6B8E3BED">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LA—距行驶路面中心7.5m处的平均辐射噪声级，载重汽车昼间为85dB</w:t>
      </w:r>
      <w:r>
        <w:rPr>
          <w:rFonts w:hint="eastAsia"/>
          <w:color w:val="auto"/>
          <w:sz w:val="24"/>
          <w:lang w:eastAsia="zh-CN"/>
        </w:rPr>
        <w:t>（</w:t>
      </w:r>
      <w:r>
        <w:rPr>
          <w:rFonts w:hint="eastAsia" w:ascii="Times New Roman" w:hAnsi="Times New Roman"/>
          <w:color w:val="auto"/>
          <w:sz w:val="24"/>
        </w:rPr>
        <w:t>A</w:t>
      </w:r>
      <w:r>
        <w:rPr>
          <w:rFonts w:hint="eastAsia"/>
          <w:color w:val="auto"/>
          <w:sz w:val="24"/>
          <w:lang w:eastAsia="zh-CN"/>
        </w:rPr>
        <w:t>）</w:t>
      </w:r>
      <w:r>
        <w:rPr>
          <w:rFonts w:hint="eastAsia" w:ascii="Times New Roman" w:hAnsi="Times New Roman"/>
          <w:color w:val="auto"/>
          <w:sz w:val="24"/>
        </w:rPr>
        <w:t>；</w:t>
      </w:r>
    </w:p>
    <w:p w14:paraId="64913313">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N—车流量，根据施工设计，昼间车流量为50辆/h；</w:t>
      </w:r>
    </w:p>
    <w:p w14:paraId="2063F509">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V—车辆行驶速度，根据施工设计，昼间为40km/h；</w:t>
      </w:r>
    </w:p>
    <w:p w14:paraId="1D0A2F7E">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T—评价小时数，取1；</w:t>
      </w:r>
    </w:p>
    <w:p w14:paraId="0CDAFFE0">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K—车辆密度修正系数，取15；</w:t>
      </w:r>
    </w:p>
    <w:p w14:paraId="734E0F41">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r—测点距离行车中心线距离，m；</w:t>
      </w:r>
    </w:p>
    <w:p w14:paraId="4344A437">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a—地面吸收，衰减因子，取0.5。</w:t>
      </w:r>
    </w:p>
    <w:p w14:paraId="23F9FA6F">
      <w:pPr>
        <w:autoSpaceDE w:val="0"/>
        <w:autoSpaceDN w:val="0"/>
        <w:adjustRightInd w:val="0"/>
        <w:spacing w:line="360" w:lineRule="auto"/>
        <w:ind w:firstLine="480"/>
        <w:rPr>
          <w:rFonts w:ascii="Times New Roman" w:hAnsi="Times New Roman"/>
          <w:color w:val="auto"/>
          <w:sz w:val="24"/>
        </w:rPr>
      </w:pPr>
      <w:r>
        <w:rPr>
          <w:rFonts w:hint="eastAsia" w:ascii="Times New Roman" w:hAnsi="Times New Roman"/>
          <w:color w:val="auto"/>
          <w:sz w:val="24"/>
        </w:rPr>
        <w:t>重型车辆LA＝22+36.32lgV。</w:t>
      </w:r>
    </w:p>
    <w:p w14:paraId="4A282B66">
      <w:pPr>
        <w:bidi w:val="0"/>
        <w:rPr>
          <w:color w:val="auto"/>
        </w:rPr>
      </w:pPr>
      <w:r>
        <w:rPr>
          <w:color w:val="auto"/>
        </w:rPr>
        <w:t>（</w:t>
      </w:r>
      <w:r>
        <w:rPr>
          <w:rFonts w:hint="eastAsia"/>
          <w:color w:val="auto"/>
        </w:rPr>
        <w:t>2</w:t>
      </w:r>
      <w:r>
        <w:rPr>
          <w:color w:val="auto"/>
        </w:rPr>
        <w:t>）预测结果</w:t>
      </w:r>
    </w:p>
    <w:p w14:paraId="1C582F16">
      <w:pPr>
        <w:bidi w:val="0"/>
        <w:rPr>
          <w:rFonts w:ascii="Times New Roman" w:hAnsi="Times New Roman"/>
          <w:color w:val="auto"/>
          <w:szCs w:val="24"/>
        </w:rPr>
      </w:pPr>
      <w:r>
        <w:rPr>
          <w:color w:val="auto"/>
        </w:rPr>
        <w:t>根据《声环境质量标准》（GB3096-2008），项目所在区域为</w:t>
      </w:r>
      <w:r>
        <w:rPr>
          <w:rFonts w:hint="eastAsia"/>
          <w:color w:val="auto"/>
          <w:lang w:val="en-US" w:eastAsia="zh-CN"/>
        </w:rPr>
        <w:t>1</w:t>
      </w:r>
      <w:r>
        <w:rPr>
          <w:color w:val="auto"/>
        </w:rPr>
        <w:t>类声环境功能区。</w:t>
      </w:r>
    </w:p>
    <w:p w14:paraId="036F874C">
      <w:pPr>
        <w:pStyle w:val="11"/>
        <w:bidi w:val="0"/>
        <w:rPr>
          <w:rFonts w:hint="eastAsia"/>
          <w:lang w:eastAsia="zh-CN"/>
        </w:rPr>
      </w:pPr>
      <w:r>
        <w:rPr>
          <w:rFonts w:hint="eastAsia"/>
        </w:rP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7</w:t>
      </w:r>
      <w:r>
        <w:fldChar w:fldCharType="end"/>
      </w:r>
      <w:r>
        <w:rPr>
          <w:rFonts w:hint="eastAsia"/>
        </w:rPr>
        <w:t>不同距离的施工交通噪声预测值单位：</w:t>
      </w:r>
      <w:r>
        <w:t>dB</w:t>
      </w:r>
      <w:r>
        <w:rPr>
          <w:rFonts w:hint="eastAsia"/>
          <w:lang w:eastAsia="zh-CN"/>
        </w:rPr>
        <w:t>（</w:t>
      </w:r>
      <w:r>
        <w:t>A</w:t>
      </w:r>
      <w:r>
        <w:rPr>
          <w:rFonts w:hint="eastAsia"/>
          <w:lang w:eastAsia="zh-CN"/>
        </w:rPr>
        <w:t>）</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064"/>
        <w:gridCol w:w="1064"/>
        <w:gridCol w:w="1064"/>
        <w:gridCol w:w="1064"/>
        <w:gridCol w:w="1064"/>
        <w:gridCol w:w="1067"/>
        <w:gridCol w:w="1067"/>
      </w:tblGrid>
      <w:tr w14:paraId="639C7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4" w:type="pct"/>
            <w:vAlign w:val="center"/>
          </w:tcPr>
          <w:p w14:paraId="4183B386">
            <w:pPr>
              <w:pStyle w:val="31"/>
              <w:widowControl w:val="0"/>
              <w:bidi w:val="0"/>
              <w:rPr>
                <w:rFonts w:hint="eastAsia" w:eastAsia="宋体"/>
                <w:color w:val="auto"/>
                <w:lang w:eastAsia="zh-CN"/>
              </w:rPr>
            </w:pPr>
            <w:r>
              <w:rPr>
                <w:rFonts w:hint="eastAsia"/>
                <w:color w:val="auto"/>
              </w:rPr>
              <w:t>距离</w:t>
            </w:r>
            <w:r>
              <w:rPr>
                <w:rFonts w:hint="eastAsia"/>
                <w:color w:val="auto"/>
                <w:lang w:eastAsia="zh-CN"/>
              </w:rPr>
              <w:t>（</w:t>
            </w:r>
            <w:r>
              <w:rPr>
                <w:rFonts w:hint="eastAsia"/>
                <w:color w:val="auto"/>
              </w:rPr>
              <w:t>m</w:t>
            </w:r>
            <w:r>
              <w:rPr>
                <w:rFonts w:hint="eastAsia"/>
                <w:color w:val="auto"/>
                <w:lang w:eastAsia="zh-CN"/>
              </w:rPr>
              <w:t>）</w:t>
            </w:r>
          </w:p>
        </w:tc>
        <w:tc>
          <w:tcPr>
            <w:tcW w:w="624" w:type="pct"/>
            <w:vAlign w:val="center"/>
          </w:tcPr>
          <w:p w14:paraId="48741738">
            <w:pPr>
              <w:pStyle w:val="31"/>
              <w:widowControl w:val="0"/>
              <w:bidi w:val="0"/>
              <w:rPr>
                <w:color w:val="auto"/>
              </w:rPr>
            </w:pPr>
            <w:r>
              <w:rPr>
                <w:rFonts w:hint="eastAsia"/>
                <w:color w:val="auto"/>
              </w:rPr>
              <w:t>5</w:t>
            </w:r>
          </w:p>
        </w:tc>
        <w:tc>
          <w:tcPr>
            <w:tcW w:w="624" w:type="pct"/>
            <w:vAlign w:val="center"/>
          </w:tcPr>
          <w:p w14:paraId="18BA518C">
            <w:pPr>
              <w:pStyle w:val="31"/>
              <w:widowControl w:val="0"/>
              <w:bidi w:val="0"/>
              <w:rPr>
                <w:color w:val="auto"/>
              </w:rPr>
            </w:pPr>
            <w:r>
              <w:rPr>
                <w:rFonts w:hint="eastAsia"/>
                <w:color w:val="auto"/>
              </w:rPr>
              <w:t>10</w:t>
            </w:r>
          </w:p>
        </w:tc>
        <w:tc>
          <w:tcPr>
            <w:tcW w:w="624" w:type="pct"/>
            <w:vAlign w:val="center"/>
          </w:tcPr>
          <w:p w14:paraId="1491DC97">
            <w:pPr>
              <w:pStyle w:val="31"/>
              <w:widowControl w:val="0"/>
              <w:bidi w:val="0"/>
              <w:rPr>
                <w:color w:val="auto"/>
              </w:rPr>
            </w:pPr>
            <w:r>
              <w:rPr>
                <w:rFonts w:hint="eastAsia"/>
                <w:color w:val="auto"/>
              </w:rPr>
              <w:t>15</w:t>
            </w:r>
          </w:p>
        </w:tc>
        <w:tc>
          <w:tcPr>
            <w:tcW w:w="624" w:type="pct"/>
            <w:vAlign w:val="center"/>
          </w:tcPr>
          <w:p w14:paraId="48BF1FD1">
            <w:pPr>
              <w:pStyle w:val="31"/>
              <w:widowControl w:val="0"/>
              <w:bidi w:val="0"/>
              <w:rPr>
                <w:color w:val="auto"/>
              </w:rPr>
            </w:pPr>
            <w:r>
              <w:rPr>
                <w:rFonts w:hint="eastAsia"/>
                <w:color w:val="auto"/>
              </w:rPr>
              <w:t>20</w:t>
            </w:r>
          </w:p>
        </w:tc>
        <w:tc>
          <w:tcPr>
            <w:tcW w:w="624" w:type="pct"/>
            <w:vAlign w:val="center"/>
          </w:tcPr>
          <w:p w14:paraId="0A374919">
            <w:pPr>
              <w:pStyle w:val="31"/>
              <w:widowControl w:val="0"/>
              <w:bidi w:val="0"/>
              <w:rPr>
                <w:color w:val="auto"/>
              </w:rPr>
            </w:pPr>
            <w:r>
              <w:rPr>
                <w:rFonts w:hint="eastAsia"/>
                <w:color w:val="auto"/>
              </w:rPr>
              <w:t>25</w:t>
            </w:r>
          </w:p>
        </w:tc>
        <w:tc>
          <w:tcPr>
            <w:tcW w:w="626" w:type="pct"/>
            <w:vAlign w:val="center"/>
          </w:tcPr>
          <w:p w14:paraId="55B719F9">
            <w:pPr>
              <w:pStyle w:val="31"/>
              <w:widowControl w:val="0"/>
              <w:bidi w:val="0"/>
              <w:rPr>
                <w:color w:val="auto"/>
              </w:rPr>
            </w:pPr>
            <w:r>
              <w:rPr>
                <w:rFonts w:hint="eastAsia"/>
                <w:color w:val="auto"/>
              </w:rPr>
              <w:t>30</w:t>
            </w:r>
          </w:p>
        </w:tc>
        <w:tc>
          <w:tcPr>
            <w:tcW w:w="626" w:type="pct"/>
            <w:vAlign w:val="center"/>
          </w:tcPr>
          <w:p w14:paraId="0FC35197">
            <w:pPr>
              <w:pStyle w:val="31"/>
              <w:widowControl w:val="0"/>
              <w:bidi w:val="0"/>
              <w:rPr>
                <w:rFonts w:hint="default" w:eastAsia="宋体"/>
                <w:color w:val="auto"/>
                <w:lang w:val="en-US" w:eastAsia="zh-CN"/>
              </w:rPr>
            </w:pPr>
            <w:r>
              <w:rPr>
                <w:rFonts w:hint="eastAsia"/>
                <w:color w:val="auto"/>
                <w:lang w:val="en-US" w:eastAsia="zh-CN"/>
              </w:rPr>
              <w:t>35</w:t>
            </w:r>
          </w:p>
        </w:tc>
      </w:tr>
      <w:tr w14:paraId="6EEB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4" w:type="pct"/>
            <w:vAlign w:val="center"/>
          </w:tcPr>
          <w:p w14:paraId="3FF6AE3B">
            <w:pPr>
              <w:pStyle w:val="31"/>
              <w:widowControl w:val="0"/>
              <w:bidi w:val="0"/>
              <w:rPr>
                <w:color w:val="auto"/>
              </w:rPr>
            </w:pPr>
            <w:r>
              <w:rPr>
                <w:rFonts w:hint="eastAsia"/>
                <w:color w:val="auto"/>
              </w:rPr>
              <w:t>昼间</w:t>
            </w:r>
          </w:p>
        </w:tc>
        <w:tc>
          <w:tcPr>
            <w:tcW w:w="624" w:type="pct"/>
            <w:vAlign w:val="center"/>
          </w:tcPr>
          <w:p w14:paraId="651A2522">
            <w:pPr>
              <w:pStyle w:val="31"/>
              <w:widowControl w:val="0"/>
              <w:bidi w:val="0"/>
              <w:rPr>
                <w:color w:val="auto"/>
              </w:rPr>
            </w:pPr>
            <w:r>
              <w:rPr>
                <w:rFonts w:hint="eastAsia"/>
                <w:color w:val="auto"/>
              </w:rPr>
              <w:t>69.3</w:t>
            </w:r>
          </w:p>
        </w:tc>
        <w:tc>
          <w:tcPr>
            <w:tcW w:w="624" w:type="pct"/>
            <w:vAlign w:val="center"/>
          </w:tcPr>
          <w:p w14:paraId="29DDFE80">
            <w:pPr>
              <w:pStyle w:val="31"/>
              <w:widowControl w:val="0"/>
              <w:bidi w:val="0"/>
              <w:rPr>
                <w:color w:val="auto"/>
              </w:rPr>
            </w:pPr>
            <w:r>
              <w:rPr>
                <w:rFonts w:hint="eastAsia"/>
                <w:color w:val="auto"/>
              </w:rPr>
              <w:t>67.5</w:t>
            </w:r>
          </w:p>
        </w:tc>
        <w:tc>
          <w:tcPr>
            <w:tcW w:w="624" w:type="pct"/>
            <w:vAlign w:val="center"/>
          </w:tcPr>
          <w:p w14:paraId="24BEAF26">
            <w:pPr>
              <w:pStyle w:val="31"/>
              <w:widowControl w:val="0"/>
              <w:bidi w:val="0"/>
              <w:rPr>
                <w:color w:val="auto"/>
              </w:rPr>
            </w:pPr>
            <w:r>
              <w:rPr>
                <w:rFonts w:hint="eastAsia"/>
                <w:color w:val="auto"/>
              </w:rPr>
              <w:t>64</w:t>
            </w:r>
          </w:p>
        </w:tc>
        <w:tc>
          <w:tcPr>
            <w:tcW w:w="624" w:type="pct"/>
            <w:vAlign w:val="center"/>
          </w:tcPr>
          <w:p w14:paraId="74F2844C">
            <w:pPr>
              <w:pStyle w:val="31"/>
              <w:widowControl w:val="0"/>
              <w:bidi w:val="0"/>
              <w:rPr>
                <w:color w:val="auto"/>
              </w:rPr>
            </w:pPr>
            <w:r>
              <w:rPr>
                <w:rFonts w:hint="eastAsia"/>
                <w:color w:val="auto"/>
              </w:rPr>
              <w:t>61.1</w:t>
            </w:r>
          </w:p>
        </w:tc>
        <w:tc>
          <w:tcPr>
            <w:tcW w:w="624" w:type="pct"/>
            <w:vAlign w:val="center"/>
          </w:tcPr>
          <w:p w14:paraId="7CF60E22">
            <w:pPr>
              <w:pStyle w:val="31"/>
              <w:widowControl w:val="0"/>
              <w:bidi w:val="0"/>
              <w:rPr>
                <w:color w:val="auto"/>
              </w:rPr>
            </w:pPr>
            <w:r>
              <w:rPr>
                <w:rFonts w:hint="eastAsia"/>
                <w:color w:val="auto"/>
              </w:rPr>
              <w:t>58.9</w:t>
            </w:r>
          </w:p>
        </w:tc>
        <w:tc>
          <w:tcPr>
            <w:tcW w:w="626" w:type="pct"/>
            <w:vAlign w:val="center"/>
          </w:tcPr>
          <w:p w14:paraId="084E8180">
            <w:pPr>
              <w:pStyle w:val="31"/>
              <w:widowControl w:val="0"/>
              <w:bidi w:val="0"/>
              <w:rPr>
                <w:color w:val="auto"/>
              </w:rPr>
            </w:pPr>
            <w:r>
              <w:rPr>
                <w:rFonts w:hint="eastAsia"/>
                <w:color w:val="auto"/>
              </w:rPr>
              <w:t>56.9</w:t>
            </w:r>
          </w:p>
        </w:tc>
        <w:tc>
          <w:tcPr>
            <w:tcW w:w="626" w:type="pct"/>
            <w:vAlign w:val="center"/>
          </w:tcPr>
          <w:p w14:paraId="2A5920B4">
            <w:pPr>
              <w:pStyle w:val="31"/>
              <w:widowControl w:val="0"/>
              <w:bidi w:val="0"/>
              <w:rPr>
                <w:rFonts w:hint="default" w:eastAsia="宋体"/>
                <w:color w:val="auto"/>
                <w:lang w:val="en-US" w:eastAsia="zh-CN"/>
              </w:rPr>
            </w:pPr>
            <w:r>
              <w:rPr>
                <w:rFonts w:hint="eastAsia"/>
                <w:color w:val="auto"/>
                <w:lang w:val="en-US" w:eastAsia="zh-CN"/>
              </w:rPr>
              <w:t>54.9</w:t>
            </w:r>
          </w:p>
        </w:tc>
      </w:tr>
    </w:tbl>
    <w:p w14:paraId="272421A3">
      <w:pPr>
        <w:bidi w:val="0"/>
        <w:rPr>
          <w:color w:val="auto"/>
        </w:rPr>
      </w:pPr>
      <w:r>
        <w:rPr>
          <w:rFonts w:hint="eastAsia"/>
          <w:color w:val="auto"/>
        </w:rPr>
        <w:t>由上表可见，施工车辆昼间将对道路两侧</w:t>
      </w:r>
      <w:r>
        <w:rPr>
          <w:rFonts w:hint="eastAsia"/>
          <w:color w:val="auto"/>
          <w:lang w:val="en-US" w:eastAsia="zh-CN"/>
        </w:rPr>
        <w:t>20</w:t>
      </w:r>
      <w:r>
        <w:rPr>
          <w:color w:val="auto"/>
        </w:rPr>
        <w:t>m</w:t>
      </w:r>
      <w:r>
        <w:rPr>
          <w:rFonts w:hint="eastAsia"/>
          <w:color w:val="auto"/>
        </w:rPr>
        <w:t>范围内的声环境造成影响。根据工程施工组织设计，</w:t>
      </w:r>
      <w:r>
        <w:rPr>
          <w:rFonts w:hint="eastAsia"/>
          <w:color w:val="auto"/>
          <w:lang w:val="en-US" w:eastAsia="zh-CN"/>
        </w:rPr>
        <w:t>临时</w:t>
      </w:r>
      <w:r>
        <w:rPr>
          <w:rFonts w:hint="eastAsia"/>
          <w:color w:val="auto"/>
        </w:rPr>
        <w:t>施工</w:t>
      </w:r>
      <w:r>
        <w:rPr>
          <w:rFonts w:hint="eastAsia"/>
          <w:color w:val="auto"/>
          <w:lang w:val="en-US" w:eastAsia="zh-CN"/>
        </w:rPr>
        <w:t>道路位于抛泥区附近</w:t>
      </w:r>
      <w:r>
        <w:rPr>
          <w:rFonts w:hint="eastAsia"/>
          <w:color w:val="auto"/>
        </w:rPr>
        <w:t>。</w:t>
      </w:r>
      <w:r>
        <w:rPr>
          <w:rFonts w:hint="eastAsia"/>
          <w:color w:val="auto"/>
          <w:lang w:val="en-US" w:eastAsia="zh-CN"/>
        </w:rPr>
        <w:t>临时</w:t>
      </w:r>
      <w:r>
        <w:rPr>
          <w:rFonts w:hint="eastAsia"/>
          <w:color w:val="auto"/>
        </w:rPr>
        <w:t>施工</w:t>
      </w:r>
      <w:r>
        <w:rPr>
          <w:rFonts w:hint="eastAsia"/>
          <w:color w:val="auto"/>
          <w:lang w:val="en-US" w:eastAsia="zh-CN"/>
        </w:rPr>
        <w:t>道路</w:t>
      </w:r>
      <w:r>
        <w:rPr>
          <w:rFonts w:hint="eastAsia"/>
          <w:color w:val="auto"/>
        </w:rPr>
        <w:t>以及弃土石方运输沿线有一定量的居民点，车辆运输交通噪声将对这些沿线道路两侧的居民点产生一定影响，但施工车辆交通噪声影响多为瞬时性，影响程度不大。总体来说，本工程施工期交通噪声对区域声环境造成的影响是局部和暂时的，随着施工的结束，污染影响也随之结束。</w:t>
      </w:r>
    </w:p>
    <w:p w14:paraId="7DB1E813">
      <w:pPr>
        <w:bidi w:val="0"/>
        <w:rPr>
          <w:color w:val="auto"/>
        </w:rPr>
      </w:pPr>
      <w:r>
        <w:rPr>
          <w:rFonts w:hint="eastAsia"/>
          <w:color w:val="auto"/>
        </w:rPr>
        <w:t>为减轻交通噪声对沿线声环境质量的影响，评价要求：注意合理安排施工物料的运输时间；在附近有居民点和学校等敏感点的路段应减速慢行、禁止鸣笛。</w:t>
      </w:r>
    </w:p>
    <w:p w14:paraId="278E093C">
      <w:pPr>
        <w:pStyle w:val="4"/>
        <w:bidi w:val="0"/>
        <w:rPr>
          <w:rFonts w:hint="default"/>
          <w:color w:val="auto"/>
          <w:lang w:val="en-US" w:eastAsia="zh-CN"/>
        </w:rPr>
      </w:pPr>
      <w:bookmarkStart w:id="182" w:name="_Toc708"/>
      <w:r>
        <w:rPr>
          <w:rFonts w:hint="eastAsia"/>
          <w:color w:val="auto"/>
          <w:lang w:val="en-US" w:eastAsia="zh-CN"/>
        </w:rPr>
        <w:t>施工期固体废弃物环境影响与评价</w:t>
      </w:r>
      <w:bookmarkEnd w:id="182"/>
    </w:p>
    <w:p w14:paraId="5C3E8C45">
      <w:pPr>
        <w:bidi w:val="0"/>
        <w:rPr>
          <w:color w:val="auto"/>
        </w:rPr>
      </w:pPr>
      <w:r>
        <w:rPr>
          <w:color w:val="auto"/>
        </w:rPr>
        <w:t>本工程施工产生的固体废弃物包括废弃土石方、</w:t>
      </w:r>
      <w:r>
        <w:rPr>
          <w:rFonts w:hint="eastAsia"/>
          <w:color w:val="auto"/>
          <w:lang w:val="en-US" w:eastAsia="zh-CN"/>
        </w:rPr>
        <w:t>建筑垃圾、</w:t>
      </w:r>
      <w:r>
        <w:rPr>
          <w:color w:val="auto"/>
        </w:rPr>
        <w:t>施工人员生活垃圾。</w:t>
      </w:r>
    </w:p>
    <w:p w14:paraId="093190BC">
      <w:pPr>
        <w:pStyle w:val="5"/>
        <w:bidi w:val="0"/>
        <w:rPr>
          <w:color w:val="auto"/>
        </w:rPr>
      </w:pPr>
      <w:r>
        <w:rPr>
          <w:color w:val="auto"/>
        </w:rPr>
        <w:t>土石方</w:t>
      </w:r>
    </w:p>
    <w:p w14:paraId="43B19EF2">
      <w:pPr>
        <w:bidi w:val="0"/>
        <w:rPr>
          <w:color w:val="auto"/>
        </w:rPr>
      </w:pPr>
      <w:r>
        <w:rPr>
          <w:rFonts w:hint="eastAsia"/>
          <w:color w:val="auto"/>
        </w:rPr>
        <w:t>本工程土方开挖总量为786138m³。本工程弃土主要为</w:t>
      </w:r>
      <w:r>
        <w:rPr>
          <w:rFonts w:hint="eastAsia"/>
          <w:color w:val="auto"/>
          <w:lang w:val="en-US" w:eastAsia="zh-CN"/>
        </w:rPr>
        <w:t>原</w:t>
      </w:r>
      <w:r>
        <w:rPr>
          <w:rFonts w:hint="eastAsia"/>
          <w:color w:val="auto"/>
        </w:rPr>
        <w:t>河道清淤弃土，弃土运至弃土场</w:t>
      </w:r>
      <w:r>
        <w:rPr>
          <w:color w:val="auto"/>
        </w:rPr>
        <w:t>。</w:t>
      </w:r>
    </w:p>
    <w:p w14:paraId="6FEE8CFD">
      <w:pPr>
        <w:bidi w:val="0"/>
        <w:rPr>
          <w:color w:val="auto"/>
        </w:rPr>
      </w:pPr>
      <w:r>
        <w:rPr>
          <w:color w:val="auto"/>
        </w:rPr>
        <w:t>工程中产生的弃土，建设单位应严格按照设计将弃方运送至指定弃土场堆置，不可随意堆放</w:t>
      </w:r>
      <w:r>
        <w:rPr>
          <w:rFonts w:hint="eastAsia"/>
          <w:color w:val="auto"/>
        </w:rPr>
        <w:t>。先挡后弃，并做好水土保持措施，设计临时挡墙、周边排水沟、截水沟、沉砂池等措施；弃土场周围设置截水沟、平台设置横向排水沟，平台截排水沟与周围排水系统连接，截水沟通过急流槽排至弃土场下游，末端设置沉砂池和消力池，沉砂池末端出水与地貌自然沟道相接，土体内设置盲管，以排走弃土坡面、顶面雨水径流及土体内渗透水；</w:t>
      </w:r>
      <w:r>
        <w:rPr>
          <w:color w:val="auto"/>
        </w:rPr>
        <w:t>同时对弃土堆放区进行定期洒水，防止风吹扬尘，或者使用薄膜覆盖防风和降雨</w:t>
      </w:r>
      <w:r>
        <w:rPr>
          <w:rFonts w:hint="eastAsia"/>
          <w:color w:val="auto"/>
        </w:rPr>
        <w:t>；施工结束后做好植被恢复措施。在采取上述临时防护措施，确保土石方后期可得到有效处置的情况下，工程土石方对周边环境的影响较小。</w:t>
      </w:r>
    </w:p>
    <w:p w14:paraId="4E4AC15B">
      <w:pPr>
        <w:pStyle w:val="5"/>
        <w:bidi w:val="0"/>
        <w:rPr>
          <w:color w:val="auto"/>
        </w:rPr>
      </w:pPr>
      <w:r>
        <w:rPr>
          <w:color w:val="auto"/>
        </w:rPr>
        <w:t>建筑垃圾</w:t>
      </w:r>
    </w:p>
    <w:p w14:paraId="2048C058">
      <w:pPr>
        <w:bidi w:val="0"/>
        <w:rPr>
          <w:color w:val="auto"/>
        </w:rPr>
      </w:pPr>
      <w:r>
        <w:rPr>
          <w:color w:val="auto"/>
        </w:rPr>
        <w:t>施工期产生的建筑垃圾主要来源于</w:t>
      </w:r>
      <w:r>
        <w:rPr>
          <w:rFonts w:hint="eastAsia"/>
          <w:color w:val="auto"/>
          <w:lang w:val="en-US" w:eastAsia="zh-CN"/>
        </w:rPr>
        <w:t>排水沟、挡墙</w:t>
      </w:r>
      <w:r>
        <w:rPr>
          <w:color w:val="auto"/>
        </w:rPr>
        <w:t>等</w:t>
      </w:r>
      <w:r>
        <w:rPr>
          <w:rFonts w:hint="eastAsia"/>
          <w:color w:val="auto"/>
          <w:lang w:val="en-US" w:eastAsia="zh-CN"/>
        </w:rPr>
        <w:t>水土保持</w:t>
      </w:r>
      <w:r>
        <w:rPr>
          <w:color w:val="auto"/>
        </w:rPr>
        <w:t>工程施工时产生的砂土、石块等建筑垃圾。</w:t>
      </w:r>
      <w:r>
        <w:rPr>
          <w:color w:val="auto"/>
          <w:highlight w:val="none"/>
        </w:rPr>
        <w:t>建筑垃圾产生量约为10t，</w:t>
      </w:r>
      <w:r>
        <w:rPr>
          <w:color w:val="auto"/>
        </w:rPr>
        <w:t>具有回收利用价值的尽可能回收利用，不能回收利用的建筑垃圾应运至政府指定的建筑垃圾处理场处理。采取上述措施后，工程施工产生的建筑垃圾均能得到合理有效处置，对环境的污染影响很小。</w:t>
      </w:r>
    </w:p>
    <w:p w14:paraId="0A5CDEFA">
      <w:pPr>
        <w:pStyle w:val="5"/>
        <w:bidi w:val="0"/>
        <w:rPr>
          <w:color w:val="auto"/>
        </w:rPr>
      </w:pPr>
      <w:r>
        <w:rPr>
          <w:color w:val="auto"/>
        </w:rPr>
        <w:t>施工期生活垃圾</w:t>
      </w:r>
    </w:p>
    <w:p w14:paraId="113E5B33">
      <w:pPr>
        <w:bidi w:val="0"/>
        <w:rPr>
          <w:color w:val="auto"/>
        </w:rPr>
      </w:pPr>
      <w:r>
        <w:rPr>
          <w:color w:val="auto"/>
        </w:rPr>
        <w:t>工程施工期高峰日作业人员约</w:t>
      </w:r>
      <w:r>
        <w:rPr>
          <w:rFonts w:hint="eastAsia"/>
          <w:color w:val="auto"/>
          <w:lang w:val="en-US" w:eastAsia="zh-CN"/>
        </w:rPr>
        <w:t>1</w:t>
      </w:r>
      <w:r>
        <w:rPr>
          <w:color w:val="auto"/>
        </w:rPr>
        <w:t>00人，施工人员生活垃圾按每人每天0.5kg计算，高峰期日产生生活垃圾量为0.</w:t>
      </w:r>
      <w:r>
        <w:rPr>
          <w:rFonts w:hint="eastAsia"/>
          <w:color w:val="auto"/>
          <w:lang w:val="en-US" w:eastAsia="zh-CN"/>
        </w:rPr>
        <w:t>0</w:t>
      </w:r>
      <w:r>
        <w:rPr>
          <w:color w:val="auto"/>
        </w:rPr>
        <w:t>5t/d，工程施工期内生活垃圾产生总量为</w:t>
      </w:r>
      <w:r>
        <w:rPr>
          <w:rFonts w:hint="eastAsia"/>
          <w:color w:val="auto"/>
          <w:lang w:val="en-US" w:eastAsia="zh-CN"/>
        </w:rPr>
        <w:t>10.5</w:t>
      </w:r>
      <w:r>
        <w:rPr>
          <w:color w:val="auto"/>
        </w:rPr>
        <w:t>t，生活垃圾统一收集后由环卫部门负责清运处理。</w:t>
      </w:r>
    </w:p>
    <w:p w14:paraId="727AF422">
      <w:pPr>
        <w:bidi w:val="0"/>
        <w:rPr>
          <w:color w:val="auto"/>
        </w:rPr>
      </w:pPr>
      <w:r>
        <w:rPr>
          <w:color w:val="auto"/>
        </w:rPr>
        <w:t>本工程施工人员进驻临时施工场地会产生生活垃圾，须定点收集，委托环卫部门定期清运。采取上述措施后，工程施工产生的固体废物均能得到合理有效处置，对环境的污染影响很小。</w:t>
      </w:r>
    </w:p>
    <w:p w14:paraId="2AC64120">
      <w:pPr>
        <w:pStyle w:val="4"/>
        <w:bidi w:val="0"/>
        <w:rPr>
          <w:rFonts w:hint="eastAsia"/>
          <w:color w:val="auto"/>
          <w:lang w:val="zh-CN" w:eastAsia="zh-CN"/>
        </w:rPr>
      </w:pPr>
      <w:bookmarkStart w:id="183" w:name="_Toc19974"/>
      <w:r>
        <w:rPr>
          <w:rFonts w:hint="eastAsia"/>
          <w:color w:val="auto"/>
          <w:lang w:val="en-US" w:eastAsia="zh-CN"/>
        </w:rPr>
        <w:t>施工期</w:t>
      </w:r>
      <w:r>
        <w:rPr>
          <w:rFonts w:hint="eastAsia"/>
          <w:color w:val="auto"/>
          <w:lang w:val="zh-CN" w:eastAsia="zh-CN"/>
        </w:rPr>
        <w:t>地下水环境影响预测</w:t>
      </w:r>
      <w:r>
        <w:rPr>
          <w:rFonts w:hint="eastAsia"/>
          <w:color w:val="auto"/>
          <w:lang w:val="en-US" w:eastAsia="zh-CN"/>
        </w:rPr>
        <w:t>与评价</w:t>
      </w:r>
      <w:bookmarkEnd w:id="183"/>
    </w:p>
    <w:p w14:paraId="292EFED0">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污染物对地下水的影响主要是由于降雨或废水排放等通过垂直渗透进入包气带，进入包气带的污染物在物理、化学和生物作用下经吸附、转化、迁移和分解后输入地下水。因此包气带是联接地面污染物与地下含水层的主要通道和过渡带，既是污染物媒介体，又是污染物净化场所和防护层。地下水能否被污染以及污染物的种类和性质。一般说来，土壤粒细而紧密，渗透性差，则污染慢；反之，颗粒大松散，渗透性能良好则污染重。</w:t>
      </w:r>
    </w:p>
    <w:p w14:paraId="3A6C68C0">
      <w:pPr>
        <w:autoSpaceDE w:val="0"/>
        <w:autoSpaceDN w:val="0"/>
        <w:adjustRightIn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根据本项目建设内容及工程特点，本项目对地下水造成影响的途径主要为施工期施工废水、施工人员生活污水的处理以及施工渣土和建筑垃圾对浅层地下水造成影响。具体的影响途径分析如下表所示。</w:t>
      </w:r>
    </w:p>
    <w:p w14:paraId="31D5C0FD">
      <w:pPr>
        <w:pStyle w:val="11"/>
        <w:bidi w:val="0"/>
      </w:pPr>
      <w:r>
        <w:t>表</w:t>
      </w:r>
      <w:r>
        <w:fldChar w:fldCharType="begin"/>
      </w:r>
      <w:r>
        <w:instrText xml:space="preserve"> STYLEREF 2 \s </w:instrText>
      </w:r>
      <w:r>
        <w:fldChar w:fldCharType="separate"/>
      </w:r>
      <w:r>
        <w:t>5.1</w:t>
      </w:r>
      <w:r>
        <w:fldChar w:fldCharType="end"/>
      </w:r>
      <w:r>
        <w:rPr>
          <w:rFonts w:hint="eastAsia"/>
          <w:lang w:eastAsia="zh-CN"/>
        </w:rPr>
        <w:t>-</w:t>
      </w:r>
      <w:r>
        <w:fldChar w:fldCharType="begin"/>
      </w:r>
      <w:r>
        <w:instrText xml:space="preserve"> SEQ 表 \* ARABIC \s 2 </w:instrText>
      </w:r>
      <w:r>
        <w:fldChar w:fldCharType="separate"/>
      </w:r>
      <w:r>
        <w:t>8</w:t>
      </w:r>
      <w:r>
        <w:fldChar w:fldCharType="end"/>
      </w:r>
      <w:r>
        <w:t>施工期项目对地下水影响分析表</w:t>
      </w:r>
    </w:p>
    <w:tbl>
      <w:tblPr>
        <w:tblStyle w:val="33"/>
        <w:tblW w:w="50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2"/>
        <w:gridCol w:w="1800"/>
        <w:gridCol w:w="1027"/>
        <w:gridCol w:w="4477"/>
      </w:tblGrid>
      <w:tr w14:paraId="22301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619" w:type="pct"/>
            <w:vAlign w:val="center"/>
          </w:tcPr>
          <w:p w14:paraId="314E0908">
            <w:pPr>
              <w:pStyle w:val="31"/>
              <w:widowControl w:val="0"/>
              <w:bidi w:val="0"/>
              <w:rPr>
                <w:color w:val="auto"/>
                <w:lang w:eastAsia="en-US"/>
              </w:rPr>
            </w:pPr>
            <w:r>
              <w:rPr>
                <w:color w:val="auto"/>
                <w:lang w:eastAsia="en-US"/>
              </w:rPr>
              <w:t>潜在污染源</w:t>
            </w:r>
          </w:p>
        </w:tc>
        <w:tc>
          <w:tcPr>
            <w:tcW w:w="1079" w:type="pct"/>
            <w:vAlign w:val="center"/>
          </w:tcPr>
          <w:p w14:paraId="151FA186">
            <w:pPr>
              <w:pStyle w:val="31"/>
              <w:widowControl w:val="0"/>
              <w:bidi w:val="0"/>
              <w:rPr>
                <w:color w:val="auto"/>
                <w:lang w:eastAsia="en-US"/>
              </w:rPr>
            </w:pPr>
            <w:r>
              <w:rPr>
                <w:color w:val="auto"/>
                <w:lang w:eastAsia="en-US"/>
              </w:rPr>
              <w:t>潜在污染途径</w:t>
            </w:r>
          </w:p>
        </w:tc>
        <w:tc>
          <w:tcPr>
            <w:tcW w:w="616" w:type="pct"/>
            <w:vAlign w:val="center"/>
          </w:tcPr>
          <w:p w14:paraId="43FD1FE3">
            <w:pPr>
              <w:pStyle w:val="31"/>
              <w:widowControl w:val="0"/>
              <w:bidi w:val="0"/>
              <w:rPr>
                <w:color w:val="auto"/>
                <w:lang w:eastAsia="en-US"/>
              </w:rPr>
            </w:pPr>
            <w:r>
              <w:rPr>
                <w:color w:val="auto"/>
                <w:lang w:eastAsia="en-US"/>
              </w:rPr>
              <w:t>主要污染物</w:t>
            </w:r>
          </w:p>
        </w:tc>
        <w:tc>
          <w:tcPr>
            <w:tcW w:w="2684" w:type="pct"/>
            <w:vAlign w:val="center"/>
          </w:tcPr>
          <w:p w14:paraId="5F9DD70F">
            <w:pPr>
              <w:pStyle w:val="31"/>
              <w:widowControl w:val="0"/>
              <w:bidi w:val="0"/>
              <w:rPr>
                <w:color w:val="auto"/>
                <w:lang w:eastAsia="en-US"/>
              </w:rPr>
            </w:pPr>
            <w:r>
              <w:rPr>
                <w:color w:val="auto"/>
                <w:lang w:eastAsia="en-US"/>
              </w:rPr>
              <w:t>影响分析</w:t>
            </w:r>
          </w:p>
        </w:tc>
      </w:tr>
      <w:tr w14:paraId="3EBB7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619" w:type="pct"/>
            <w:vAlign w:val="center"/>
          </w:tcPr>
          <w:p w14:paraId="1725EA37">
            <w:pPr>
              <w:pStyle w:val="31"/>
              <w:widowControl w:val="0"/>
              <w:bidi w:val="0"/>
              <w:rPr>
                <w:color w:val="auto"/>
                <w:lang w:eastAsia="en-US"/>
              </w:rPr>
            </w:pPr>
            <w:r>
              <w:rPr>
                <w:color w:val="auto"/>
                <w:lang w:eastAsia="en-US"/>
              </w:rPr>
              <w:t>施工期施工废水</w:t>
            </w:r>
          </w:p>
        </w:tc>
        <w:tc>
          <w:tcPr>
            <w:tcW w:w="1079" w:type="pct"/>
            <w:vAlign w:val="center"/>
          </w:tcPr>
          <w:p w14:paraId="0C31CBB3">
            <w:pPr>
              <w:pStyle w:val="31"/>
              <w:widowControl w:val="0"/>
              <w:bidi w:val="0"/>
              <w:rPr>
                <w:color w:val="auto"/>
                <w:lang w:eastAsia="zh-CN"/>
              </w:rPr>
            </w:pPr>
            <w:r>
              <w:rPr>
                <w:color w:val="auto"/>
                <w:lang w:eastAsia="zh-CN"/>
              </w:rPr>
              <w:t>施工废水的不当排放会导致废水渗入地下，对浅层地下水造成影响</w:t>
            </w:r>
          </w:p>
        </w:tc>
        <w:tc>
          <w:tcPr>
            <w:tcW w:w="616" w:type="pct"/>
            <w:vAlign w:val="center"/>
          </w:tcPr>
          <w:p w14:paraId="5A6F03C6">
            <w:pPr>
              <w:pStyle w:val="31"/>
              <w:widowControl w:val="0"/>
              <w:bidi w:val="0"/>
              <w:rPr>
                <w:color w:val="auto"/>
                <w:lang w:eastAsia="zh-CN"/>
              </w:rPr>
            </w:pPr>
            <w:r>
              <w:rPr>
                <w:color w:val="auto"/>
                <w:lang w:eastAsia="zh-CN"/>
              </w:rPr>
              <w:t>高锰酸盐指数、氨氮、石油类</w:t>
            </w:r>
          </w:p>
        </w:tc>
        <w:tc>
          <w:tcPr>
            <w:tcW w:w="2684" w:type="pct"/>
            <w:vAlign w:val="center"/>
          </w:tcPr>
          <w:p w14:paraId="5BAB7E13">
            <w:pPr>
              <w:pStyle w:val="31"/>
              <w:widowControl w:val="0"/>
              <w:bidi w:val="0"/>
              <w:rPr>
                <w:color w:val="auto"/>
                <w:lang w:eastAsia="zh-CN"/>
              </w:rPr>
            </w:pPr>
            <w:r>
              <w:rPr>
                <w:color w:val="auto"/>
                <w:lang w:eastAsia="zh-CN"/>
              </w:rPr>
              <w:t>施工废水的产生量较小，污染物浓度较低，仅可能对局部浅层地下水造成影响，施工期设置临时隔油沉淀池处理产生的施工废水，废水经处理后回用，在做好隔油沉淀池底部和四周防渗措施的前提下，施工废水对浅层地下水的影响很小</w:t>
            </w:r>
          </w:p>
        </w:tc>
      </w:tr>
      <w:tr w14:paraId="010A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619" w:type="pct"/>
            <w:vAlign w:val="center"/>
          </w:tcPr>
          <w:p w14:paraId="2BDFA922">
            <w:pPr>
              <w:pStyle w:val="31"/>
              <w:widowControl w:val="0"/>
              <w:bidi w:val="0"/>
              <w:rPr>
                <w:color w:val="auto"/>
                <w:lang w:eastAsia="en-US"/>
              </w:rPr>
            </w:pPr>
            <w:r>
              <w:rPr>
                <w:color w:val="auto"/>
                <w:lang w:eastAsia="en-US"/>
              </w:rPr>
              <w:t>施工渣土和建筑垃圾</w:t>
            </w:r>
          </w:p>
        </w:tc>
        <w:tc>
          <w:tcPr>
            <w:tcW w:w="1079" w:type="pct"/>
            <w:vAlign w:val="center"/>
          </w:tcPr>
          <w:p w14:paraId="54929B96">
            <w:pPr>
              <w:pStyle w:val="31"/>
              <w:widowControl w:val="0"/>
              <w:bidi w:val="0"/>
              <w:rPr>
                <w:color w:val="auto"/>
                <w:lang w:eastAsia="zh-CN"/>
              </w:rPr>
            </w:pPr>
            <w:r>
              <w:rPr>
                <w:color w:val="auto"/>
                <w:lang w:eastAsia="zh-CN"/>
              </w:rPr>
              <w:t>渣土和建筑垃圾的随意倾倒和处置不当，会导致浅层地下水受到污染</w:t>
            </w:r>
          </w:p>
        </w:tc>
        <w:tc>
          <w:tcPr>
            <w:tcW w:w="616" w:type="pct"/>
            <w:vAlign w:val="center"/>
          </w:tcPr>
          <w:p w14:paraId="1D37A91E">
            <w:pPr>
              <w:pStyle w:val="31"/>
              <w:widowControl w:val="0"/>
              <w:bidi w:val="0"/>
              <w:rPr>
                <w:color w:val="auto"/>
                <w:lang w:eastAsia="en-US"/>
              </w:rPr>
            </w:pPr>
            <w:r>
              <w:rPr>
                <w:color w:val="auto"/>
                <w:lang w:eastAsia="en-US"/>
              </w:rPr>
              <w:t>pH、高锰酸盐指数</w:t>
            </w:r>
          </w:p>
        </w:tc>
        <w:tc>
          <w:tcPr>
            <w:tcW w:w="2684" w:type="pct"/>
            <w:vAlign w:val="center"/>
          </w:tcPr>
          <w:p w14:paraId="3F734737">
            <w:pPr>
              <w:pStyle w:val="31"/>
              <w:widowControl w:val="0"/>
              <w:bidi w:val="0"/>
              <w:rPr>
                <w:color w:val="auto"/>
                <w:lang w:eastAsia="zh-CN"/>
              </w:rPr>
            </w:pPr>
            <w:r>
              <w:rPr>
                <w:color w:val="auto"/>
                <w:lang w:eastAsia="zh-CN"/>
              </w:rPr>
              <w:t>施工渣土和建筑垃圾所含污染物浓度较低，且定期清运综合利用，不会对区域地下水环境产生明显污染</w:t>
            </w:r>
          </w:p>
        </w:tc>
      </w:tr>
    </w:tbl>
    <w:p w14:paraId="3FAF8BEF">
      <w:pPr>
        <w:bidi w:val="0"/>
        <w:rPr>
          <w:rFonts w:hint="eastAsia"/>
          <w:color w:val="auto"/>
          <w:lang w:val="zh-CN" w:eastAsia="zh-CN"/>
        </w:rPr>
      </w:pPr>
      <w:r>
        <w:rPr>
          <w:color w:val="auto"/>
        </w:rPr>
        <w:t>由上可知，只要加强对施工期施工废水、施工渣土和建筑垃圾的合理处理和处置，施工期污染物不会对区域地下水环境产生明显影响。</w:t>
      </w:r>
    </w:p>
    <w:p w14:paraId="77C9F4A6">
      <w:pPr>
        <w:pStyle w:val="4"/>
        <w:bidi w:val="0"/>
        <w:rPr>
          <w:color w:val="auto"/>
        </w:rPr>
      </w:pPr>
      <w:bookmarkStart w:id="184" w:name="_Toc11072"/>
      <w:r>
        <w:rPr>
          <w:color w:val="auto"/>
        </w:rPr>
        <w:t>施工期生态环境影响</w:t>
      </w:r>
      <w:r>
        <w:rPr>
          <w:rFonts w:hint="eastAsia"/>
          <w:color w:val="auto"/>
          <w:lang w:val="en-US" w:eastAsia="zh-CN"/>
        </w:rPr>
        <w:t>与评价</w:t>
      </w:r>
      <w:bookmarkEnd w:id="184"/>
    </w:p>
    <w:p w14:paraId="40A40715">
      <w:pPr>
        <w:pStyle w:val="5"/>
        <w:bidi w:val="0"/>
        <w:rPr>
          <w:rFonts w:hint="default"/>
          <w:color w:val="auto"/>
        </w:rPr>
      </w:pPr>
      <w:r>
        <w:rPr>
          <w:rFonts w:hint="default"/>
          <w:color w:val="auto"/>
        </w:rPr>
        <w:t>施工期对</w:t>
      </w:r>
      <w:r>
        <w:rPr>
          <w:rFonts w:hint="default"/>
          <w:color w:val="auto"/>
          <w:lang w:val="en-US" w:eastAsia="zh-CN"/>
        </w:rPr>
        <w:t>植物</w:t>
      </w:r>
      <w:r>
        <w:rPr>
          <w:rFonts w:hint="default"/>
          <w:color w:val="auto"/>
        </w:rPr>
        <w:t>的影响分析</w:t>
      </w:r>
    </w:p>
    <w:p w14:paraId="0BD4ABF1">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经现场勘查与调查，评价范围</w:t>
      </w:r>
      <w:r>
        <w:rPr>
          <w:rFonts w:hint="default" w:ascii="Times New Roman" w:hAnsi="Times New Roman" w:cs="Times New Roman"/>
          <w:color w:val="auto"/>
          <w:sz w:val="24"/>
          <w:szCs w:val="24"/>
          <w:lang w:val="en-US" w:eastAsia="zh-CN"/>
        </w:rPr>
        <w:t>未发现</w:t>
      </w:r>
      <w:r>
        <w:rPr>
          <w:rFonts w:hint="default" w:ascii="Times New Roman" w:hAnsi="Times New Roman" w:cs="Times New Roman"/>
          <w:color w:val="auto"/>
          <w:sz w:val="24"/>
          <w:szCs w:val="24"/>
        </w:rPr>
        <w:t>有列入国家级、省级重点保护野生植物及古树名木。但受到环评调查时间和条件的限制，仍不排除在施工过程中发现重点保护野生植物及古树名木，施工过程中施工方若有发现应停止施工，保护好现场，通知</w:t>
      </w:r>
      <w:r>
        <w:rPr>
          <w:rFonts w:hint="default" w:ascii="Times New Roman" w:hAnsi="Times New Roman" w:cs="Times New Roman"/>
          <w:color w:val="auto"/>
          <w:sz w:val="24"/>
          <w:szCs w:val="24"/>
          <w:lang w:val="en-US" w:eastAsia="zh-CN"/>
        </w:rPr>
        <w:t>林业部门，根据林业部门要求采取</w:t>
      </w:r>
      <w:r>
        <w:rPr>
          <w:rFonts w:hint="default" w:ascii="Times New Roman" w:hAnsi="Times New Roman" w:cs="Times New Roman"/>
          <w:color w:val="auto"/>
          <w:sz w:val="24"/>
          <w:szCs w:val="24"/>
        </w:rPr>
        <w:t>合理的</w:t>
      </w:r>
      <w:r>
        <w:rPr>
          <w:rFonts w:hint="default" w:ascii="Times New Roman" w:hAnsi="Times New Roman" w:cs="Times New Roman"/>
          <w:color w:val="auto"/>
          <w:sz w:val="24"/>
          <w:szCs w:val="24"/>
          <w:lang w:val="en-US" w:eastAsia="zh-CN"/>
        </w:rPr>
        <w:t>保护</w:t>
      </w:r>
      <w:r>
        <w:rPr>
          <w:rFonts w:hint="default" w:ascii="Times New Roman" w:hAnsi="Times New Roman" w:cs="Times New Roman"/>
          <w:color w:val="auto"/>
          <w:sz w:val="24"/>
          <w:szCs w:val="24"/>
        </w:rPr>
        <w:t>措施。</w:t>
      </w:r>
    </w:p>
    <w:p w14:paraId="201EDF01">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1、</w:t>
      </w:r>
      <w:r>
        <w:rPr>
          <w:rFonts w:hint="default" w:ascii="Times New Roman" w:hAnsi="Times New Roman" w:cs="Times New Roman"/>
          <w:color w:val="auto"/>
          <w:sz w:val="24"/>
          <w:szCs w:val="24"/>
        </w:rPr>
        <w:t>施工占地对植物的影响</w:t>
      </w:r>
    </w:p>
    <w:p w14:paraId="54A35079">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w:t>
      </w:r>
      <w:r>
        <w:rPr>
          <w:rFonts w:hint="eastAsia" w:cs="Times New Roman"/>
          <w:color w:val="auto"/>
          <w:sz w:val="24"/>
          <w:szCs w:val="24"/>
          <w:lang w:val="en-US" w:eastAsia="zh-CN"/>
        </w:rPr>
        <w:t>1</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临时占地对陆生植物的影响</w:t>
      </w:r>
    </w:p>
    <w:p w14:paraId="745837BF">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建设项目</w:t>
      </w:r>
      <w:r>
        <w:rPr>
          <w:rFonts w:hint="default" w:ascii="Times New Roman" w:hAnsi="Times New Roman" w:cs="Times New Roman"/>
          <w:color w:val="auto"/>
          <w:sz w:val="24"/>
          <w:szCs w:val="24"/>
        </w:rPr>
        <w:t>临时占地区植被类型</w:t>
      </w:r>
      <w:r>
        <w:rPr>
          <w:rFonts w:hint="default" w:ascii="Times New Roman" w:hAnsi="Times New Roman" w:cs="Times New Roman"/>
          <w:color w:val="auto"/>
          <w:sz w:val="24"/>
          <w:szCs w:val="24"/>
          <w:lang w:val="en-US" w:eastAsia="zh-CN"/>
        </w:rPr>
        <w:t>主要为</w:t>
      </w:r>
      <w:r>
        <w:rPr>
          <w:rFonts w:hint="default" w:ascii="Times New Roman" w:hAnsi="Times New Roman" w:cs="Times New Roman"/>
          <w:color w:val="auto"/>
          <w:sz w:val="24"/>
          <w:szCs w:val="24"/>
        </w:rPr>
        <w:t>乔木林、灌丛、草丛、农作物。受工程临时占地影响的植物及植被在评价区均广泛分布，不存在因局部植物物种损失而导致评价区内植物物种多样性减少或种群消失或灭绝。</w:t>
      </w:r>
    </w:p>
    <w:p w14:paraId="56AD5B11">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工程施工的临时占地部分，随着施工结束，工程影响会逐渐消失，并在施工结束后及时进行土地平整、复耕、植被恢复，可能使得临时占地区植物种类多样性、植被类型均有所增加，将使区域内植被覆盖率形成一种动态形式的平衡。</w:t>
      </w:r>
    </w:p>
    <w:p w14:paraId="1117BAA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生物量影响分析</w:t>
      </w:r>
    </w:p>
    <w:p w14:paraId="36052400">
      <w:pPr>
        <w:bidi w:val="0"/>
        <w:rPr>
          <w:color w:val="auto"/>
        </w:rPr>
      </w:pPr>
      <w:r>
        <w:rPr>
          <w:color w:val="auto"/>
        </w:rPr>
        <w:t>根据实地调查并结合卫星遥感影像上可以看出，本工程沿线以</w:t>
      </w:r>
      <w:r>
        <w:rPr>
          <w:rFonts w:hint="eastAsia"/>
          <w:color w:val="auto"/>
          <w:lang w:val="en-US" w:eastAsia="zh-CN"/>
        </w:rPr>
        <w:t>森林</w:t>
      </w:r>
      <w:r>
        <w:rPr>
          <w:color w:val="auto"/>
        </w:rPr>
        <w:t>类型为主。本工程占地包括部分</w:t>
      </w:r>
      <w:r>
        <w:rPr>
          <w:rFonts w:hint="eastAsia"/>
          <w:color w:val="auto"/>
          <w:lang w:val="en-US" w:eastAsia="zh-CN"/>
        </w:rPr>
        <w:t>水域及水利设施用地</w:t>
      </w:r>
      <w:r>
        <w:rPr>
          <w:color w:val="auto"/>
        </w:rPr>
        <w:t>、草地、林地等。这些土地一旦被占用，其覆盖的植被将遭到破坏，这会直接导致物种的损失。根据现场调查结果，占地范围内的主要乔木为栽培的人工林，林下灌木层较少，有少量的草本植物分布。</w:t>
      </w:r>
    </w:p>
    <w:p w14:paraId="3E00E2DA">
      <w:pPr>
        <w:bidi w:val="0"/>
        <w:rPr>
          <w:color w:val="auto"/>
        </w:rPr>
      </w:pPr>
      <w:r>
        <w:rPr>
          <w:color w:val="auto"/>
        </w:rPr>
        <w:t>本工程施工期临时占地导致的植被损失都是当地普通的、周边常见的植物，未发现特有种，因此，项目的建设对区域植物多样性的影响甚微。施工结束后，项目区的植被的恢复，可逐渐弥补植物的损失。</w:t>
      </w:r>
    </w:p>
    <w:p w14:paraId="1339DA6B">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施工活动对陆生植物的影响</w:t>
      </w:r>
    </w:p>
    <w:p w14:paraId="467B7092">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施工活动对评价区陆生植物的影响因素主要有：施工期人为的踩踏、施工活动产生的粉尘等。</w:t>
      </w:r>
    </w:p>
    <w:p w14:paraId="22269A34">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1</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人为踩踏对陆生植物的影响</w:t>
      </w:r>
    </w:p>
    <w:p w14:paraId="183228C4">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人为踩踏会直接导致植物死亡，导致植物数量减少，但施工期严格划定施工范围红线，并且规范施工人员的行为，人为踩踏的情况则是可以避免的，人为踩踏对植物的影响也是可以消除的。另外工程区域为农耕区，植被本就受到人为干扰较大，区域植物抗干扰性和适应性强，因此认为践踏对陆生植物的影响较小。</w:t>
      </w:r>
    </w:p>
    <w:p w14:paraId="5975EC7D">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扬尘对陆生植物的影响</w:t>
      </w:r>
    </w:p>
    <w:p w14:paraId="1DA13320">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扬尘主要来源于开辟施工便道，土石方调配，建筑物施工，直至工程竣工后场地清理、恢复等诸多工程，其中以运输车辆引起的二次扬尘影响时间最长，对周围植物及植被影响最严重。扬尘粗颗粒随风飘落到附近地面或植物叶、茎、花表面，会使其生命活动受到一定影响。由于评价区区域内空气湿度相对较大，扬尘扩散范围相对较小，再加上施工期如能采取洒水抑尘等措施，可有效减轻扬尘对周围植物及植被的影响。</w:t>
      </w:r>
    </w:p>
    <w:p w14:paraId="26F1CEE5">
      <w:pPr>
        <w:keepNext w:val="0"/>
        <w:keepLines w:val="0"/>
        <w:pageBreakBefore w:val="0"/>
        <w:widowControl w:val="0"/>
        <w:kinsoku/>
        <w:wordWrap/>
        <w:overflowPunct/>
        <w:topLinePunct/>
        <w:autoSpaceDE w:val="0"/>
        <w:autoSpaceDN/>
        <w:bidi w:val="0"/>
        <w:adjustRightInd w:val="0"/>
        <w:snapToGrid w:val="0"/>
        <w:ind w:left="0" w:leftChars="0" w:firstLine="0" w:firstLineChars="0"/>
        <w:textAlignment w:val="auto"/>
        <w:outlineLvl w:val="3"/>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5.1.5.2施工期对动物的影响分析</w:t>
      </w:r>
    </w:p>
    <w:p w14:paraId="174A53F2">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项目对陆生动物的影响主要包括</w:t>
      </w:r>
      <w:r>
        <w:rPr>
          <w:rFonts w:hint="eastAsia" w:cs="Times New Roman"/>
          <w:color w:val="auto"/>
          <w:sz w:val="24"/>
          <w:szCs w:val="24"/>
          <w:lang w:val="en-US" w:eastAsia="zh-CN"/>
        </w:rPr>
        <w:t>抛泥区、临时道路及弃土区</w:t>
      </w:r>
      <w:r>
        <w:rPr>
          <w:rFonts w:hint="default" w:ascii="Times New Roman" w:hAnsi="Times New Roman" w:cs="Times New Roman"/>
          <w:color w:val="auto"/>
          <w:sz w:val="24"/>
          <w:szCs w:val="24"/>
          <w:lang w:val="en-US" w:eastAsia="zh-CN"/>
        </w:rPr>
        <w:t>等</w:t>
      </w:r>
      <w:r>
        <w:rPr>
          <w:rFonts w:hint="eastAsia" w:cs="Times New Roman"/>
          <w:color w:val="auto"/>
          <w:sz w:val="24"/>
          <w:szCs w:val="24"/>
          <w:lang w:val="en-US" w:eastAsia="zh-CN"/>
        </w:rPr>
        <w:t>临时</w:t>
      </w:r>
      <w:r>
        <w:rPr>
          <w:rFonts w:hint="default" w:ascii="Times New Roman" w:hAnsi="Times New Roman" w:cs="Times New Roman"/>
          <w:color w:val="auto"/>
          <w:sz w:val="24"/>
          <w:szCs w:val="24"/>
        </w:rPr>
        <w:t>占地对其生境的占用和破坏；施工噪音、施工人员活动以及夜间光照等对</w:t>
      </w:r>
      <w:r>
        <w:rPr>
          <w:rFonts w:hint="default" w:ascii="Times New Roman" w:hAnsi="Times New Roman" w:cs="Times New Roman"/>
          <w:color w:val="auto"/>
          <w:sz w:val="24"/>
          <w:szCs w:val="24"/>
          <w:lang w:val="en-US" w:eastAsia="zh-CN"/>
        </w:rPr>
        <w:t>野生动物尤其保护野生</w:t>
      </w:r>
      <w:r>
        <w:rPr>
          <w:rFonts w:hint="default" w:ascii="Times New Roman" w:hAnsi="Times New Roman" w:cs="Times New Roman"/>
          <w:color w:val="auto"/>
          <w:sz w:val="24"/>
          <w:szCs w:val="24"/>
        </w:rPr>
        <w:t>动物栖息、觅食、求偶繁殖等行为的影响；施工污染物，如废水、弃渣、废弃建筑材料等会在不同程度上对</w:t>
      </w:r>
      <w:r>
        <w:rPr>
          <w:rFonts w:hint="default" w:ascii="Times New Roman" w:hAnsi="Times New Roman" w:cs="Times New Roman"/>
          <w:color w:val="auto"/>
          <w:sz w:val="24"/>
          <w:szCs w:val="24"/>
          <w:lang w:val="en-US" w:eastAsia="zh-CN"/>
        </w:rPr>
        <w:t>野生</w:t>
      </w:r>
      <w:r>
        <w:rPr>
          <w:rFonts w:hint="default" w:ascii="Times New Roman" w:hAnsi="Times New Roman" w:cs="Times New Roman"/>
          <w:color w:val="auto"/>
          <w:sz w:val="24"/>
          <w:szCs w:val="24"/>
        </w:rPr>
        <w:t>动物</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保护野生动物</w:t>
      </w:r>
      <w:r>
        <w:rPr>
          <w:rFonts w:hint="default" w:ascii="Times New Roman" w:hAnsi="Times New Roman" w:cs="Times New Roman"/>
          <w:color w:val="auto"/>
          <w:sz w:val="24"/>
          <w:szCs w:val="24"/>
        </w:rPr>
        <w:t>生境产生一定影响。</w:t>
      </w:r>
    </w:p>
    <w:p w14:paraId="58B4D7FB">
      <w:pPr>
        <w:keepNext w:val="0"/>
        <w:keepLines w:val="0"/>
        <w:pageBreakBefore w:val="0"/>
        <w:widowControl w:val="0"/>
        <w:kinsoku/>
        <w:wordWrap/>
        <w:overflowPunct/>
        <w:topLinePunct/>
        <w:autoSpaceDE w:val="0"/>
        <w:autoSpaceDN/>
        <w:bidi w:val="0"/>
        <w:adjustRightInd w:val="0"/>
        <w:snapToGrid w:val="0"/>
        <w:ind w:left="0" w:leftChars="0" w:firstLine="482" w:firstLineChars="200"/>
        <w:textAlignment w:val="auto"/>
        <w:rPr>
          <w:rFonts w:hint="default" w:ascii="Times New Roman" w:hAnsi="Times New Roman" w:cs="Times New Roman"/>
          <w:bCs/>
          <w:color w:val="auto"/>
          <w:sz w:val="24"/>
          <w:szCs w:val="24"/>
        </w:rPr>
      </w:pP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lang w:val="en-US" w:eastAsia="zh-CN"/>
        </w:rPr>
        <w:t>1</w:t>
      </w: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rPr>
        <w:t>工程占地对动物的影响</w:t>
      </w:r>
    </w:p>
    <w:p w14:paraId="047ABD85">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项目占地区常见的野生动物主要为鸟类和小型哺乳类。工程占地会缩小野生动物</w:t>
      </w:r>
      <w:r>
        <w:rPr>
          <w:rFonts w:hint="default" w:ascii="Times New Roman" w:hAnsi="Times New Roman" w:cs="Times New Roman"/>
          <w:bCs/>
          <w:color w:val="auto"/>
          <w:sz w:val="24"/>
          <w:szCs w:val="24"/>
          <w:lang w:val="en-US" w:eastAsia="zh-CN"/>
        </w:rPr>
        <w:t>尤其保护野生动物</w:t>
      </w:r>
      <w:r>
        <w:rPr>
          <w:rFonts w:hint="default" w:ascii="Times New Roman" w:hAnsi="Times New Roman" w:cs="Times New Roman"/>
          <w:bCs/>
          <w:color w:val="auto"/>
          <w:sz w:val="24"/>
          <w:szCs w:val="24"/>
        </w:rPr>
        <w:t>的栖息空间，限制部分陆生动物的活动区域、觅食范围等，从而对陆生动物的生存产生一定的影响。</w:t>
      </w:r>
    </w:p>
    <w:p w14:paraId="0263BFC8">
      <w:pPr>
        <w:keepNext w:val="0"/>
        <w:keepLines w:val="0"/>
        <w:pageBreakBefore w:val="0"/>
        <w:widowControl w:val="0"/>
        <w:kinsoku/>
        <w:wordWrap/>
        <w:overflowPunct/>
        <w:topLinePunct/>
        <w:autoSpaceDE w:val="0"/>
        <w:autoSpaceDN/>
        <w:bidi w:val="0"/>
        <w:adjustRightInd w:val="0"/>
        <w:snapToGrid w:val="0"/>
        <w:ind w:left="0" w:leftChars="0" w:firstLine="482" w:firstLineChars="20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①施工道路占地对野生动物的影响</w:t>
      </w:r>
    </w:p>
    <w:p w14:paraId="0F074D30">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施工道路的建设在施工期对野生动物的影响主要有：生境丧失及生境片段化和活动阻隔的影响。</w:t>
      </w:r>
    </w:p>
    <w:p w14:paraId="6FEFDD7F">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lang w:val="en-US" w:eastAsia="zh-CN"/>
        </w:rPr>
        <w:t>A、</w:t>
      </w:r>
      <w:r>
        <w:rPr>
          <w:rFonts w:hint="default" w:ascii="Times New Roman" w:hAnsi="Times New Roman" w:cs="Times New Roman"/>
          <w:bCs/>
          <w:color w:val="auto"/>
          <w:sz w:val="24"/>
          <w:szCs w:val="24"/>
        </w:rPr>
        <w:t>生境丧失及生境片段化对野生动物的影响</w:t>
      </w:r>
    </w:p>
    <w:p w14:paraId="7D9FB6AA">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施工道路的占地伴随着野生动物生境的丧失，野生动物被迫寻找新的生活环境，加剧种间竞争，对其生存造成一定压力；建成的道路分割野生动物的生境，使其被限制在相对狭窄的区域，或者进入新的生境，为他们寻找食物资源带来影响，片段化的生境，使其觅食范围、活动区域减少，对其栖息、觅食、求偶繁殖等有一定的影响。</w:t>
      </w:r>
    </w:p>
    <w:p w14:paraId="5021DE36">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lang w:val="en-US" w:eastAsia="zh-CN"/>
        </w:rPr>
        <w:t>B、</w:t>
      </w:r>
      <w:r>
        <w:rPr>
          <w:rFonts w:hint="default" w:ascii="Times New Roman" w:hAnsi="Times New Roman" w:cs="Times New Roman"/>
          <w:bCs/>
          <w:color w:val="auto"/>
          <w:sz w:val="24"/>
          <w:szCs w:val="24"/>
        </w:rPr>
        <w:t>对野生动物活动的阻隔影响</w:t>
      </w:r>
    </w:p>
    <w:p w14:paraId="26EE6D4F">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场内道路路面采用碎石路面结构</w:t>
      </w:r>
      <w:r>
        <w:rPr>
          <w:rFonts w:hint="eastAsia" w:cs="Times New Roman"/>
          <w:bCs/>
          <w:color w:val="auto"/>
          <w:sz w:val="24"/>
          <w:szCs w:val="24"/>
          <w:lang w:eastAsia="zh-CN"/>
        </w:rPr>
        <w:t>，</w:t>
      </w:r>
      <w:r>
        <w:rPr>
          <w:rFonts w:hint="default" w:ascii="Times New Roman" w:hAnsi="Times New Roman" w:cs="Times New Roman"/>
          <w:bCs/>
          <w:color w:val="auto"/>
          <w:sz w:val="24"/>
          <w:szCs w:val="24"/>
        </w:rPr>
        <w:t>施工结束后，可以通过一定的恢复补偿措施，使两边动物类群恢复原有种群数量及密度，且施工道路路面为泥结碎石，施工结束后通行车辆较少，一些草本植被可以自然生长，因此施工道路占地造成的动物生境丧失及生境片断化、道路的阻隔作用对两栖动物、爬行动物及哺乳动物的影响不大。</w:t>
      </w:r>
    </w:p>
    <w:p w14:paraId="0F62F265">
      <w:pPr>
        <w:keepNext w:val="0"/>
        <w:keepLines w:val="0"/>
        <w:pageBreakBefore w:val="0"/>
        <w:widowControl w:val="0"/>
        <w:kinsoku/>
        <w:wordWrap/>
        <w:overflowPunct/>
        <w:topLinePunct/>
        <w:autoSpaceDE w:val="0"/>
        <w:autoSpaceDN/>
        <w:bidi w:val="0"/>
        <w:adjustRightInd w:val="0"/>
        <w:snapToGrid w:val="0"/>
        <w:ind w:left="0" w:leftChars="0" w:firstLine="482"/>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②占地对野生动物的影响</w:t>
      </w:r>
    </w:p>
    <w:p w14:paraId="1A93BDBA">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本工程评价区常见的陆生野生动物主要为鸟类及小型哺乳动物等常见种。工程占地的影响主要是</w:t>
      </w:r>
      <w:r>
        <w:rPr>
          <w:rFonts w:hint="eastAsia" w:cs="Times New Roman"/>
          <w:color w:val="auto"/>
          <w:sz w:val="24"/>
          <w:szCs w:val="24"/>
          <w:lang w:val="en-US" w:eastAsia="zh-CN"/>
        </w:rPr>
        <w:t>抛泥区、临时道路及弃土区</w:t>
      </w:r>
      <w:r>
        <w:rPr>
          <w:rFonts w:hint="default" w:ascii="Times New Roman" w:hAnsi="Times New Roman" w:cs="Times New Roman"/>
          <w:bCs/>
          <w:color w:val="auto"/>
          <w:sz w:val="24"/>
          <w:szCs w:val="24"/>
        </w:rPr>
        <w:t>等占用动物生境；开挖以及施工人员活动对动物的干扰等，这些干扰将一定程度上占用破坏野生动物的生境，缩小野生动物的栖息环境，限制部分陆生野生动物的活动区域、觅食范围等，从而对陆生野生动物的生存产生一定的影响。</w:t>
      </w:r>
    </w:p>
    <w:p w14:paraId="15FC4687">
      <w:pPr>
        <w:keepNext w:val="0"/>
        <w:keepLines w:val="0"/>
        <w:pageBreakBefore w:val="0"/>
        <w:widowControl w:val="0"/>
        <w:kinsoku/>
        <w:wordWrap/>
        <w:overflowPunct/>
        <w:topLinePunct/>
        <w:autoSpaceDE w:val="0"/>
        <w:autoSpaceDN/>
        <w:bidi w:val="0"/>
        <w:adjustRightInd w:val="0"/>
        <w:snapToGrid w:val="0"/>
        <w:ind w:left="0" w:leftChars="0" w:firstLine="482" w:firstLineChars="20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rPr>
        <w:t>施工噪音对动物的影响</w:t>
      </w:r>
    </w:p>
    <w:p w14:paraId="5FDC18F6">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施工期施工机械发出的噪音或材料运输车辆噪声等会使施工区域附近的野生动物受到惊吓，致使其占时远离施工区。但由于动物均具有迁移能力，特别是鸟类和哺乳动物的迁移能力很强，且施工区域附近生境都比较相似，野生动物可暂时由原来的生境转移到远离施工区域的相似生境生活。此外，工程施工时间短、风机设置点分散，这些不利影响会将随施工的结束而逐渐消失。因此，施工噪音对动物的影响有限。</w:t>
      </w:r>
    </w:p>
    <w:p w14:paraId="142018EF">
      <w:pPr>
        <w:keepNext w:val="0"/>
        <w:keepLines w:val="0"/>
        <w:pageBreakBefore w:val="0"/>
        <w:widowControl w:val="0"/>
        <w:kinsoku/>
        <w:wordWrap/>
        <w:overflowPunct/>
        <w:topLinePunct/>
        <w:autoSpaceDE w:val="0"/>
        <w:autoSpaceDN/>
        <w:bidi w:val="0"/>
        <w:adjustRightInd w:val="0"/>
        <w:snapToGrid w:val="0"/>
        <w:ind w:left="0" w:leftChars="0" w:firstLine="482" w:firstLineChars="20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lang w:val="en-US" w:eastAsia="zh-CN"/>
        </w:rPr>
        <w:t>3</w:t>
      </w: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rPr>
        <w:t>施工污染物对动物的影响</w:t>
      </w:r>
    </w:p>
    <w:p w14:paraId="7418BE41">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项目在施工期间产生的污染物主要有污水、废气和固体废物等。其中水污染源主要分为</w:t>
      </w:r>
      <w:r>
        <w:rPr>
          <w:rFonts w:hint="default" w:ascii="Times New Roman" w:hAnsi="Times New Roman" w:cs="Times New Roman"/>
          <w:bCs/>
          <w:color w:val="auto"/>
          <w:sz w:val="24"/>
          <w:szCs w:val="24"/>
          <w:lang w:val="en-US" w:eastAsia="zh-CN"/>
        </w:rPr>
        <w:t>施工</w:t>
      </w:r>
      <w:r>
        <w:rPr>
          <w:rFonts w:hint="default" w:ascii="Times New Roman" w:hAnsi="Times New Roman" w:cs="Times New Roman"/>
          <w:bCs/>
          <w:color w:val="auto"/>
          <w:sz w:val="24"/>
          <w:szCs w:val="24"/>
        </w:rPr>
        <w:t>废水和生活污水，经处理后不外排，基本不会对动物的栖息</w:t>
      </w:r>
      <w:r>
        <w:rPr>
          <w:rFonts w:hint="default" w:ascii="Times New Roman" w:hAnsi="Times New Roman" w:cs="Times New Roman"/>
          <w:bCs/>
          <w:color w:val="auto"/>
          <w:sz w:val="24"/>
          <w:szCs w:val="24"/>
          <w:lang w:val="en-US" w:eastAsia="zh-CN"/>
        </w:rPr>
        <w:t>地等生境</w:t>
      </w:r>
      <w:r>
        <w:rPr>
          <w:rFonts w:hint="default" w:ascii="Times New Roman" w:hAnsi="Times New Roman" w:cs="Times New Roman"/>
          <w:bCs/>
          <w:color w:val="auto"/>
          <w:sz w:val="24"/>
          <w:szCs w:val="24"/>
        </w:rPr>
        <w:t>产生污染。</w:t>
      </w:r>
    </w:p>
    <w:p w14:paraId="6CB9DBE4">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施工期大气污染物主要为扬尘以及施工机械、运输车辆排放的烟气。由于项目施工区域较为分散，易于扩散，废气产生量较少，基本不会对该地区动物产生影响。</w:t>
      </w:r>
    </w:p>
    <w:p w14:paraId="2A02A1AF">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除此之外，施工期间将产生固体废物，主要为土石方、建筑垃圾和生活垃圾。土石方在本项目内平衡，无弃方。建筑垃圾分类利用，生活垃圾集中收集后定期清运至附近城镇生活垃圾收集点。</w:t>
      </w:r>
    </w:p>
    <w:p w14:paraId="0CF47E6E">
      <w:pPr>
        <w:keepNext w:val="0"/>
        <w:keepLines w:val="0"/>
        <w:pageBreakBefore w:val="0"/>
        <w:widowControl w:val="0"/>
        <w:kinsoku/>
        <w:wordWrap/>
        <w:overflowPunct/>
        <w:topLinePunct/>
        <w:autoSpaceDE w:val="0"/>
        <w:autoSpaceDN/>
        <w:bidi w:val="0"/>
        <w:adjustRightInd w:val="0"/>
        <w:snapToGrid w:val="0"/>
        <w:ind w:left="0" w:leftChars="0" w:firstLine="480"/>
        <w:rPr>
          <w:rFonts w:hint="default" w:ascii="Times New Roman" w:hAnsi="Times New Roman" w:cs="Times New Roman"/>
          <w:color w:val="auto"/>
          <w:sz w:val="24"/>
          <w:szCs w:val="24"/>
        </w:rPr>
      </w:pPr>
      <w:r>
        <w:rPr>
          <w:rFonts w:hint="default" w:ascii="Times New Roman" w:hAnsi="Times New Roman" w:cs="Times New Roman"/>
          <w:bCs/>
          <w:color w:val="auto"/>
          <w:sz w:val="24"/>
          <w:szCs w:val="24"/>
        </w:rPr>
        <w:t>在采取上述有效处理措施的情况下，可以减小对动物的影响</w:t>
      </w:r>
      <w:r>
        <w:rPr>
          <w:rFonts w:hint="default" w:ascii="Times New Roman" w:hAnsi="Times New Roman" w:cs="Times New Roman"/>
          <w:color w:val="auto"/>
          <w:sz w:val="24"/>
          <w:szCs w:val="24"/>
        </w:rPr>
        <w:t>。</w:t>
      </w:r>
    </w:p>
    <w:p w14:paraId="5A9442E2">
      <w:pPr>
        <w:keepNext w:val="0"/>
        <w:keepLines w:val="0"/>
        <w:pageBreakBefore w:val="0"/>
        <w:widowControl w:val="0"/>
        <w:kinsoku/>
        <w:wordWrap/>
        <w:overflowPunct/>
        <w:topLinePunct/>
        <w:autoSpaceDE w:val="0"/>
        <w:autoSpaceDN/>
        <w:bidi w:val="0"/>
        <w:adjustRightInd w:val="0"/>
        <w:snapToGrid w:val="0"/>
        <w:ind w:left="0" w:leftChars="0" w:firstLine="0" w:firstLineChars="0"/>
        <w:textAlignment w:val="auto"/>
        <w:outlineLvl w:val="3"/>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5.1.5.5施工期水土流失影响分析</w:t>
      </w:r>
    </w:p>
    <w:p w14:paraId="49609A6B">
      <w:pPr>
        <w:keepNext w:val="0"/>
        <w:keepLines w:val="0"/>
        <w:pageBreakBefore w:val="0"/>
        <w:widowControl w:val="0"/>
        <w:kinsoku/>
        <w:wordWrap/>
        <w:overflowPunct/>
        <w:topLinePunct/>
        <w:autoSpaceDE w:val="0"/>
        <w:autoSpaceDN/>
        <w:bidi w:val="0"/>
        <w:adjustRightInd w:val="0"/>
        <w:snapToGrid w:val="0"/>
        <w:spacing w:line="360" w:lineRule="auto"/>
        <w:ind w:left="0" w:leftChars="0" w:firstLine="48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根据《秋浦河航道整治工程5号、6号抛泥区抛泥清除恢复项目水土保持方案报告》可知，工程建设过程中如不采取有效的水土保持措施，施工期水土流失比较严重，特别是场内道路区</w:t>
      </w:r>
      <w:r>
        <w:rPr>
          <w:rFonts w:hint="eastAsia" w:cs="Times New Roman"/>
          <w:color w:val="auto"/>
          <w:sz w:val="24"/>
          <w:szCs w:val="24"/>
          <w:lang w:eastAsia="zh-CN"/>
        </w:rPr>
        <w:t>、</w:t>
      </w:r>
      <w:r>
        <w:rPr>
          <w:rFonts w:hint="eastAsia" w:cs="Times New Roman"/>
          <w:color w:val="auto"/>
          <w:sz w:val="24"/>
          <w:szCs w:val="24"/>
          <w:lang w:val="en-US" w:eastAsia="zh-CN"/>
        </w:rPr>
        <w:t>抛泥区及弃土区</w:t>
      </w:r>
      <w:r>
        <w:rPr>
          <w:rFonts w:hint="default" w:ascii="Times New Roman" w:hAnsi="Times New Roman" w:cs="Times New Roman"/>
          <w:color w:val="auto"/>
          <w:sz w:val="24"/>
          <w:szCs w:val="24"/>
        </w:rPr>
        <w:t>，由于施工过程中扰动面积大，场地平整及</w:t>
      </w:r>
      <w:r>
        <w:rPr>
          <w:rFonts w:hint="eastAsia" w:cs="Times New Roman"/>
          <w:color w:val="auto"/>
          <w:sz w:val="24"/>
          <w:szCs w:val="24"/>
          <w:lang w:val="en-US" w:eastAsia="zh-CN"/>
        </w:rPr>
        <w:t>开挖</w:t>
      </w:r>
      <w:r>
        <w:rPr>
          <w:rFonts w:hint="default" w:ascii="Times New Roman" w:hAnsi="Times New Roman" w:cs="Times New Roman"/>
          <w:color w:val="auto"/>
          <w:sz w:val="24"/>
          <w:szCs w:val="24"/>
        </w:rPr>
        <w:t>过程中存在大量土石方挖填，因此，该区域可能造成的水土流失量较大，工程建设过程中应进行重点防护。施工结束后，各项水土保持措施均已完成，水土保持功能开始发挥，工程建设导致的水土流失将得到有效控制。</w:t>
      </w:r>
    </w:p>
    <w:p w14:paraId="016DBB3E">
      <w:pPr>
        <w:keepNext w:val="0"/>
        <w:keepLines w:val="0"/>
        <w:pageBreakBefore w:val="0"/>
        <w:widowControl w:val="0"/>
        <w:kinsoku/>
        <w:wordWrap/>
        <w:overflowPunct/>
        <w:topLinePunct/>
        <w:autoSpaceDE w:val="0"/>
        <w:autoSpaceDN/>
        <w:bidi w:val="0"/>
        <w:adjustRightInd w:val="0"/>
        <w:snapToGrid w:val="0"/>
        <w:spacing w:line="360" w:lineRule="auto"/>
        <w:ind w:left="0" w:leftChars="0" w:firstLine="48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本工程建设过程中的水土流失主要产生于施工期，水土流失最为严重的区域主要为场内道路区</w:t>
      </w:r>
      <w:r>
        <w:rPr>
          <w:rFonts w:hint="eastAsia" w:cs="Times New Roman"/>
          <w:color w:val="auto"/>
          <w:sz w:val="24"/>
          <w:szCs w:val="24"/>
          <w:lang w:eastAsia="zh-CN"/>
        </w:rPr>
        <w:t>、</w:t>
      </w:r>
      <w:r>
        <w:rPr>
          <w:rFonts w:hint="eastAsia" w:cs="Times New Roman"/>
          <w:color w:val="auto"/>
          <w:sz w:val="24"/>
          <w:szCs w:val="24"/>
          <w:lang w:val="en-US" w:eastAsia="zh-CN"/>
        </w:rPr>
        <w:t>抛泥区及弃土区</w:t>
      </w:r>
      <w:r>
        <w:rPr>
          <w:rFonts w:hint="default" w:ascii="Times New Roman" w:hAnsi="Times New Roman" w:cs="Times New Roman"/>
          <w:color w:val="auto"/>
          <w:sz w:val="24"/>
          <w:szCs w:val="24"/>
        </w:rPr>
        <w:t>，土石方挖填是产生水土流失的重要环节，因此，在施工过程中应对重点时段、重点区域和重点环节进行重点防护，最大限度减少工程建设可能导致的水土流失。根据水土流失预测结果，本方案将在主体工程已有水土保持措施的基础上通过采用工程措施、植物措施和临时措施，针对各时段、各区域及各环节的施工和水土流失特点进行措施布设，进一步完善工程的水土流失防治体系。</w:t>
      </w:r>
    </w:p>
    <w:p w14:paraId="7C461247">
      <w:pPr>
        <w:keepNext w:val="0"/>
        <w:keepLines w:val="0"/>
        <w:pageBreakBefore w:val="0"/>
        <w:widowControl w:val="0"/>
        <w:kinsoku/>
        <w:wordWrap/>
        <w:overflowPunct/>
        <w:topLinePunct/>
        <w:autoSpaceDE w:val="0"/>
        <w:autoSpaceDN/>
        <w:bidi w:val="0"/>
        <w:adjustRightInd w:val="0"/>
        <w:snapToGrid w:val="0"/>
        <w:ind w:left="0" w:leftChars="0" w:firstLine="0" w:firstLineChars="0"/>
        <w:textAlignment w:val="auto"/>
        <w:outlineLvl w:val="3"/>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5.1.5.6施工期景观影响分析</w:t>
      </w:r>
    </w:p>
    <w:p w14:paraId="6E618513">
      <w:pPr>
        <w:keepNext w:val="0"/>
        <w:keepLines w:val="0"/>
        <w:pageBreakBefore w:val="0"/>
        <w:widowControl w:val="0"/>
        <w:kinsoku/>
        <w:wordWrap/>
        <w:overflowPunct/>
        <w:topLinePunct/>
        <w:autoSpaceDE w:val="0"/>
        <w:autoSpaceDN/>
        <w:bidi w:val="0"/>
        <w:adjustRightInd w:val="0"/>
        <w:snapToGrid w:val="0"/>
        <w:ind w:left="0" w:leftChars="0" w:firstLine="480" w:firstLineChars="200"/>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w:t>施工建设过程中，将不可避免地对项目区周边的自然景观景观多样性、完整性造成不利影响。局部破坏长期形成的地表植被，改变了原有自然景观格局，与周边天然地形之间形成鲜明反差。</w:t>
      </w:r>
    </w:p>
    <w:p w14:paraId="55CB7C62">
      <w:pPr>
        <w:keepNext w:val="0"/>
        <w:keepLines w:val="0"/>
        <w:pageBreakBefore w:val="0"/>
        <w:widowControl w:val="0"/>
        <w:kinsoku/>
        <w:wordWrap/>
        <w:overflowPunct/>
        <w:topLinePunct/>
        <w:autoSpaceDE w:val="0"/>
        <w:autoSpaceDN/>
        <w:bidi w:val="0"/>
        <w:adjustRightInd w:val="0"/>
        <w:snapToGrid w:val="0"/>
        <w:ind w:left="0" w:leftChars="0" w:firstLine="480" w:firstLineChars="200"/>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w:t>随着施工期的结束，临时占地恢复为原有占地类型，自然景观的影响将消失。临时占地区域不会造成对自然景观景观多样性、完整性造成不利影响。</w:t>
      </w:r>
    </w:p>
    <w:p w14:paraId="2F66393D">
      <w:pPr>
        <w:keepNext w:val="0"/>
        <w:keepLines w:val="0"/>
        <w:pageBreakBefore w:val="0"/>
        <w:widowControl w:val="0"/>
        <w:kinsoku/>
        <w:wordWrap/>
        <w:overflowPunct/>
        <w:topLinePunct/>
        <w:autoSpaceDE w:val="0"/>
        <w:autoSpaceDN/>
        <w:bidi w:val="0"/>
        <w:adjustRightInd w:val="0"/>
        <w:snapToGrid w:val="0"/>
        <w:spacing w:line="360" w:lineRule="auto"/>
        <w:ind w:left="0" w:leftChars="0" w:firstLine="0" w:firstLineChars="0"/>
        <w:textAlignment w:val="auto"/>
        <w:outlineLvl w:val="3"/>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5.1.5.8施工期对生态敏感区影响分析</w:t>
      </w:r>
    </w:p>
    <w:p w14:paraId="2165F1EC">
      <w:pPr>
        <w:keepNext w:val="0"/>
        <w:keepLines w:val="0"/>
        <w:pageBreakBefore w:val="0"/>
        <w:widowControl w:val="0"/>
        <w:kinsoku/>
        <w:wordWrap/>
        <w:overflowPunct/>
        <w:topLinePunct/>
        <w:autoSpaceDE w:val="0"/>
        <w:bidi w:val="0"/>
        <w:adjustRightInd w:val="0"/>
        <w:snapToGrid w:val="0"/>
        <w:ind w:left="0" w:leftChars="0" w:firstLine="480"/>
        <w:rPr>
          <w:rFonts w:hint="default" w:ascii="Times New Roman" w:hAnsi="Times New Roman" w:cs="Times New Roman"/>
          <w:color w:val="auto"/>
          <w:kern w:val="0"/>
          <w:sz w:val="24"/>
          <w:szCs w:val="24"/>
          <w:lang w:val="en-US" w:eastAsia="zh-CN"/>
        </w:rPr>
      </w:pPr>
      <w:r>
        <w:rPr>
          <w:rFonts w:hint="eastAsia" w:cs="Times New Roman"/>
          <w:color w:val="auto"/>
          <w:sz w:val="24"/>
          <w:szCs w:val="24"/>
          <w:lang w:val="en-US" w:eastAsia="zh-CN"/>
        </w:rPr>
        <w:t>项目抛泥区位于杏花村省级湿地公园、生态保护红线，对其影响主要如下：</w:t>
      </w:r>
      <w:r>
        <w:rPr>
          <w:rFonts w:hint="default" w:ascii="Times New Roman" w:hAnsi="Times New Roman" w:cs="Times New Roman"/>
          <w:color w:val="auto"/>
          <w:kern w:val="0"/>
          <w:sz w:val="24"/>
          <w:szCs w:val="24"/>
          <w:lang w:val="en-US" w:eastAsia="zh-CN"/>
        </w:rPr>
        <w:t>。</w:t>
      </w:r>
    </w:p>
    <w:p w14:paraId="6B1CD592">
      <w:pPr>
        <w:keepNext w:val="0"/>
        <w:keepLines w:val="0"/>
        <w:pageBreakBefore w:val="0"/>
        <w:widowControl w:val="0"/>
        <w:kinsoku/>
        <w:wordWrap/>
        <w:overflowPunct/>
        <w:topLinePunct/>
        <w:autoSpaceDE w:val="0"/>
        <w:bidi w:val="0"/>
        <w:adjustRightInd w:val="0"/>
        <w:snapToGrid w:val="0"/>
        <w:ind w:left="0" w:leftChars="0" w:firstLine="480"/>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lang w:val="en-US" w:eastAsia="zh-CN"/>
        </w:rPr>
        <w:t>①对生态敏感区野生植物的影响</w:t>
      </w:r>
    </w:p>
    <w:p w14:paraId="3F8EA191">
      <w:pPr>
        <w:keepNext w:val="0"/>
        <w:keepLines w:val="0"/>
        <w:pageBreakBefore w:val="0"/>
        <w:widowControl w:val="0"/>
        <w:kinsoku/>
        <w:wordWrap/>
        <w:overflowPunct/>
        <w:topLinePunct/>
        <w:autoSpaceDE w:val="0"/>
        <w:bidi w:val="0"/>
        <w:adjustRightInd w:val="0"/>
        <w:snapToGrid w:val="0"/>
        <w:ind w:left="0" w:leftChars="0" w:firstLine="480"/>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lang w:val="en-US" w:eastAsia="zh-CN"/>
        </w:rPr>
        <w:t>建设项目施工期废水不外排，临时用地区域施工期设置截排水沟、沉淀池，雨季汇水沉淀后用于施工场地抑尘，不外排，不会因废水的外排</w:t>
      </w:r>
      <w:r>
        <w:rPr>
          <w:rFonts w:hint="default" w:ascii="Times New Roman" w:hAnsi="Times New Roman" w:cs="Times New Roman"/>
          <w:color w:val="auto"/>
          <w:sz w:val="24"/>
          <w:szCs w:val="24"/>
          <w:lang w:val="en-US" w:eastAsia="zh-CN"/>
        </w:rPr>
        <w:t>直接、间接</w:t>
      </w:r>
      <w:r>
        <w:rPr>
          <w:rFonts w:hint="default" w:ascii="Times New Roman" w:hAnsi="Times New Roman" w:cs="Times New Roman"/>
          <w:color w:val="auto"/>
          <w:kern w:val="0"/>
          <w:sz w:val="24"/>
          <w:szCs w:val="24"/>
          <w:lang w:val="en-US" w:eastAsia="zh-CN"/>
        </w:rPr>
        <w:t>造成生态保护红线内植物及代表性植物生境恶化，从而造成植物个体死亡的间接影响。</w:t>
      </w:r>
    </w:p>
    <w:p w14:paraId="71CC1FA7">
      <w:pPr>
        <w:keepNext w:val="0"/>
        <w:keepLines w:val="0"/>
        <w:pageBreakBefore w:val="0"/>
        <w:widowControl w:val="0"/>
        <w:kinsoku/>
        <w:wordWrap/>
        <w:overflowPunct/>
        <w:topLinePunct/>
        <w:autoSpaceDE w:val="0"/>
        <w:bidi w:val="0"/>
        <w:adjustRightInd w:val="0"/>
        <w:snapToGrid w:val="0"/>
        <w:ind w:left="0" w:leftChars="0" w:firstLine="480"/>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lang w:val="en-US" w:eastAsia="zh-CN"/>
        </w:rPr>
        <w:t>②对生态敏感区野生动物的影响</w:t>
      </w:r>
    </w:p>
    <w:p w14:paraId="058D03A5">
      <w:pPr>
        <w:keepNext w:val="0"/>
        <w:keepLines w:val="0"/>
        <w:pageBreakBefore w:val="0"/>
        <w:widowControl w:val="0"/>
        <w:kinsoku/>
        <w:wordWrap/>
        <w:overflowPunct/>
        <w:topLinePunct/>
        <w:autoSpaceDE/>
        <w:autoSpaceDN/>
        <w:bidi w:val="0"/>
        <w:adjustRightInd w:val="0"/>
        <w:snapToGrid w:val="0"/>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建设项目施工期废水不外排，临时用地区域施工期设置截排水沟、沉淀池，雨季汇水沉淀后用于施工场地抑尘，不外排。施工期废水不会直接、间接造成生态保护红线</w:t>
      </w:r>
      <w:r>
        <w:rPr>
          <w:rFonts w:hint="eastAsia" w:ascii="Times New Roman" w:hAnsi="Times New Roman" w:cs="Times New Roman"/>
          <w:color w:val="auto"/>
          <w:sz w:val="24"/>
          <w:szCs w:val="24"/>
          <w:lang w:val="en-US" w:eastAsia="zh-CN"/>
        </w:rPr>
        <w:t>区域</w:t>
      </w:r>
      <w:r>
        <w:rPr>
          <w:rFonts w:hint="default" w:ascii="Times New Roman" w:hAnsi="Times New Roman" w:cs="Times New Roman"/>
          <w:color w:val="auto"/>
          <w:sz w:val="24"/>
          <w:szCs w:val="24"/>
          <w:lang w:val="en-US" w:eastAsia="zh-CN"/>
        </w:rPr>
        <w:t>野生动物</w:t>
      </w:r>
      <w:r>
        <w:rPr>
          <w:rFonts w:hint="eastAsia" w:ascii="Times New Roman" w:hAnsi="Times New Roman" w:cs="Times New Roman"/>
          <w:color w:val="auto"/>
          <w:sz w:val="24"/>
          <w:szCs w:val="24"/>
          <w:lang w:val="en-US" w:eastAsia="zh-CN"/>
        </w:rPr>
        <w:t>及代表性兽类、两爬类、鱼类</w:t>
      </w:r>
      <w:r>
        <w:rPr>
          <w:rFonts w:hint="default" w:ascii="Times New Roman" w:hAnsi="Times New Roman" w:cs="Times New Roman"/>
          <w:color w:val="auto"/>
          <w:sz w:val="24"/>
          <w:szCs w:val="24"/>
          <w:lang w:val="en-US" w:eastAsia="zh-CN"/>
        </w:rPr>
        <w:t>生境质量的恶化。</w:t>
      </w:r>
    </w:p>
    <w:p w14:paraId="692AE698">
      <w:pPr>
        <w:keepNext w:val="0"/>
        <w:keepLines w:val="0"/>
        <w:pageBreakBefore w:val="0"/>
        <w:widowControl w:val="0"/>
        <w:kinsoku/>
        <w:wordWrap/>
        <w:overflowPunct/>
        <w:topLinePunct/>
        <w:autoSpaceDE/>
        <w:autoSpaceDN/>
        <w:bidi w:val="0"/>
        <w:adjustRightInd w:val="0"/>
        <w:snapToGrid w:val="0"/>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施工期施工设备噪声、振动将会对生态红线区域野生动物尤其代表性兽类、两爬类、鱼类产生干扰，造成区域野生动物尤其代表性兽类、两爬类、鱼类的分布范围、种群数量、种群结构、行为等发生变化，造成区域野生动物向周边区域迁移、数量变少。同时施工占地及人为活动将对生境面积、质量、连通性等产生影响，造成生境破碎化、生境面积变小，对动物的迁移产生一定的阻隔影响。</w:t>
      </w:r>
    </w:p>
    <w:p w14:paraId="2E7C1724">
      <w:pPr>
        <w:keepNext w:val="0"/>
        <w:keepLines w:val="0"/>
        <w:pageBreakBefore w:val="0"/>
        <w:widowControl w:val="0"/>
        <w:kinsoku/>
        <w:wordWrap/>
        <w:overflowPunct/>
        <w:topLinePunct/>
        <w:autoSpaceDE/>
        <w:autoSpaceDN/>
        <w:bidi w:val="0"/>
        <w:adjustRightInd w:val="0"/>
        <w:snapToGrid w:val="0"/>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建设项目合理安排施工期，不得夜间施工，避免在野生动物春、夏季繁殖高峰时段施工；加强对施工人员的管理、教育，不得捕杀区域野生动物；施工结束后对临时用地按要求进行恢复；施工场地较为分散，对动物迁移的阻隔影响有限。</w:t>
      </w:r>
    </w:p>
    <w:p w14:paraId="19BBA051">
      <w:pPr>
        <w:keepNext w:val="0"/>
        <w:keepLines w:val="0"/>
        <w:pageBreakBefore w:val="0"/>
        <w:widowControl w:val="0"/>
        <w:kinsoku/>
        <w:wordWrap/>
        <w:overflowPunct/>
        <w:topLinePunct/>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建设项目</w:t>
      </w:r>
      <w:r>
        <w:rPr>
          <w:rFonts w:hint="eastAsia" w:ascii="Times New Roman" w:hAnsi="Times New Roman" w:cs="Times New Roman"/>
          <w:color w:val="auto"/>
          <w:sz w:val="24"/>
          <w:szCs w:val="24"/>
          <w:lang w:val="en-US" w:eastAsia="zh-CN"/>
        </w:rPr>
        <w:t>区域人为活动较为频繁，</w:t>
      </w:r>
      <w:r>
        <w:rPr>
          <w:rFonts w:hint="default" w:ascii="Times New Roman" w:hAnsi="Times New Roman" w:cs="Times New Roman"/>
          <w:color w:val="auto"/>
          <w:sz w:val="24"/>
          <w:szCs w:val="24"/>
          <w:lang w:val="en-US" w:eastAsia="zh-CN"/>
        </w:rPr>
        <w:t>沿线野生动物</w:t>
      </w:r>
      <w:r>
        <w:rPr>
          <w:rFonts w:hint="eastAsia" w:ascii="Times New Roman" w:hAnsi="Times New Roman" w:cs="Times New Roman"/>
          <w:color w:val="auto"/>
          <w:sz w:val="24"/>
          <w:szCs w:val="24"/>
          <w:lang w:val="en-US" w:eastAsia="zh-CN"/>
        </w:rPr>
        <w:t>尤其代表性兽类、两爬类、鱼类</w:t>
      </w:r>
      <w:r>
        <w:rPr>
          <w:rFonts w:hint="default" w:ascii="Times New Roman" w:hAnsi="Times New Roman" w:cs="Times New Roman"/>
          <w:color w:val="auto"/>
          <w:sz w:val="24"/>
          <w:szCs w:val="24"/>
          <w:lang w:val="en-US" w:eastAsia="zh-CN"/>
        </w:rPr>
        <w:t>种类和数量分布较少，主要是常见和广泛分布的种类，大多数鸟类、两栖、爬行类动物具有较强的迁移能力，能够适应一定程度的人类干扰。在采取上述措施后，总体上施工期影响是短期和有限的，随着项目完工后对区域植被进行人工恢复，重建鸟类、两栖、爬行类动物的适宜栖息地，及相关生态保护措施的实施，区域野生动物的区系组成和种群数量等不会造成明显改变。</w:t>
      </w:r>
    </w:p>
    <w:p w14:paraId="1210A7C6">
      <w:pPr>
        <w:pStyle w:val="3"/>
        <w:bidi w:val="0"/>
        <w:ind w:left="480" w:leftChars="0" w:firstLineChars="0"/>
        <w:rPr>
          <w:rFonts w:hint="eastAsia"/>
          <w:color w:val="auto"/>
          <w:lang w:val="zh-CN" w:eastAsia="zh-CN"/>
        </w:rPr>
      </w:pPr>
      <w:bookmarkStart w:id="185" w:name="_Toc23491"/>
      <w:r>
        <w:rPr>
          <w:rFonts w:hint="eastAsia"/>
          <w:color w:val="auto"/>
          <w:lang w:val="zh-CN" w:eastAsia="zh-CN"/>
        </w:rPr>
        <w:t>环境风险评价</w:t>
      </w:r>
      <w:bookmarkEnd w:id="185"/>
    </w:p>
    <w:p w14:paraId="177192BE">
      <w:pPr>
        <w:pStyle w:val="4"/>
        <w:bidi w:val="0"/>
        <w:rPr>
          <w:color w:val="auto"/>
        </w:rPr>
      </w:pPr>
      <w:bookmarkStart w:id="186" w:name="_Toc8727"/>
      <w:r>
        <w:rPr>
          <w:color w:val="auto"/>
        </w:rPr>
        <w:t>环境风险评价的目的</w:t>
      </w:r>
      <w:bookmarkEnd w:id="186"/>
    </w:p>
    <w:p w14:paraId="102E1B2A">
      <w:pPr>
        <w:bidi w:val="0"/>
        <w:rPr>
          <w:color w:val="auto"/>
        </w:rPr>
      </w:pPr>
      <w:r>
        <w:rPr>
          <w:color w:val="auto"/>
        </w:rPr>
        <w:t>环境风险评价的目的是查出可导致潜在环境事故发生的诱导因素，通过控制这些事故因素出现的条件，从而最终将综合环境污染风险降到尽可能低的水平；在环境事故不可避免而突发时，保证已有相应的环境事故应急措施，从而最终将事故导致的损失降到可接受水平。</w:t>
      </w:r>
    </w:p>
    <w:p w14:paraId="0592D473">
      <w:pPr>
        <w:pStyle w:val="4"/>
        <w:bidi w:val="0"/>
        <w:rPr>
          <w:color w:val="auto"/>
        </w:rPr>
      </w:pPr>
      <w:bookmarkStart w:id="187" w:name="_Toc30262"/>
      <w:r>
        <w:rPr>
          <w:color w:val="auto"/>
        </w:rPr>
        <w:t>风险</w:t>
      </w:r>
      <w:r>
        <w:rPr>
          <w:rFonts w:hint="eastAsia"/>
          <w:color w:val="auto"/>
        </w:rPr>
        <w:t>因素</w:t>
      </w:r>
      <w:r>
        <w:rPr>
          <w:color w:val="auto"/>
        </w:rPr>
        <w:t>调查</w:t>
      </w:r>
      <w:bookmarkEnd w:id="187"/>
    </w:p>
    <w:p w14:paraId="18BE26F5">
      <w:pPr>
        <w:bidi w:val="0"/>
        <w:rPr>
          <w:color w:val="auto"/>
        </w:rPr>
      </w:pPr>
      <w:r>
        <w:rPr>
          <w:rFonts w:hint="eastAsia"/>
          <w:color w:val="auto"/>
        </w:rPr>
        <w:t>通过对工程性质、工程量和工程所处地段环境敏感性的分析。本工程主要环境风险为施工期</w:t>
      </w:r>
      <w:r>
        <w:rPr>
          <w:rFonts w:hint="eastAsia"/>
          <w:color w:val="auto"/>
          <w:lang w:val="en-US" w:eastAsia="zh-CN"/>
        </w:rPr>
        <w:t>污染周边湿地环境</w:t>
      </w:r>
      <w:r>
        <w:rPr>
          <w:rFonts w:hint="eastAsia"/>
          <w:color w:val="auto"/>
        </w:rPr>
        <w:t>的风险。</w:t>
      </w:r>
    </w:p>
    <w:p w14:paraId="3C2D5687">
      <w:pPr>
        <w:bidi w:val="0"/>
        <w:rPr>
          <w:color w:val="auto"/>
        </w:rPr>
      </w:pPr>
      <w:r>
        <w:rPr>
          <w:rFonts w:hint="eastAsia"/>
          <w:color w:val="auto"/>
        </w:rPr>
        <w:t>（</w:t>
      </w:r>
      <w:r>
        <w:rPr>
          <w:color w:val="auto"/>
        </w:rPr>
        <w:t>1</w:t>
      </w:r>
      <w:r>
        <w:rPr>
          <w:rFonts w:hint="eastAsia"/>
          <w:color w:val="auto"/>
        </w:rPr>
        <w:t>）施工期环境风险因素调查</w:t>
      </w:r>
    </w:p>
    <w:p w14:paraId="0302167E">
      <w:pPr>
        <w:bidi w:val="0"/>
        <w:rPr>
          <w:color w:val="auto"/>
        </w:rPr>
      </w:pPr>
      <w:r>
        <w:rPr>
          <w:color w:val="auto"/>
        </w:rPr>
        <w:t>项目施工期危险物质为施工机械等使用的柴油，</w:t>
      </w:r>
      <w:r>
        <w:rPr>
          <w:rFonts w:hint="eastAsia"/>
          <w:color w:val="auto"/>
        </w:rPr>
        <w:t>本项目不对柴油进行储存。施工期存在的主要环境风险包括：①施工期</w:t>
      </w:r>
      <w:r>
        <w:rPr>
          <w:rFonts w:hint="eastAsia"/>
          <w:color w:val="auto"/>
          <w:lang w:val="en-US" w:eastAsia="zh-CN"/>
        </w:rPr>
        <w:t>抛泥区</w:t>
      </w:r>
      <w:r>
        <w:rPr>
          <w:rFonts w:hint="eastAsia"/>
          <w:color w:val="auto"/>
        </w:rPr>
        <w:t>挖方等施工作业过程中施工设备油等的泄露造成水质污染事故的风险。②施工期施工人员生活污水、施工设备及车辆冲洗废水等施工废水等无序排放造成水质污染事故的风险。③施工期各由于来往车量较多，若机械设备不及时维修保养，可能发生车辆碰撞、侧翻等交通事故造成石油类泄漏或运输物料的倾落的风险，进而对水质造成不利影响。</w:t>
      </w:r>
    </w:p>
    <w:p w14:paraId="4660A5D1">
      <w:pPr>
        <w:bidi w:val="0"/>
        <w:rPr>
          <w:color w:val="auto"/>
        </w:rPr>
      </w:pPr>
      <w:r>
        <w:rPr>
          <w:rFonts w:hint="eastAsia"/>
          <w:color w:val="auto"/>
        </w:rPr>
        <w:t>（2）营运期环境风险因素调查</w:t>
      </w:r>
    </w:p>
    <w:p w14:paraId="5C73B187">
      <w:pPr>
        <w:bidi w:val="0"/>
        <w:rPr>
          <w:rFonts w:ascii="Times New Roman" w:hAnsi="Times New Roman"/>
          <w:color w:val="auto"/>
        </w:rPr>
      </w:pPr>
      <w:r>
        <w:rPr>
          <w:color w:val="auto"/>
        </w:rPr>
        <w:t>本项目为</w:t>
      </w:r>
      <w:r>
        <w:rPr>
          <w:rFonts w:hint="eastAsia"/>
          <w:color w:val="auto"/>
          <w:lang w:val="en-US" w:eastAsia="zh-CN"/>
        </w:rPr>
        <w:t>河湖整治</w:t>
      </w:r>
      <w:r>
        <w:rPr>
          <w:color w:val="auto"/>
        </w:rPr>
        <w:t>项目，运营期不涉及</w:t>
      </w:r>
      <w:r>
        <w:rPr>
          <w:rFonts w:hint="eastAsia"/>
          <w:color w:val="auto"/>
          <w:lang w:val="en-US" w:eastAsia="zh-CN"/>
        </w:rPr>
        <w:t>风险</w:t>
      </w:r>
      <w:r>
        <w:rPr>
          <w:color w:val="auto"/>
        </w:rPr>
        <w:t>物质。</w:t>
      </w:r>
    </w:p>
    <w:p w14:paraId="04555077">
      <w:pPr>
        <w:pStyle w:val="4"/>
        <w:bidi w:val="0"/>
        <w:rPr>
          <w:color w:val="auto"/>
        </w:rPr>
      </w:pPr>
      <w:bookmarkStart w:id="188" w:name="_Toc14451"/>
      <w:r>
        <w:rPr>
          <w:color w:val="auto"/>
        </w:rPr>
        <w:t>环境风险</w:t>
      </w:r>
      <w:r>
        <w:rPr>
          <w:rFonts w:hint="eastAsia"/>
          <w:color w:val="auto"/>
        </w:rPr>
        <w:t>识别</w:t>
      </w:r>
      <w:bookmarkEnd w:id="188"/>
    </w:p>
    <w:p w14:paraId="6CDB04DB">
      <w:pPr>
        <w:bidi w:val="0"/>
        <w:rPr>
          <w:color w:val="auto"/>
        </w:rPr>
      </w:pPr>
      <w:r>
        <w:rPr>
          <w:rFonts w:hint="eastAsia"/>
          <w:color w:val="auto"/>
        </w:rPr>
        <w:t>（1）施工期环境风险识别</w:t>
      </w:r>
    </w:p>
    <w:p w14:paraId="14081FAD">
      <w:pPr>
        <w:bidi w:val="0"/>
        <w:rPr>
          <w:color w:val="auto"/>
        </w:rPr>
      </w:pPr>
      <w:r>
        <w:rPr>
          <w:rFonts w:hint="eastAsia"/>
          <w:color w:val="auto"/>
        </w:rPr>
        <w:t>本项目为河道整治，风险影响主要来自于施工期间。项目在非汛期施工，项目涉及</w:t>
      </w:r>
      <w:r>
        <w:rPr>
          <w:rFonts w:hint="eastAsia"/>
          <w:color w:val="auto"/>
          <w:lang w:val="en-US" w:eastAsia="zh-CN"/>
        </w:rPr>
        <w:t>湿地公园</w:t>
      </w:r>
      <w:r>
        <w:rPr>
          <w:rFonts w:hint="eastAsia"/>
          <w:color w:val="auto"/>
        </w:rPr>
        <w:t>的陆域范围主要为</w:t>
      </w:r>
      <w:r>
        <w:rPr>
          <w:rFonts w:hint="eastAsia"/>
          <w:color w:val="auto"/>
          <w:lang w:val="en-US" w:eastAsia="zh-CN"/>
        </w:rPr>
        <w:t>抛泥区清理</w:t>
      </w:r>
      <w:r>
        <w:rPr>
          <w:rFonts w:hint="eastAsia"/>
          <w:color w:val="auto"/>
        </w:rPr>
        <w:t>。施工活动，会对</w:t>
      </w:r>
      <w:r>
        <w:rPr>
          <w:rFonts w:hint="eastAsia"/>
          <w:color w:val="auto"/>
          <w:lang w:val="en-US" w:eastAsia="zh-CN"/>
        </w:rPr>
        <w:t>秋浦河</w:t>
      </w:r>
      <w:r>
        <w:rPr>
          <w:rFonts w:hint="eastAsia"/>
          <w:color w:val="auto"/>
        </w:rPr>
        <w:t>产生一定的影响，主要为因施工期环境管理不善，施工机械的油污跑冒滴漏、施工废渣排放事故进入河</w:t>
      </w:r>
      <w:r>
        <w:rPr>
          <w:rFonts w:hint="eastAsia"/>
          <w:color w:val="auto"/>
          <w:lang w:val="en-US" w:eastAsia="zh-CN"/>
        </w:rPr>
        <w:t>中</w:t>
      </w:r>
      <w:r>
        <w:rPr>
          <w:rFonts w:hint="eastAsia"/>
          <w:color w:val="auto"/>
        </w:rPr>
        <w:t>，继而对</w:t>
      </w:r>
      <w:r>
        <w:rPr>
          <w:rFonts w:hint="eastAsia"/>
          <w:color w:val="auto"/>
          <w:lang w:val="en-US" w:eastAsia="zh-CN"/>
        </w:rPr>
        <w:t>湿地公园</w:t>
      </w:r>
      <w:r>
        <w:rPr>
          <w:rFonts w:hint="eastAsia"/>
          <w:color w:val="auto"/>
        </w:rPr>
        <w:t>水质产生影响，诱发产生的环境风险。</w:t>
      </w:r>
    </w:p>
    <w:p w14:paraId="290893D6">
      <w:pPr>
        <w:bidi w:val="0"/>
        <w:rPr>
          <w:color w:val="auto"/>
        </w:rPr>
      </w:pPr>
      <w:r>
        <w:rPr>
          <w:rFonts w:hint="eastAsia"/>
          <w:color w:val="auto"/>
        </w:rPr>
        <w:t>施工期施工人员生活污水、施工设备及车辆冲洗废水、机修含油废水等施工废水等无序排放对</w:t>
      </w:r>
      <w:r>
        <w:rPr>
          <w:rFonts w:hint="eastAsia"/>
          <w:color w:val="auto"/>
          <w:lang w:val="en-US" w:eastAsia="zh-CN"/>
        </w:rPr>
        <w:t>湿地公园</w:t>
      </w:r>
      <w:r>
        <w:rPr>
          <w:rFonts w:hint="eastAsia"/>
          <w:color w:val="auto"/>
        </w:rPr>
        <w:t>造成水质污染事故的风险。</w:t>
      </w:r>
    </w:p>
    <w:p w14:paraId="537B6783">
      <w:pPr>
        <w:bidi w:val="0"/>
        <w:rPr>
          <w:color w:val="auto"/>
        </w:rPr>
      </w:pPr>
      <w:r>
        <w:rPr>
          <w:rFonts w:hint="eastAsia"/>
          <w:color w:val="auto"/>
        </w:rPr>
        <w:t>施工期各由于来往车量较多，若机械设备不及时维修保养，可能发生车辆碰撞、侧翻等交通事故造成石油类泄漏或运输物料的倾落的风险，进入河</w:t>
      </w:r>
      <w:r>
        <w:rPr>
          <w:rFonts w:hint="eastAsia"/>
          <w:color w:val="auto"/>
          <w:lang w:val="en-US" w:eastAsia="zh-CN"/>
        </w:rPr>
        <w:t>水中</w:t>
      </w:r>
      <w:r>
        <w:rPr>
          <w:rFonts w:hint="eastAsia"/>
          <w:color w:val="auto"/>
        </w:rPr>
        <w:t>，进而对</w:t>
      </w:r>
      <w:r>
        <w:rPr>
          <w:rFonts w:hint="eastAsia"/>
          <w:color w:val="auto"/>
          <w:lang w:val="en-US" w:eastAsia="zh-CN"/>
        </w:rPr>
        <w:t>湿地公园</w:t>
      </w:r>
      <w:r>
        <w:rPr>
          <w:rFonts w:hint="eastAsia"/>
          <w:color w:val="auto"/>
        </w:rPr>
        <w:t>水体水质造成不利影响。</w:t>
      </w:r>
    </w:p>
    <w:p w14:paraId="7E0752F8">
      <w:pPr>
        <w:bidi w:val="0"/>
        <w:rPr>
          <w:color w:val="auto"/>
        </w:rPr>
      </w:pPr>
      <w:r>
        <w:rPr>
          <w:color w:val="auto"/>
        </w:rPr>
        <w:t>施工期风险主要来自于施工机械、运输车辆等引起燃油泄漏，一旦发生泄漏事故，短时间内会造成该河段鱼类、虾类、浮游动植物、鸟类、两栖动物、爬行动物及维管植物等动植物死亡，从而在短时间内对河道的生态功能形成一定范围的影响。因此，应加强相关工作人员的安全意识，提高危险品运输的安全性，尽量控制避免此类危险事故的发生。</w:t>
      </w:r>
    </w:p>
    <w:p w14:paraId="1927D6F1">
      <w:pPr>
        <w:bidi w:val="0"/>
        <w:rPr>
          <w:color w:val="auto"/>
        </w:rPr>
      </w:pPr>
      <w:r>
        <w:rPr>
          <w:rFonts w:hint="eastAsia"/>
          <w:color w:val="auto"/>
        </w:rPr>
        <w:t>（2）营运期环境风险识别</w:t>
      </w:r>
    </w:p>
    <w:p w14:paraId="1A5F4BA4">
      <w:pPr>
        <w:bidi w:val="0"/>
        <w:rPr>
          <w:color w:val="auto"/>
        </w:rPr>
      </w:pPr>
      <w:r>
        <w:rPr>
          <w:rFonts w:hint="eastAsia"/>
          <w:color w:val="auto"/>
        </w:rPr>
        <w:t>营运</w:t>
      </w:r>
      <w:r>
        <w:rPr>
          <w:color w:val="auto"/>
        </w:rPr>
        <w:t>期风险主要为：项目完成后，</w:t>
      </w:r>
      <w:r>
        <w:rPr>
          <w:rFonts w:hint="eastAsia"/>
          <w:color w:val="auto"/>
          <w:lang w:val="en-US" w:eastAsia="zh-CN"/>
        </w:rPr>
        <w:t>湿地公园</w:t>
      </w:r>
      <w:r>
        <w:rPr>
          <w:color w:val="auto"/>
        </w:rPr>
        <w:t>生态环境明显改善，景观明显提升。</w:t>
      </w:r>
    </w:p>
    <w:p w14:paraId="3A42E11E">
      <w:pPr>
        <w:pStyle w:val="4"/>
        <w:bidi w:val="0"/>
        <w:rPr>
          <w:color w:val="auto"/>
        </w:rPr>
      </w:pPr>
      <w:bookmarkStart w:id="189" w:name="_Toc23067"/>
      <w:r>
        <w:rPr>
          <w:color w:val="auto"/>
        </w:rPr>
        <w:t>环境风险防范措施</w:t>
      </w:r>
      <w:bookmarkEnd w:id="189"/>
    </w:p>
    <w:p w14:paraId="4294E10E">
      <w:pPr>
        <w:bidi w:val="0"/>
        <w:rPr>
          <w:color w:val="auto"/>
        </w:rPr>
      </w:pPr>
      <w:r>
        <w:rPr>
          <w:rFonts w:hint="eastAsia"/>
          <w:color w:val="auto"/>
          <w:lang w:eastAsia="zh-CN"/>
        </w:rPr>
        <w:t>（</w:t>
      </w:r>
      <w:r>
        <w:rPr>
          <w:rFonts w:hint="eastAsia"/>
          <w:color w:val="auto"/>
          <w:lang w:val="en-US" w:eastAsia="zh-CN"/>
        </w:rPr>
        <w:t>1</w:t>
      </w:r>
      <w:r>
        <w:rPr>
          <w:rFonts w:hint="eastAsia"/>
          <w:color w:val="auto"/>
        </w:rPr>
        <w:t>）实行环境风险过程控制</w:t>
      </w:r>
    </w:p>
    <w:p w14:paraId="5A1E740D">
      <w:pPr>
        <w:bidi w:val="0"/>
        <w:rPr>
          <w:rFonts w:hint="eastAsia"/>
          <w:color w:val="auto"/>
        </w:rPr>
      </w:pPr>
      <w:r>
        <w:rPr>
          <w:rFonts w:hint="eastAsia"/>
          <w:color w:val="auto"/>
        </w:rPr>
        <w:t>①合理布置施工场地、施工便道等临时工程位置；</w:t>
      </w:r>
    </w:p>
    <w:p w14:paraId="64BE247C">
      <w:pPr>
        <w:bidi w:val="0"/>
        <w:rPr>
          <w:color w:val="auto"/>
        </w:rPr>
      </w:pPr>
      <w:r>
        <w:rPr>
          <w:rFonts w:hint="eastAsia"/>
          <w:color w:val="auto"/>
        </w:rPr>
        <w:t>②汛期前，必须对排洪、排水系统进行全面检查，发现问题，及时解决，准备好必要的抢险物资、工具、运载机械。</w:t>
      </w:r>
    </w:p>
    <w:p w14:paraId="64D5336F">
      <w:pPr>
        <w:bidi w:val="0"/>
        <w:rPr>
          <w:color w:val="auto"/>
        </w:rPr>
      </w:pPr>
      <w:r>
        <w:rPr>
          <w:rFonts w:hint="eastAsia"/>
          <w:color w:val="auto"/>
        </w:rPr>
        <w:t>③加强值班和巡视，对</w:t>
      </w:r>
      <w:r>
        <w:rPr>
          <w:rFonts w:hint="eastAsia"/>
          <w:color w:val="auto"/>
          <w:lang w:val="en-US" w:eastAsia="zh-CN"/>
        </w:rPr>
        <w:t>湿地公园</w:t>
      </w:r>
      <w:r>
        <w:rPr>
          <w:rFonts w:hint="eastAsia"/>
          <w:color w:val="auto"/>
        </w:rPr>
        <w:t>实行严格的巡查保护制度，并做好巡查记录，密切注视水情和水质变化，发现问题及时报告，采取应急措施，严防事态恶化，避免造成大规模水环境污染事故。</w:t>
      </w:r>
    </w:p>
    <w:p w14:paraId="3595070B">
      <w:pPr>
        <w:bidi w:val="0"/>
        <w:rPr>
          <w:color w:val="auto"/>
        </w:rPr>
      </w:pPr>
      <w:r>
        <w:rPr>
          <w:rFonts w:hint="eastAsia"/>
          <w:color w:val="auto"/>
        </w:rPr>
        <w:t>④根据项目情况，合理安排施工作业面，建设过程中禁止在工程</w:t>
      </w:r>
      <w:r>
        <w:rPr>
          <w:rFonts w:hint="eastAsia"/>
          <w:color w:val="auto"/>
          <w:lang w:val="en-US" w:eastAsia="zh-CN"/>
        </w:rPr>
        <w:t>施工</w:t>
      </w:r>
      <w:r>
        <w:rPr>
          <w:rFonts w:hint="eastAsia"/>
          <w:color w:val="auto"/>
        </w:rPr>
        <w:t>范围以外的区域进行施工活动，尤其是涉及</w:t>
      </w:r>
      <w:r>
        <w:rPr>
          <w:rFonts w:hint="eastAsia"/>
          <w:color w:val="auto"/>
          <w:lang w:val="en-US" w:eastAsia="zh-CN"/>
        </w:rPr>
        <w:t>湿地公园</w:t>
      </w:r>
      <w:r>
        <w:rPr>
          <w:rFonts w:hint="eastAsia"/>
          <w:color w:val="auto"/>
        </w:rPr>
        <w:t>范围内的施工，应严格管理并做好施工机械的保养和管理，以降低因意外事故对饮用水水源保护区的影响。</w:t>
      </w:r>
    </w:p>
    <w:p w14:paraId="5B9E7B33">
      <w:pPr>
        <w:bidi w:val="0"/>
        <w:rPr>
          <w:color w:val="auto"/>
        </w:rPr>
      </w:pPr>
      <w:r>
        <w:rPr>
          <w:rFonts w:hint="eastAsia"/>
          <w:color w:val="auto"/>
        </w:rPr>
        <w:t>⑤施工场地将施工生产废水统一收集至指定地点处理；含油废水静置、隔油处理，处理后废水可回用，沉淀渣定期清理；严禁施工生产废水、弃渣排入</w:t>
      </w:r>
      <w:r>
        <w:rPr>
          <w:rFonts w:hint="eastAsia"/>
          <w:color w:val="auto"/>
          <w:lang w:val="en-US" w:eastAsia="zh-CN"/>
        </w:rPr>
        <w:t>湿地公园、风景名胜区内</w:t>
      </w:r>
      <w:r>
        <w:rPr>
          <w:rFonts w:hint="eastAsia"/>
          <w:color w:val="auto"/>
        </w:rPr>
        <w:t>。</w:t>
      </w:r>
    </w:p>
    <w:p w14:paraId="6999C11C">
      <w:pPr>
        <w:bidi w:val="0"/>
        <w:rPr>
          <w:color w:val="auto"/>
        </w:rPr>
      </w:pPr>
      <w:r>
        <w:rPr>
          <w:rFonts w:hint="eastAsia"/>
          <w:color w:val="auto"/>
        </w:rPr>
        <w:t>⑥</w:t>
      </w:r>
      <w:r>
        <w:rPr>
          <w:rFonts w:hint="eastAsia"/>
          <w:color w:val="auto"/>
          <w:lang w:val="en-US" w:eastAsia="zh-CN"/>
        </w:rPr>
        <w:t>临近湿地公园、风景名胜区</w:t>
      </w:r>
      <w:r>
        <w:rPr>
          <w:rFonts w:hint="eastAsia"/>
          <w:color w:val="auto"/>
        </w:rPr>
        <w:t>的工程施工尽量选用先进或保养较好的设备、机械，定期检查和维护，以有效地减少跑、冒、漏、滴的数量及机械维修次数，从而减少含油污水的产生量。</w:t>
      </w:r>
    </w:p>
    <w:p w14:paraId="7C77236D">
      <w:pPr>
        <w:bidi w:val="0"/>
        <w:rPr>
          <w:color w:val="auto"/>
        </w:rPr>
      </w:pPr>
      <w:r>
        <w:rPr>
          <w:rFonts w:hint="eastAsia"/>
          <w:color w:val="auto"/>
        </w:rPr>
        <w:t>⑦施工期开展环保监理，定期对</w:t>
      </w:r>
      <w:r>
        <w:rPr>
          <w:rFonts w:hint="eastAsia"/>
          <w:color w:val="auto"/>
          <w:lang w:val="en-US" w:eastAsia="zh-CN"/>
        </w:rPr>
        <w:t>湿地公园</w:t>
      </w:r>
      <w:r>
        <w:rPr>
          <w:rFonts w:hint="eastAsia"/>
          <w:color w:val="auto"/>
        </w:rPr>
        <w:t>水质进行监测，发现异常及时反馈当地水利及环保部门。</w:t>
      </w:r>
    </w:p>
    <w:p w14:paraId="5D4A0EF9">
      <w:pPr>
        <w:bidi w:val="0"/>
        <w:rPr>
          <w:color w:val="auto"/>
        </w:rPr>
      </w:pPr>
      <w:r>
        <w:rPr>
          <w:rFonts w:hint="eastAsia"/>
          <w:color w:val="auto"/>
        </w:rPr>
        <w:t>⑧施工营地应设置专用的垃圾箱，产生的生活垃圾经收集后，送至环卫部门集中处理。施工结束后，由专门的人员负责彻底清理产生的废料、建筑垃圾，运至指定的弃渣场或其他指定场所进行处置。严禁生活垃圾、施工废料排入</w:t>
      </w:r>
      <w:r>
        <w:rPr>
          <w:rFonts w:hint="eastAsia"/>
          <w:color w:val="auto"/>
          <w:lang w:val="en-US" w:eastAsia="zh-CN"/>
        </w:rPr>
        <w:t>湿地公园、风景名胜区保护</w:t>
      </w:r>
      <w:r>
        <w:rPr>
          <w:rFonts w:hint="eastAsia"/>
          <w:color w:val="auto"/>
        </w:rPr>
        <w:t>范围。</w:t>
      </w:r>
    </w:p>
    <w:p w14:paraId="4AFEF86A">
      <w:pPr>
        <w:bidi w:val="0"/>
        <w:rPr>
          <w:color w:val="auto"/>
        </w:rPr>
      </w:pPr>
      <w:r>
        <w:rPr>
          <w:rFonts w:hint="eastAsia"/>
          <w:color w:val="auto"/>
        </w:rPr>
        <w:t>⑨施工单位应配备足够的油污吸附、隔离拦挡和净化材料，配备一定量的围油栏及吸油毡等应急物资，避免突发事故产生对水体造成污染。若施工发生油料泄露事故，可在有关部门的指导和配合下，及时采取浮油拦截和吸附措施，直至油污消除。</w:t>
      </w:r>
    </w:p>
    <w:p w14:paraId="3E47672D">
      <w:pPr>
        <w:bidi w:val="0"/>
        <w:rPr>
          <w:color w:val="auto"/>
        </w:rPr>
      </w:pPr>
      <w:r>
        <w:rPr>
          <w:rFonts w:hint="eastAsia"/>
          <w:color w:val="auto"/>
        </w:rPr>
        <w:t>此外，</w:t>
      </w:r>
      <w:r>
        <w:rPr>
          <w:rFonts w:hint="eastAsia"/>
          <w:color w:val="auto"/>
          <w:lang w:val="en-US" w:eastAsia="zh-CN"/>
        </w:rPr>
        <w:t>湿地公园、风景名胜区附近施工</w:t>
      </w:r>
      <w:r>
        <w:rPr>
          <w:rFonts w:hint="eastAsia"/>
          <w:color w:val="auto"/>
        </w:rPr>
        <w:t>还必须加强施工期水土保持，切实落实水保方案中提出的工程、植物及临时防护措施，避免产生水土流失。保护区场地应做好挡护和排水措施，禁止将废水排入</w:t>
      </w:r>
      <w:r>
        <w:rPr>
          <w:rFonts w:hint="eastAsia"/>
          <w:color w:val="auto"/>
          <w:lang w:val="en-US" w:eastAsia="zh-CN"/>
        </w:rPr>
        <w:t>湿地公园</w:t>
      </w:r>
      <w:r>
        <w:rPr>
          <w:rFonts w:hint="eastAsia"/>
          <w:color w:val="auto"/>
        </w:rPr>
        <w:t>及其上游补给河道内。</w:t>
      </w:r>
      <w:r>
        <w:rPr>
          <w:rFonts w:hint="eastAsia"/>
          <w:color w:val="auto"/>
          <w:lang w:val="en-US" w:eastAsia="zh-CN"/>
        </w:rPr>
        <w:t>湿地公园</w:t>
      </w:r>
      <w:r>
        <w:rPr>
          <w:rFonts w:hint="eastAsia"/>
          <w:color w:val="auto"/>
        </w:rPr>
        <w:t>附近的施工便道尽量利用既有公路以用地，减少对</w:t>
      </w:r>
      <w:r>
        <w:rPr>
          <w:rFonts w:hint="eastAsia"/>
          <w:color w:val="auto"/>
          <w:lang w:val="en-US" w:eastAsia="zh-CN"/>
        </w:rPr>
        <w:t>湿地公园</w:t>
      </w:r>
      <w:r>
        <w:rPr>
          <w:rFonts w:hint="eastAsia"/>
          <w:color w:val="auto"/>
        </w:rPr>
        <w:t>地表的扰动破坏。</w:t>
      </w:r>
    </w:p>
    <w:p w14:paraId="27A9EF5E">
      <w:pPr>
        <w:bidi w:val="0"/>
        <w:rPr>
          <w:color w:val="auto"/>
        </w:rPr>
      </w:pPr>
      <w:r>
        <w:rPr>
          <w:rFonts w:hint="eastAsia"/>
          <w:color w:val="auto"/>
          <w:lang w:eastAsia="zh-CN"/>
        </w:rPr>
        <w:t>（</w:t>
      </w:r>
      <w:r>
        <w:rPr>
          <w:rFonts w:hint="eastAsia"/>
          <w:color w:val="auto"/>
        </w:rPr>
        <w:t>3）加强风险过程管理</w:t>
      </w:r>
    </w:p>
    <w:p w14:paraId="411D5661">
      <w:pPr>
        <w:bidi w:val="0"/>
        <w:rPr>
          <w:color w:val="auto"/>
        </w:rPr>
      </w:pPr>
      <w:r>
        <w:rPr>
          <w:rFonts w:hint="eastAsia"/>
          <w:color w:val="auto"/>
        </w:rPr>
        <w:t>①加强施工队伍的管理，加强对施工人员的技术培训和环保培训，提高施工人员的安全意识和环境保护意识，严格操作规程，避免人为操作失当引起污染事故的发生。禁止施工人员向水源保护区内倾倒垃圾、冲洗机具，禁止游泳、洗衣等行为。</w:t>
      </w:r>
    </w:p>
    <w:p w14:paraId="267B7AD5">
      <w:pPr>
        <w:bidi w:val="0"/>
        <w:rPr>
          <w:color w:val="auto"/>
        </w:rPr>
      </w:pPr>
      <w:r>
        <w:rPr>
          <w:rFonts w:hint="eastAsia"/>
          <w:color w:val="auto"/>
          <w:lang w:val="en-US" w:eastAsia="zh-CN"/>
        </w:rPr>
        <w:t>②</w:t>
      </w:r>
      <w:r>
        <w:rPr>
          <w:rFonts w:hint="eastAsia"/>
          <w:color w:val="auto"/>
        </w:rPr>
        <w:t>加强施工机械管理，防止跑、冒、滴、漏等现象的发生。</w:t>
      </w:r>
    </w:p>
    <w:p w14:paraId="3605C64F">
      <w:pPr>
        <w:bidi w:val="0"/>
        <w:rPr>
          <w:color w:val="auto"/>
        </w:rPr>
      </w:pPr>
      <w:r>
        <w:rPr>
          <w:rFonts w:hint="eastAsia"/>
          <w:color w:val="auto"/>
          <w:lang w:val="en-US" w:eastAsia="zh-CN"/>
        </w:rPr>
        <w:t>③</w:t>
      </w:r>
      <w:r>
        <w:rPr>
          <w:rFonts w:hint="eastAsia"/>
          <w:color w:val="auto"/>
        </w:rPr>
        <w:t>加强施工过程和质量管理，严格按照施工要求进行施工。</w:t>
      </w:r>
    </w:p>
    <w:p w14:paraId="768B9508">
      <w:pPr>
        <w:bidi w:val="0"/>
        <w:rPr>
          <w:color w:val="auto"/>
        </w:rPr>
      </w:pPr>
      <w:r>
        <w:rPr>
          <w:rFonts w:hint="eastAsia"/>
          <w:color w:val="auto"/>
          <w:lang w:eastAsia="zh-CN"/>
        </w:rPr>
        <w:t>（</w:t>
      </w:r>
      <w:r>
        <w:rPr>
          <w:rFonts w:hint="eastAsia"/>
          <w:color w:val="auto"/>
        </w:rPr>
        <w:t>4）形成风险应急机制</w:t>
      </w:r>
    </w:p>
    <w:p w14:paraId="6341F8F7">
      <w:pPr>
        <w:bidi w:val="0"/>
        <w:rPr>
          <w:color w:val="auto"/>
        </w:rPr>
      </w:pPr>
      <w:r>
        <w:rPr>
          <w:rFonts w:hint="eastAsia"/>
          <w:color w:val="auto"/>
        </w:rPr>
        <w:t>另外建议建设单位和施工单位建立事故应急机制，设立应急反应小组，一旦发生突发事件，首先停止施工，封锁现场，应急反应小组迅速组织补救措施，事后由有关机构进行损失评估和负责到底。</w:t>
      </w:r>
    </w:p>
    <w:p w14:paraId="24D2EA42">
      <w:pPr>
        <w:pStyle w:val="4"/>
        <w:bidi w:val="0"/>
        <w:rPr>
          <w:color w:val="auto"/>
        </w:rPr>
      </w:pPr>
      <w:bookmarkStart w:id="190" w:name="_Toc3962"/>
      <w:r>
        <w:rPr>
          <w:rFonts w:hint="eastAsia"/>
          <w:color w:val="auto"/>
        </w:rPr>
        <w:t>环境风险事故应急预案</w:t>
      </w:r>
      <w:bookmarkEnd w:id="190"/>
    </w:p>
    <w:p w14:paraId="3ABBF980">
      <w:pPr>
        <w:bidi w:val="0"/>
        <w:rPr>
          <w:color w:val="auto"/>
        </w:rPr>
      </w:pPr>
      <w:r>
        <w:rPr>
          <w:color w:val="auto"/>
        </w:rPr>
        <w:t>环境风险事故发生后，能否迅速而有效地作出应急反应，对于控制污染，减少污染损失以及消除污染等都起着关键性的作用。针对本工程施工期可能发生的污染、溢油、泄漏事故等环境风险事故，通过对事故的风险评价，制定突发性事故应急处理预案等，对事故快速作出反应，最大限度地减少事故污染对水环境的危害，建立应付突发性事故的抢险指挥系统，组织制定一份可操作的风险应急预案，定期进行演习是非常必要的。一旦出现重大事故，能有效的组织救援，及时控制污染、减少污染损失。</w:t>
      </w:r>
    </w:p>
    <w:p w14:paraId="702587EB">
      <w:pPr>
        <w:pStyle w:val="4"/>
        <w:bidi w:val="0"/>
        <w:rPr>
          <w:color w:val="auto"/>
        </w:rPr>
      </w:pPr>
      <w:bookmarkStart w:id="191" w:name="_Toc26123"/>
      <w:r>
        <w:rPr>
          <w:color w:val="auto"/>
        </w:rPr>
        <w:t>风险评价结论</w:t>
      </w:r>
      <w:bookmarkEnd w:id="191"/>
    </w:p>
    <w:p w14:paraId="66EB4A84">
      <w:pPr>
        <w:bidi w:val="0"/>
        <w:rPr>
          <w:color w:val="auto"/>
        </w:rPr>
      </w:pPr>
      <w:r>
        <w:rPr>
          <w:color w:val="auto"/>
        </w:rPr>
        <w:t>本项目施工期柴油用量很少，运营期不涉及</w:t>
      </w:r>
      <w:r>
        <w:rPr>
          <w:rFonts w:hint="eastAsia"/>
          <w:color w:val="auto"/>
          <w:lang w:val="en-US" w:eastAsia="zh-CN"/>
        </w:rPr>
        <w:t>风险</w:t>
      </w:r>
      <w:r>
        <w:rPr>
          <w:color w:val="auto"/>
        </w:rPr>
        <w:t>物质，Q值远小于1，环境风险潜势为I。</w:t>
      </w:r>
      <w:r>
        <w:rPr>
          <w:rFonts w:hint="eastAsia"/>
          <w:color w:val="auto"/>
        </w:rPr>
        <w:t>评价工作等级为简单分析，主要环境风险为水污染事故，建设单位应加强环境风险管理，采取相应的防范措施，制定环境风险应急预案；这些风险事故发生后均会对环境造成一定程度危害，可通过加强日常管理、规范人员操作和制订风险事故应急预案来进行防范与控制。总体上，本项目环境风险水平是可接受的。</w:t>
      </w:r>
    </w:p>
    <w:p w14:paraId="3C8A36ED">
      <w:pPr>
        <w:rPr>
          <w:rFonts w:hint="eastAsia"/>
          <w:color w:val="auto"/>
          <w:lang w:val="zh-CN" w:eastAsia="zh-CN"/>
        </w:rPr>
      </w:pPr>
      <w:r>
        <w:rPr>
          <w:rFonts w:hint="eastAsia"/>
          <w:color w:val="auto"/>
          <w:lang w:val="zh-CN" w:eastAsia="zh-CN"/>
        </w:rPr>
        <w:br w:type="page"/>
      </w:r>
    </w:p>
    <w:p w14:paraId="1472C7AD">
      <w:pPr>
        <w:pStyle w:val="2"/>
        <w:bidi w:val="0"/>
        <w:rPr>
          <w:rFonts w:hint="eastAsia"/>
          <w:color w:val="auto"/>
          <w:lang w:val="zh-CN" w:eastAsia="zh-CN"/>
        </w:rPr>
      </w:pPr>
      <w:bookmarkStart w:id="192" w:name="_Toc28244177"/>
      <w:bookmarkStart w:id="193" w:name="_Toc28188628"/>
      <w:bookmarkStart w:id="194" w:name="_Toc69228892"/>
      <w:bookmarkStart w:id="195" w:name="_Toc27964"/>
      <w:r>
        <w:rPr>
          <w:color w:val="auto"/>
        </w:rPr>
        <w:t>施工期环境保护措施及可行性论证</w:t>
      </w:r>
      <w:bookmarkEnd w:id="192"/>
      <w:bookmarkEnd w:id="193"/>
      <w:bookmarkEnd w:id="194"/>
      <w:bookmarkEnd w:id="195"/>
    </w:p>
    <w:p w14:paraId="431A17A7">
      <w:pPr>
        <w:pStyle w:val="3"/>
        <w:bidi w:val="0"/>
        <w:ind w:left="480" w:leftChars="0" w:firstLineChars="0"/>
        <w:rPr>
          <w:rFonts w:hint="eastAsia"/>
          <w:color w:val="auto"/>
          <w:lang w:val="zh-CN" w:eastAsia="zh-CN"/>
        </w:rPr>
      </w:pPr>
      <w:bookmarkStart w:id="196" w:name="_Toc10798"/>
      <w:r>
        <w:rPr>
          <w:rFonts w:hint="eastAsia"/>
          <w:color w:val="auto"/>
          <w:lang w:val="zh-CN" w:eastAsia="zh-CN"/>
        </w:rPr>
        <w:t>地表水环境保护措施</w:t>
      </w:r>
      <w:bookmarkEnd w:id="196"/>
    </w:p>
    <w:p w14:paraId="75C507C0">
      <w:pPr>
        <w:bidi w:val="0"/>
        <w:rPr>
          <w:rFonts w:hint="eastAsia"/>
          <w:color w:val="auto"/>
          <w:lang w:val="zh-CN" w:eastAsia="zh-CN"/>
        </w:rPr>
      </w:pPr>
      <w:r>
        <w:rPr>
          <w:rFonts w:hint="eastAsia"/>
          <w:color w:val="auto"/>
          <w:lang w:val="zh-CN" w:eastAsia="zh-CN"/>
        </w:rPr>
        <w:t>本工程地表水环境影响主要在施工期。施工期对地表水环境的影响主要是施工废水及生活污水。本工程施工废水主要为施工车辆及设备冲洗废水。生活污水主要来自施工人员日常生活产生的废水。针对产生的废水不同，采取不同的措施进行处理。</w:t>
      </w:r>
    </w:p>
    <w:p w14:paraId="18D625C4">
      <w:pPr>
        <w:pStyle w:val="4"/>
        <w:bidi w:val="0"/>
        <w:rPr>
          <w:rFonts w:hint="eastAsia"/>
          <w:color w:val="auto"/>
          <w:lang w:val="zh-CN" w:eastAsia="zh-CN"/>
        </w:rPr>
      </w:pPr>
      <w:bookmarkStart w:id="197" w:name="_Toc25141"/>
      <w:r>
        <w:rPr>
          <w:rFonts w:hint="eastAsia"/>
          <w:color w:val="auto"/>
          <w:lang w:val="zh-CN" w:eastAsia="zh-CN"/>
        </w:rPr>
        <w:t>施工车辆、设备冲洗废水</w:t>
      </w:r>
      <w:bookmarkEnd w:id="197"/>
    </w:p>
    <w:p w14:paraId="5D8A4000">
      <w:pPr>
        <w:bidi w:val="0"/>
        <w:rPr>
          <w:rFonts w:hint="default"/>
          <w:color w:val="auto"/>
          <w:lang w:val="en-US" w:eastAsia="zh-CN"/>
        </w:rPr>
      </w:pPr>
      <w:r>
        <w:rPr>
          <w:rFonts w:hint="default"/>
          <w:color w:val="auto"/>
          <w:lang w:val="en-US" w:eastAsia="zh-CN"/>
        </w:rPr>
        <w:t>（1）废水基本情况</w:t>
      </w:r>
    </w:p>
    <w:p w14:paraId="59BE2C4B">
      <w:pPr>
        <w:bidi w:val="0"/>
        <w:jc w:val="both"/>
        <w:rPr>
          <w:rFonts w:hint="default"/>
          <w:color w:val="auto"/>
          <w:vertAlign w:val="baseline"/>
          <w:lang w:val="en-US" w:eastAsia="zh-CN"/>
        </w:rPr>
      </w:pPr>
      <w:r>
        <w:rPr>
          <w:rFonts w:hint="default"/>
          <w:color w:val="auto"/>
          <w:vertAlign w:val="baseline"/>
          <w:lang w:val="en-US" w:eastAsia="zh-CN"/>
        </w:rPr>
        <w:t>施工车辆、机械设备在运行过程中可能会产生废油，车辆设备保养冲洗产生的废水，根据工程分析，本工程</w:t>
      </w:r>
      <w:r>
        <w:rPr>
          <w:rFonts w:hint="eastAsia"/>
          <w:color w:val="auto"/>
          <w:vertAlign w:val="baseline"/>
          <w:lang w:val="en-US" w:eastAsia="zh-CN"/>
        </w:rPr>
        <w:t>施工期</w:t>
      </w:r>
      <w:r>
        <w:rPr>
          <w:rFonts w:hint="default"/>
          <w:color w:val="auto"/>
          <w:vertAlign w:val="baseline"/>
          <w:lang w:val="en-US" w:eastAsia="zh-CN"/>
        </w:rPr>
        <w:t>共产生</w:t>
      </w:r>
      <w:r>
        <w:rPr>
          <w:rFonts w:hint="eastAsia"/>
          <w:color w:val="auto"/>
          <w:vertAlign w:val="baseline"/>
          <w:lang w:val="en-US" w:eastAsia="zh-CN"/>
        </w:rPr>
        <w:t>14</w:t>
      </w:r>
      <w:r>
        <w:rPr>
          <w:rFonts w:hint="default"/>
          <w:color w:val="auto"/>
          <w:vertAlign w:val="baseline"/>
          <w:lang w:val="en-US" w:eastAsia="zh-CN"/>
        </w:rPr>
        <w:t>0m</w:t>
      </w:r>
      <w:r>
        <w:rPr>
          <w:rFonts w:hint="default"/>
          <w:color w:val="auto"/>
          <w:vertAlign w:val="superscript"/>
          <w:lang w:val="en-US" w:eastAsia="zh-CN"/>
        </w:rPr>
        <w:t>3</w:t>
      </w:r>
      <w:r>
        <w:rPr>
          <w:rFonts w:hint="default"/>
          <w:color w:val="auto"/>
          <w:vertAlign w:val="baseline"/>
          <w:lang w:val="en-US" w:eastAsia="zh-CN"/>
        </w:rPr>
        <w:t>含油废水。施工期含油废水产生量为</w:t>
      </w:r>
      <w:r>
        <w:rPr>
          <w:rFonts w:hint="eastAsia"/>
          <w:color w:val="auto"/>
          <w:lang w:val="zh-CN" w:eastAsia="zh-CN"/>
        </w:rPr>
        <w:t>COD0.0</w:t>
      </w:r>
      <w:r>
        <w:rPr>
          <w:rFonts w:hint="eastAsia"/>
          <w:color w:val="auto"/>
          <w:lang w:val="en-US" w:eastAsia="zh-CN"/>
        </w:rPr>
        <w:t>2</w:t>
      </w:r>
      <w:r>
        <w:rPr>
          <w:rFonts w:hint="eastAsia"/>
          <w:color w:val="auto"/>
          <w:lang w:val="zh-CN" w:eastAsia="zh-CN"/>
        </w:rPr>
        <w:t>8t、SS0.</w:t>
      </w:r>
      <w:r>
        <w:rPr>
          <w:rFonts w:hint="eastAsia"/>
          <w:color w:val="auto"/>
          <w:lang w:val="en-US" w:eastAsia="zh-CN"/>
        </w:rPr>
        <w:t>56</w:t>
      </w:r>
      <w:r>
        <w:rPr>
          <w:rFonts w:hint="eastAsia"/>
          <w:color w:val="auto"/>
          <w:lang w:val="zh-CN" w:eastAsia="zh-CN"/>
        </w:rPr>
        <w:t>t、石油类0.0042t。</w:t>
      </w:r>
      <w:r>
        <w:rPr>
          <w:rFonts w:hint="default"/>
          <w:color w:val="auto"/>
          <w:vertAlign w:val="baseline"/>
          <w:lang w:val="en-US" w:eastAsia="zh-CN"/>
        </w:rPr>
        <w:t>本工程共布置有</w:t>
      </w:r>
      <w:r>
        <w:rPr>
          <w:rFonts w:hint="eastAsia"/>
          <w:color w:val="auto"/>
          <w:vertAlign w:val="baseline"/>
          <w:lang w:val="en-US" w:eastAsia="zh-CN"/>
        </w:rPr>
        <w:t>6</w:t>
      </w:r>
      <w:r>
        <w:rPr>
          <w:rFonts w:hint="default"/>
          <w:color w:val="auto"/>
          <w:vertAlign w:val="baseline"/>
          <w:lang w:val="en-US" w:eastAsia="zh-CN"/>
        </w:rPr>
        <w:t>个施工区，则每个工区产生冲洗废水约</w:t>
      </w:r>
      <w:r>
        <w:rPr>
          <w:rFonts w:hint="eastAsia"/>
          <w:color w:val="auto"/>
          <w:vertAlign w:val="baseline"/>
          <w:lang w:val="en-US" w:eastAsia="zh-CN"/>
        </w:rPr>
        <w:t>3.33</w:t>
      </w:r>
      <w:r>
        <w:rPr>
          <w:rFonts w:hint="default"/>
          <w:color w:val="auto"/>
          <w:vertAlign w:val="baseline"/>
          <w:lang w:val="en-US" w:eastAsia="zh-CN"/>
        </w:rPr>
        <w:t>m</w:t>
      </w:r>
      <w:r>
        <w:rPr>
          <w:rFonts w:hint="default"/>
          <w:color w:val="auto"/>
          <w:vertAlign w:val="superscript"/>
          <w:lang w:val="en-US" w:eastAsia="zh-CN"/>
        </w:rPr>
        <w:t>3</w:t>
      </w:r>
      <w:r>
        <w:rPr>
          <w:rFonts w:hint="default"/>
          <w:color w:val="auto"/>
          <w:vertAlign w:val="baseline"/>
          <w:lang w:val="en-US" w:eastAsia="zh-CN"/>
        </w:rPr>
        <w:t>/</w:t>
      </w:r>
      <w:r>
        <w:rPr>
          <w:rFonts w:hint="eastAsia"/>
          <w:color w:val="auto"/>
          <w:vertAlign w:val="baseline"/>
          <w:lang w:val="en-US" w:eastAsia="zh-CN"/>
        </w:rPr>
        <w:t>月</w:t>
      </w:r>
      <w:r>
        <w:rPr>
          <w:rFonts w:hint="default"/>
          <w:color w:val="auto"/>
          <w:vertAlign w:val="baseline"/>
          <w:lang w:val="en-US" w:eastAsia="zh-CN"/>
        </w:rPr>
        <w:t>。施工机械冲洗废水的主要污染物浓度为COD200mg/L、SS4000mg/L、石油类30mg/L。</w:t>
      </w:r>
    </w:p>
    <w:p w14:paraId="21CBEEC0">
      <w:pPr>
        <w:bidi w:val="0"/>
        <w:jc w:val="both"/>
        <w:rPr>
          <w:rFonts w:hint="default"/>
          <w:color w:val="auto"/>
          <w:vertAlign w:val="baseline"/>
          <w:lang w:val="en-US" w:eastAsia="zh-CN"/>
        </w:rPr>
      </w:pPr>
      <w:r>
        <w:rPr>
          <w:rFonts w:hint="default"/>
          <w:color w:val="auto"/>
          <w:vertAlign w:val="baseline"/>
          <w:lang w:val="en-US" w:eastAsia="zh-CN"/>
        </w:rPr>
        <w:t>（</w:t>
      </w:r>
      <w:r>
        <w:rPr>
          <w:rFonts w:hint="eastAsia"/>
          <w:color w:val="auto"/>
          <w:vertAlign w:val="baseline"/>
          <w:lang w:val="en-US" w:eastAsia="zh-CN"/>
        </w:rPr>
        <w:t>2</w:t>
      </w:r>
      <w:r>
        <w:rPr>
          <w:rFonts w:hint="default"/>
          <w:color w:val="auto"/>
          <w:vertAlign w:val="baseline"/>
          <w:lang w:val="en-US" w:eastAsia="zh-CN"/>
        </w:rPr>
        <w:t>）含油废水处理措施</w:t>
      </w:r>
    </w:p>
    <w:p w14:paraId="3FED8B70">
      <w:pPr>
        <w:bidi w:val="0"/>
        <w:jc w:val="both"/>
        <w:rPr>
          <w:rFonts w:hint="default"/>
          <w:color w:val="auto"/>
          <w:vertAlign w:val="baseline"/>
          <w:lang w:val="en-US" w:eastAsia="zh-CN"/>
        </w:rPr>
      </w:pPr>
      <w:r>
        <w:rPr>
          <w:rFonts w:hint="default"/>
          <w:color w:val="auto"/>
          <w:vertAlign w:val="baseline"/>
          <w:lang w:val="en-US" w:eastAsia="zh-CN"/>
        </w:rPr>
        <w:t>根据施工组织设计，本工程施工充分利用周边城镇已有的修配厂对车辆机械进行维修保养，因此，施工现场因冲洗产生的含油废水量较小。对于各个施工机械集中维护清洗场应设置隔油池，使用油水分离器进行含油废水的处理，隔油池应定期清理，所得废油桶装运到指定地点处理。根据施工场地大小和机械车辆使用频次，在施工区布设1处含油废水处理系统。收集处理后的冲洗废水循环使用于施工机械冲洗和维护，多余废水用于施工场地和道路洒水降尘，施工期间产生的机械车辆冲洗废水不排放。</w:t>
      </w:r>
    </w:p>
    <w:p w14:paraId="4BC9E0AE">
      <w:pPr>
        <w:bidi w:val="0"/>
        <w:jc w:val="both"/>
        <w:rPr>
          <w:rFonts w:hint="default"/>
          <w:color w:val="auto"/>
          <w:vertAlign w:val="baseline"/>
          <w:lang w:val="en-US" w:eastAsia="zh-CN"/>
        </w:rPr>
      </w:pPr>
      <w:r>
        <w:rPr>
          <w:rFonts w:hint="default"/>
          <w:color w:val="auto"/>
          <w:vertAlign w:val="baseline"/>
          <w:lang w:val="en-US" w:eastAsia="zh-CN"/>
        </w:rPr>
        <w:t>隔油池中废油和沉渣约15天清理一次，收集的废油交由具有危险废物处置资质单位处理，沉渣随生活垃圾一同清运至垃圾中转站。处理达标后废水可回用于道路和施工场地洒水，禁止排入水体。</w:t>
      </w:r>
    </w:p>
    <w:p w14:paraId="7E212D4F">
      <w:pPr>
        <w:bidi w:val="0"/>
        <w:jc w:val="both"/>
        <w:rPr>
          <w:rFonts w:hint="default"/>
          <w:color w:val="auto"/>
          <w:vertAlign w:val="baseline"/>
          <w:lang w:val="en-US" w:eastAsia="zh-CN"/>
        </w:rPr>
      </w:pPr>
      <w:r>
        <w:rPr>
          <w:rFonts w:hint="default"/>
          <w:color w:val="auto"/>
          <w:vertAlign w:val="baseline"/>
          <w:lang w:val="en-US" w:eastAsia="zh-CN"/>
        </w:rPr>
        <w:t>本工程车辆、设备保养冲洗废水处理工艺流程见</w:t>
      </w:r>
      <w:r>
        <w:rPr>
          <w:rFonts w:hint="eastAsia"/>
          <w:color w:val="auto"/>
          <w:vertAlign w:val="baseline"/>
          <w:lang w:val="en-US" w:eastAsia="zh-CN"/>
        </w:rPr>
        <w:t>下图</w:t>
      </w:r>
      <w:r>
        <w:rPr>
          <w:rFonts w:hint="default"/>
          <w:color w:val="auto"/>
          <w:vertAlign w:val="baseline"/>
          <w:lang w:val="en-US" w:eastAsia="zh-CN"/>
        </w:rPr>
        <w:t>。</w:t>
      </w:r>
    </w:p>
    <w:p w14:paraId="0663CD72">
      <w:pPr>
        <w:pStyle w:val="36"/>
        <w:bidi w:val="0"/>
        <w:rPr>
          <w:color w:val="auto"/>
        </w:rPr>
      </w:pPr>
      <w:r>
        <w:rPr>
          <w:color w:val="auto"/>
        </w:rPr>
        <w:drawing>
          <wp:inline distT="0" distB="0" distL="114300" distR="114300">
            <wp:extent cx="4375150" cy="1498600"/>
            <wp:effectExtent l="0" t="0" r="6350" b="0"/>
            <wp:docPr id="11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图片 1"/>
                    <pic:cNvPicPr>
                      <a:picLocks noChangeAspect="1"/>
                    </pic:cNvPicPr>
                  </pic:nvPicPr>
                  <pic:blipFill>
                    <a:blip r:embed="rId86"/>
                    <a:stretch>
                      <a:fillRect/>
                    </a:stretch>
                  </pic:blipFill>
                  <pic:spPr>
                    <a:xfrm>
                      <a:off x="0" y="0"/>
                      <a:ext cx="4375150" cy="1498600"/>
                    </a:xfrm>
                    <a:prstGeom prst="rect">
                      <a:avLst/>
                    </a:prstGeom>
                    <a:noFill/>
                    <a:ln>
                      <a:noFill/>
                    </a:ln>
                  </pic:spPr>
                </pic:pic>
              </a:graphicData>
            </a:graphic>
          </wp:inline>
        </w:drawing>
      </w:r>
    </w:p>
    <w:p w14:paraId="4C6F4A5E">
      <w:pPr>
        <w:pStyle w:val="11"/>
        <w:rPr>
          <w:color w:val="auto"/>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6.1</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rFonts w:hint="eastAsia"/>
          <w:color w:val="auto"/>
        </w:rPr>
        <w:t>断面</w:t>
      </w:r>
    </w:p>
    <w:p w14:paraId="4CB5DF4B">
      <w:pPr>
        <w:pStyle w:val="36"/>
        <w:bidi w:val="0"/>
        <w:rPr>
          <w:color w:val="auto"/>
        </w:rPr>
      </w:pPr>
      <w:r>
        <w:rPr>
          <w:color w:val="auto"/>
        </w:rPr>
        <w:drawing>
          <wp:inline distT="0" distB="0" distL="114300" distR="114300">
            <wp:extent cx="4400550" cy="1943100"/>
            <wp:effectExtent l="0" t="0" r="6350" b="0"/>
            <wp:docPr id="11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图片 2"/>
                    <pic:cNvPicPr>
                      <a:picLocks noChangeAspect="1"/>
                    </pic:cNvPicPr>
                  </pic:nvPicPr>
                  <pic:blipFill>
                    <a:blip r:embed="rId87"/>
                    <a:stretch>
                      <a:fillRect/>
                    </a:stretch>
                  </pic:blipFill>
                  <pic:spPr>
                    <a:xfrm>
                      <a:off x="0" y="0"/>
                      <a:ext cx="4400550" cy="1943100"/>
                    </a:xfrm>
                    <a:prstGeom prst="rect">
                      <a:avLst/>
                    </a:prstGeom>
                    <a:noFill/>
                    <a:ln>
                      <a:noFill/>
                    </a:ln>
                  </pic:spPr>
                </pic:pic>
              </a:graphicData>
            </a:graphic>
          </wp:inline>
        </w:drawing>
      </w:r>
    </w:p>
    <w:p w14:paraId="2909A190">
      <w:pPr>
        <w:pStyle w:val="11"/>
        <w:rPr>
          <w:rFonts w:hint="default"/>
          <w:color w:val="auto"/>
          <w:lang w:val="en-US" w:eastAsia="zh-CN"/>
        </w:rPr>
      </w:pPr>
      <w:r>
        <w:rPr>
          <w:color w:val="auto"/>
        </w:rPr>
        <w:t>图</w:t>
      </w:r>
      <w:r>
        <w:rPr>
          <w:color w:val="auto"/>
        </w:rPr>
        <w:fldChar w:fldCharType="begin"/>
      </w:r>
      <w:r>
        <w:rPr>
          <w:color w:val="auto"/>
        </w:rPr>
        <w:instrText xml:space="preserve"> STYLEREF 2 \s </w:instrText>
      </w:r>
      <w:r>
        <w:rPr>
          <w:color w:val="auto"/>
        </w:rPr>
        <w:fldChar w:fldCharType="separate"/>
      </w:r>
      <w:r>
        <w:rPr>
          <w:color w:val="auto"/>
        </w:rPr>
        <w:t>6.1</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2</w:t>
      </w:r>
      <w:r>
        <w:rPr>
          <w:color w:val="auto"/>
        </w:rPr>
        <w:fldChar w:fldCharType="end"/>
      </w:r>
      <w:r>
        <w:rPr>
          <w:rFonts w:hint="eastAsia"/>
          <w:color w:val="auto"/>
        </w:rPr>
        <w:t>车辆、设备保养冲洗废水处理工艺流程</w:t>
      </w:r>
    </w:p>
    <w:p w14:paraId="6650AD66">
      <w:pPr>
        <w:pStyle w:val="4"/>
        <w:bidi w:val="0"/>
        <w:rPr>
          <w:rFonts w:hint="eastAsia"/>
          <w:color w:val="auto"/>
          <w:lang w:val="zh-CN" w:eastAsia="zh-CN"/>
        </w:rPr>
      </w:pPr>
      <w:bookmarkStart w:id="198" w:name="_Toc31292"/>
      <w:r>
        <w:rPr>
          <w:rFonts w:hint="eastAsia"/>
          <w:color w:val="auto"/>
          <w:lang w:val="zh-CN" w:eastAsia="zh-CN"/>
        </w:rPr>
        <w:t>施工生活废水</w:t>
      </w:r>
      <w:bookmarkEnd w:id="198"/>
    </w:p>
    <w:p w14:paraId="260874E3">
      <w:pPr>
        <w:bidi w:val="0"/>
        <w:rPr>
          <w:rFonts w:hint="eastAsia"/>
          <w:color w:val="auto"/>
          <w:highlight w:val="none"/>
          <w:lang w:val="zh-CN" w:eastAsia="zh-CN"/>
        </w:rPr>
      </w:pPr>
      <w:r>
        <w:rPr>
          <w:rFonts w:hint="eastAsia"/>
          <w:color w:val="auto"/>
          <w:highlight w:val="none"/>
          <w:lang w:val="zh-CN" w:eastAsia="zh-CN"/>
        </w:rPr>
        <w:t>本项目施工人员住宿通过就近租住民宅解决</w:t>
      </w:r>
      <w:r>
        <w:rPr>
          <w:rFonts w:hint="eastAsia"/>
          <w:color w:val="auto"/>
          <w:lang w:val="zh-CN" w:eastAsia="zh-CN"/>
        </w:rPr>
        <w:t>，生活污水主要考虑来自施工人员产生日常生活废水。</w:t>
      </w:r>
      <w:r>
        <w:rPr>
          <w:rFonts w:hint="eastAsia"/>
          <w:color w:val="auto"/>
          <w:highlight w:val="none"/>
          <w:lang w:val="zh-CN" w:eastAsia="zh-CN"/>
        </w:rPr>
        <w:t>生活污水经租住的民宅内的化粪池或旱厕收集后用于农田灌溉，不外排。</w:t>
      </w:r>
    </w:p>
    <w:p w14:paraId="2DE4D824">
      <w:pPr>
        <w:pStyle w:val="3"/>
        <w:bidi w:val="0"/>
        <w:ind w:left="480" w:leftChars="0" w:firstLineChars="0"/>
        <w:rPr>
          <w:rFonts w:hint="eastAsia"/>
          <w:color w:val="auto"/>
          <w:lang w:val="zh-CN" w:eastAsia="zh-CN"/>
        </w:rPr>
      </w:pPr>
      <w:bookmarkStart w:id="199" w:name="_Toc3006"/>
      <w:r>
        <w:rPr>
          <w:rFonts w:hint="eastAsia"/>
          <w:color w:val="auto"/>
          <w:lang w:val="zh-CN" w:eastAsia="zh-CN"/>
        </w:rPr>
        <w:t>地下水环境保护措施</w:t>
      </w:r>
      <w:bookmarkEnd w:id="199"/>
    </w:p>
    <w:p w14:paraId="7672B643">
      <w:pPr>
        <w:bidi w:val="0"/>
        <w:rPr>
          <w:rFonts w:hint="eastAsia"/>
          <w:color w:val="auto"/>
          <w:lang w:val="zh-CN" w:eastAsia="zh-CN"/>
        </w:rPr>
      </w:pPr>
      <w:r>
        <w:rPr>
          <w:rFonts w:hint="eastAsia"/>
          <w:color w:val="auto"/>
          <w:lang w:val="zh-CN" w:eastAsia="zh-CN"/>
        </w:rPr>
        <w:t>工程本身并不产生地下水污染，其污染物均为外来物质进入河道引起。因此，防止污染源进入施工区域地表水体，从源头上控制其对治理河道的污染，从而避免河道整治对地下水的污染，将污染风险降到最低限度。为了防止施工期产生的废水进入地下水环境中，对各类施工废水、施工渣土均进行合理处理。</w:t>
      </w:r>
    </w:p>
    <w:p w14:paraId="709A1B62">
      <w:pPr>
        <w:bidi w:val="0"/>
        <w:rPr>
          <w:rFonts w:hint="eastAsia"/>
          <w:color w:val="auto"/>
          <w:highlight w:val="none"/>
          <w:lang w:val="zh-CN" w:eastAsia="zh-CN"/>
        </w:rPr>
      </w:pPr>
      <w:r>
        <w:rPr>
          <w:rFonts w:hint="eastAsia"/>
          <w:color w:val="auto"/>
          <w:lang w:val="zh-CN" w:eastAsia="zh-CN"/>
        </w:rPr>
        <w:t>施工废水经隔油沉淀处理后回用，不直接外排，</w:t>
      </w:r>
      <w:r>
        <w:rPr>
          <w:rFonts w:hint="eastAsia"/>
          <w:color w:val="auto"/>
          <w:highlight w:val="none"/>
          <w:lang w:val="zh-CN" w:eastAsia="zh-CN"/>
        </w:rPr>
        <w:t>施工期不设置临时施工营地，施工人员采取租用民房居住，生活污水经租住的民房的生活污水处理系统处理后用于农田灌溉，不外排。</w:t>
      </w:r>
    </w:p>
    <w:p w14:paraId="47630626">
      <w:pPr>
        <w:bidi w:val="0"/>
        <w:rPr>
          <w:rFonts w:hint="eastAsia"/>
          <w:color w:val="auto"/>
          <w:lang w:val="zh-CN" w:eastAsia="zh-CN"/>
        </w:rPr>
      </w:pPr>
      <w:r>
        <w:rPr>
          <w:rFonts w:hint="eastAsia"/>
          <w:color w:val="auto"/>
          <w:highlight w:val="none"/>
          <w:lang w:val="en-US" w:eastAsia="zh-CN"/>
        </w:rPr>
        <w:t>清淤垃圾堆放区、</w:t>
      </w:r>
      <w:r>
        <w:rPr>
          <w:rFonts w:hint="eastAsia"/>
          <w:color w:val="auto"/>
          <w:lang w:val="zh-CN" w:eastAsia="zh-CN"/>
        </w:rPr>
        <w:t>隔油</w:t>
      </w:r>
      <w:r>
        <w:rPr>
          <w:rFonts w:hint="eastAsia"/>
          <w:color w:val="auto"/>
          <w:lang w:val="en-US" w:eastAsia="zh-CN"/>
        </w:rPr>
        <w:t>池、</w:t>
      </w:r>
      <w:r>
        <w:rPr>
          <w:rFonts w:hint="eastAsia"/>
          <w:color w:val="auto"/>
          <w:lang w:val="zh-CN" w:eastAsia="zh-CN"/>
        </w:rPr>
        <w:t>沉淀池应采取黏土铺底，水泥硬化防渗措施。工程施工区域建筑材料临时堆放场所应设置一定防渗区域，防止淋渗水对地下水环境影响。施工渣土和建筑垃圾所含污染物浓度较低，且定期清运综合利用，不会对区域地下水环境产生明显污染。</w:t>
      </w:r>
    </w:p>
    <w:p w14:paraId="115662ED">
      <w:pPr>
        <w:pStyle w:val="3"/>
        <w:bidi w:val="0"/>
        <w:ind w:left="480" w:leftChars="0" w:firstLineChars="0"/>
        <w:rPr>
          <w:rFonts w:hint="eastAsia"/>
          <w:color w:val="auto"/>
          <w:lang w:val="zh-CN" w:eastAsia="zh-CN"/>
        </w:rPr>
      </w:pPr>
      <w:bookmarkStart w:id="200" w:name="_Toc15524"/>
      <w:r>
        <w:rPr>
          <w:rFonts w:hint="eastAsia"/>
          <w:color w:val="auto"/>
          <w:lang w:val="zh-CN" w:eastAsia="zh-CN"/>
        </w:rPr>
        <w:t>环境空气保护措施</w:t>
      </w:r>
      <w:bookmarkEnd w:id="200"/>
    </w:p>
    <w:p w14:paraId="245C41FE">
      <w:pPr>
        <w:bidi w:val="0"/>
        <w:rPr>
          <w:rFonts w:hint="eastAsia"/>
          <w:color w:val="auto"/>
          <w:lang w:val="zh-CN" w:eastAsia="zh-CN"/>
        </w:rPr>
      </w:pPr>
      <w:r>
        <w:rPr>
          <w:rFonts w:hint="eastAsia"/>
          <w:color w:val="auto"/>
          <w:lang w:val="zh-CN" w:eastAsia="zh-CN"/>
        </w:rPr>
        <w:t>本工程施工活动对区域环境空气质量的影响主要源自施工过程中土方开挖、回填、堆放和车辆交通运输过程中产生的粉尘、扬尘；施工机械和运输车辆运行时排放的燃油机械废气、底泥清淤产生的废气等，主要污染物为TSP、PM</w:t>
      </w:r>
      <w:r>
        <w:rPr>
          <w:rFonts w:hint="eastAsia"/>
          <w:color w:val="auto"/>
          <w:vertAlign w:val="subscript"/>
          <w:lang w:val="zh-CN" w:eastAsia="zh-CN"/>
        </w:rPr>
        <w:t>10</w:t>
      </w:r>
      <w:r>
        <w:rPr>
          <w:rFonts w:hint="eastAsia"/>
          <w:color w:val="auto"/>
          <w:lang w:val="zh-CN" w:eastAsia="zh-CN"/>
        </w:rPr>
        <w:t>、SO</w:t>
      </w:r>
      <w:r>
        <w:rPr>
          <w:rFonts w:hint="eastAsia"/>
          <w:color w:val="auto"/>
          <w:vertAlign w:val="subscript"/>
          <w:lang w:val="zh-CN" w:eastAsia="zh-CN"/>
        </w:rPr>
        <w:t>2</w:t>
      </w:r>
      <w:r>
        <w:rPr>
          <w:rFonts w:hint="eastAsia"/>
          <w:color w:val="auto"/>
          <w:lang w:val="zh-CN" w:eastAsia="zh-CN"/>
        </w:rPr>
        <w:t>、NOx、</w:t>
      </w:r>
      <w:r>
        <w:rPr>
          <w:rFonts w:hint="eastAsia"/>
          <w:color w:val="auto"/>
          <w:lang w:val="en-US" w:eastAsia="zh-CN"/>
        </w:rPr>
        <w:t>NH</w:t>
      </w:r>
      <w:r>
        <w:rPr>
          <w:rFonts w:hint="eastAsia"/>
          <w:color w:val="auto"/>
          <w:vertAlign w:val="subscript"/>
          <w:lang w:val="en-US" w:eastAsia="zh-CN"/>
        </w:rPr>
        <w:t>3</w:t>
      </w:r>
      <w:r>
        <w:rPr>
          <w:rFonts w:hint="eastAsia"/>
          <w:color w:val="auto"/>
          <w:lang w:val="en-US" w:eastAsia="zh-CN"/>
        </w:rPr>
        <w:t>、H</w:t>
      </w:r>
      <w:r>
        <w:rPr>
          <w:rFonts w:hint="eastAsia"/>
          <w:color w:val="auto"/>
          <w:vertAlign w:val="subscript"/>
          <w:lang w:val="en-US" w:eastAsia="zh-CN"/>
        </w:rPr>
        <w:t>2</w:t>
      </w:r>
      <w:r>
        <w:rPr>
          <w:rFonts w:hint="eastAsia"/>
          <w:color w:val="auto"/>
          <w:lang w:val="en-US" w:eastAsia="zh-CN"/>
        </w:rPr>
        <w:t>S、臭气浓度</w:t>
      </w:r>
      <w:r>
        <w:rPr>
          <w:rFonts w:hint="eastAsia"/>
          <w:color w:val="auto"/>
          <w:lang w:val="zh-CN" w:eastAsia="zh-CN"/>
        </w:rPr>
        <w:t>等。</w:t>
      </w:r>
    </w:p>
    <w:p w14:paraId="6A1E3A26">
      <w:pPr>
        <w:bidi w:val="0"/>
        <w:rPr>
          <w:rFonts w:hint="eastAsia"/>
          <w:color w:val="auto"/>
          <w:lang w:val="zh-CN" w:eastAsia="zh-CN"/>
        </w:rPr>
      </w:pPr>
      <w:r>
        <w:rPr>
          <w:rFonts w:hint="eastAsia"/>
          <w:color w:val="auto"/>
          <w:lang w:val="zh-CN" w:eastAsia="zh-CN"/>
        </w:rPr>
        <w:t>根据《安徽省大气污染防治行动计划实施方案》、《</w:t>
      </w:r>
      <w:r>
        <w:rPr>
          <w:rFonts w:hint="eastAsia"/>
          <w:color w:val="auto"/>
          <w:highlight w:val="none"/>
          <w:lang w:val="en-US" w:eastAsia="zh-CN"/>
        </w:rPr>
        <w:t>池州市</w:t>
      </w:r>
      <w:r>
        <w:rPr>
          <w:rFonts w:hint="eastAsia"/>
          <w:color w:val="auto"/>
          <w:lang w:val="zh-CN" w:eastAsia="zh-CN"/>
        </w:rPr>
        <w:t>大气污染防治行动计划实施方案》等要求，推进建筑、建造方式转变，开展建筑工地、物料堆场扬尘综合整治；强化扬尘污染防治责任，严格实行网格化管理，施工企业要在开工前制定建筑施工现场扬尘控制措施，对施工现场实施封闭围挡、道路硬化、材料堆放遮盖、进出车辆冲洗、工程立面围护、建筑垃圾清运等措施。</w:t>
      </w:r>
    </w:p>
    <w:p w14:paraId="2C381F47">
      <w:pPr>
        <w:bidi w:val="0"/>
        <w:rPr>
          <w:rFonts w:hint="eastAsia"/>
          <w:color w:val="auto"/>
          <w:lang w:val="zh-CN" w:eastAsia="zh-CN"/>
        </w:rPr>
      </w:pPr>
      <w:r>
        <w:rPr>
          <w:rFonts w:hint="eastAsia"/>
          <w:color w:val="auto"/>
          <w:lang w:val="zh-CN" w:eastAsia="zh-CN"/>
        </w:rPr>
        <w:t>根据《安徽省建筑工程施工和预拌混凝土生产扬尘污染防治标准（试行）》要求，建筑工程施工应做到“六个百分之百”，即施工工地周边百分之百围挡、物料堆放百分之百覆盖、出入车辆百分之百冲洗、施工现场地面百分之百硬化、百分之百湿法土方作业、渣土车辆百分之百密闭运输。</w:t>
      </w:r>
    </w:p>
    <w:p w14:paraId="45C24C58">
      <w:pPr>
        <w:bidi w:val="0"/>
        <w:rPr>
          <w:rFonts w:hint="eastAsia"/>
          <w:color w:val="auto"/>
          <w:lang w:val="zh-CN" w:eastAsia="zh-CN"/>
        </w:rPr>
      </w:pPr>
      <w:r>
        <w:rPr>
          <w:rFonts w:hint="eastAsia"/>
          <w:color w:val="auto"/>
          <w:lang w:val="zh-CN" w:eastAsia="zh-CN"/>
        </w:rPr>
        <w:t>根据《安徽省柴油货车污染防治攻坚战实施方案》要求，严格实施国家机动车油耗和排放标准。严格实施重型柴油车燃料消耗量限值标准，不满足标准限值要求的新车型禁止进入道路运输市场。加强重型车辆道路行驶管理。优化重型车辆绕城行驶。通过新建道路、分时规划路线等方式，完善制定重型载货车辆绕城方案，明确国三标准及以下柴油车辆禁限行区域、路段以及绕行具体路线，严控重型柴油车辆进城。</w:t>
      </w:r>
    </w:p>
    <w:p w14:paraId="3BB0619F">
      <w:pPr>
        <w:pStyle w:val="4"/>
        <w:bidi w:val="0"/>
        <w:rPr>
          <w:rFonts w:hint="eastAsia"/>
          <w:color w:val="auto"/>
          <w:lang w:val="zh-CN" w:eastAsia="zh-CN"/>
        </w:rPr>
      </w:pPr>
      <w:bookmarkStart w:id="201" w:name="_Toc25375"/>
      <w:r>
        <w:rPr>
          <w:rFonts w:hint="eastAsia"/>
          <w:color w:val="auto"/>
          <w:lang w:val="zh-CN" w:eastAsia="zh-CN"/>
        </w:rPr>
        <w:t>施工扬尘</w:t>
      </w:r>
      <w:bookmarkEnd w:id="201"/>
    </w:p>
    <w:p w14:paraId="2921BFF2">
      <w:pPr>
        <w:bidi w:val="0"/>
        <w:rPr>
          <w:rFonts w:hint="eastAsia"/>
          <w:color w:val="auto"/>
          <w:lang w:val="zh-CN" w:eastAsia="zh-CN"/>
        </w:rPr>
      </w:pPr>
      <w:r>
        <w:rPr>
          <w:rFonts w:hint="eastAsia"/>
          <w:color w:val="auto"/>
          <w:lang w:val="zh-CN" w:eastAsia="zh-CN"/>
        </w:rPr>
        <w:t>施工产生的扬尘主要包括土方挖掘、堆放、清运、回填和场地平整等过程产生的扬尘；运输车辆往来造成地面扬尘；建筑材料水泥、砂子以及土方等在其装卸、运输、堆放等过程中，因风力作用而产生的扬尘污染等。</w:t>
      </w:r>
    </w:p>
    <w:p w14:paraId="101C7EB4">
      <w:pPr>
        <w:bidi w:val="0"/>
        <w:rPr>
          <w:rFonts w:hint="eastAsia"/>
          <w:color w:val="auto"/>
          <w:lang w:val="zh-CN" w:eastAsia="zh-CN"/>
        </w:rPr>
      </w:pPr>
      <w:r>
        <w:rPr>
          <w:rFonts w:hint="eastAsia"/>
          <w:color w:val="auto"/>
          <w:lang w:val="zh-CN" w:eastAsia="zh-CN"/>
        </w:rPr>
        <w:t>（1）土方开挖及材料堆放扬尘等过程产生的扬尘</w:t>
      </w:r>
    </w:p>
    <w:p w14:paraId="139C71A0">
      <w:pPr>
        <w:bidi w:val="0"/>
        <w:rPr>
          <w:rFonts w:hint="eastAsia"/>
          <w:color w:val="auto"/>
          <w:lang w:val="zh-CN" w:eastAsia="zh-CN"/>
        </w:rPr>
      </w:pPr>
      <w:r>
        <w:rPr>
          <w:rFonts w:hint="eastAsia"/>
          <w:color w:val="auto"/>
          <w:lang w:val="zh-CN" w:eastAsia="zh-CN"/>
        </w:rPr>
        <w:t>①施工工地内临时堆放的水泥、灰土、砂石等易产生扬尘污染物料的，应当在其周围设置不低于堆放物高度的封闭性围挡，经常洒水保持堆场内地面湿润，进一步抑制物料扬尘污染。</w:t>
      </w:r>
    </w:p>
    <w:p w14:paraId="27257C8D">
      <w:pPr>
        <w:bidi w:val="0"/>
        <w:rPr>
          <w:rFonts w:hint="eastAsia"/>
          <w:color w:val="auto"/>
          <w:lang w:val="zh-CN" w:eastAsia="zh-CN"/>
        </w:rPr>
      </w:pPr>
      <w:r>
        <w:rPr>
          <w:rFonts w:hint="eastAsia"/>
          <w:color w:val="auto"/>
          <w:lang w:val="zh-CN" w:eastAsia="zh-CN"/>
        </w:rPr>
        <w:t>②渣土等建筑垃圾及土方、砂石等材料应分类堆放，严密覆盖。需要运输、处理的，按市容部门规定的时间、路线和要求，清运至指定的场所处理。</w:t>
      </w:r>
    </w:p>
    <w:p w14:paraId="577AF30F">
      <w:pPr>
        <w:bidi w:val="0"/>
        <w:rPr>
          <w:rFonts w:hint="eastAsia"/>
          <w:color w:val="auto"/>
          <w:lang w:val="zh-CN" w:eastAsia="zh-CN"/>
        </w:rPr>
      </w:pPr>
      <w:r>
        <w:rPr>
          <w:rFonts w:hint="eastAsia"/>
          <w:color w:val="auto"/>
          <w:lang w:val="zh-CN" w:eastAsia="zh-CN"/>
        </w:rPr>
        <w:t>③在大风天气或空气干燥易产生扬尘的天气，采用洒水等措施保持一定湿度，提高土方表面含水率，也能起到抑尘的效果，减少扬尘污染。</w:t>
      </w:r>
    </w:p>
    <w:p w14:paraId="076291CD">
      <w:pPr>
        <w:bidi w:val="0"/>
        <w:rPr>
          <w:rFonts w:hint="eastAsia"/>
          <w:color w:val="auto"/>
          <w:lang w:val="zh-CN" w:eastAsia="zh-CN"/>
        </w:rPr>
      </w:pPr>
      <w:r>
        <w:rPr>
          <w:rFonts w:hint="eastAsia"/>
          <w:color w:val="auto"/>
          <w:lang w:val="zh-CN" w:eastAsia="zh-CN"/>
        </w:rPr>
        <w:t>④施工现场土方开挖后尽快完成回填，不能及时回填的场地，应采取覆盖等防尘措施。遇到5级及以上大风天气，应停止土方作业，同时作业处覆以防尘网。</w:t>
      </w:r>
    </w:p>
    <w:p w14:paraId="1031E02B">
      <w:pPr>
        <w:bidi w:val="0"/>
        <w:rPr>
          <w:rFonts w:hint="eastAsia"/>
          <w:color w:val="auto"/>
          <w:lang w:val="zh-CN" w:eastAsia="zh-CN"/>
        </w:rPr>
      </w:pPr>
      <w:r>
        <w:rPr>
          <w:rFonts w:hint="eastAsia"/>
          <w:color w:val="auto"/>
          <w:lang w:val="zh-CN" w:eastAsia="zh-CN"/>
        </w:rPr>
        <w:t>⑤在靠近居民点的一侧设置防尘围栏。</w:t>
      </w:r>
    </w:p>
    <w:p w14:paraId="05B64A3A">
      <w:pPr>
        <w:bidi w:val="0"/>
        <w:rPr>
          <w:rFonts w:hint="eastAsia"/>
          <w:color w:val="auto"/>
          <w:lang w:val="zh-CN" w:eastAsia="zh-CN"/>
        </w:rPr>
      </w:pPr>
      <w:r>
        <w:rPr>
          <w:rFonts w:hint="eastAsia"/>
          <w:color w:val="auto"/>
          <w:lang w:val="zh-CN" w:eastAsia="zh-CN"/>
        </w:rPr>
        <w:t>⑥</w:t>
      </w:r>
      <w:r>
        <w:rPr>
          <w:rFonts w:hint="eastAsia"/>
          <w:color w:val="auto"/>
          <w:lang w:val="en-US" w:eastAsia="zh-CN"/>
        </w:rPr>
        <w:t>配备</w:t>
      </w:r>
      <w:r>
        <w:rPr>
          <w:rFonts w:hint="eastAsia"/>
          <w:color w:val="auto"/>
          <w:lang w:val="zh-CN" w:eastAsia="zh-CN"/>
        </w:rPr>
        <w:t>洒水车，对施工便道经常洒水、保持路面湿润，在敏感路段增铺草垫，抑制道路扬尘污染。</w:t>
      </w:r>
    </w:p>
    <w:p w14:paraId="3D0D4195">
      <w:pPr>
        <w:bidi w:val="0"/>
        <w:rPr>
          <w:rFonts w:hint="eastAsia"/>
          <w:color w:val="auto"/>
          <w:lang w:val="zh-CN" w:eastAsia="zh-CN"/>
        </w:rPr>
      </w:pPr>
      <w:r>
        <w:rPr>
          <w:rFonts w:hint="eastAsia"/>
          <w:color w:val="auto"/>
          <w:lang w:val="zh-CN" w:eastAsia="zh-CN"/>
        </w:rPr>
        <w:t>⑦在重污染天气停止土方开挖。</w:t>
      </w:r>
    </w:p>
    <w:p w14:paraId="2E8C1ADB">
      <w:pPr>
        <w:bidi w:val="0"/>
        <w:rPr>
          <w:rFonts w:hint="eastAsia"/>
          <w:color w:val="auto"/>
          <w:lang w:val="zh-CN" w:eastAsia="zh-CN"/>
        </w:rPr>
      </w:pPr>
      <w:r>
        <w:rPr>
          <w:rFonts w:hint="eastAsia"/>
          <w:color w:val="auto"/>
          <w:lang w:val="zh-CN" w:eastAsia="zh-CN"/>
        </w:rPr>
        <w:t>（2）运输车辆造成的道路扬尘</w:t>
      </w:r>
    </w:p>
    <w:p w14:paraId="25D95BE0">
      <w:pPr>
        <w:bidi w:val="0"/>
        <w:rPr>
          <w:rFonts w:hint="eastAsia"/>
          <w:color w:val="auto"/>
          <w:lang w:val="zh-CN" w:eastAsia="zh-CN"/>
        </w:rPr>
      </w:pPr>
      <w:r>
        <w:rPr>
          <w:rFonts w:hint="eastAsia"/>
          <w:color w:val="auto"/>
          <w:lang w:val="zh-CN" w:eastAsia="zh-CN"/>
        </w:rPr>
        <w:t>①土方运输过程中应注意防止空气污染，加强运输管理，保证汽车安全、文明行驶。</w:t>
      </w:r>
    </w:p>
    <w:p w14:paraId="52D9E0AA">
      <w:pPr>
        <w:bidi w:val="0"/>
        <w:rPr>
          <w:rFonts w:hint="eastAsia"/>
          <w:color w:val="auto"/>
          <w:lang w:val="zh-CN" w:eastAsia="zh-CN"/>
        </w:rPr>
      </w:pPr>
      <w:r>
        <w:rPr>
          <w:rFonts w:hint="eastAsia"/>
          <w:color w:val="auto"/>
          <w:lang w:val="zh-CN" w:eastAsia="zh-CN"/>
        </w:rPr>
        <w:t>②运输砂、石、水泥、土方、垃圾等易产生扬尘污染的工程车辆，必须按规定统一篷布覆盖，不得超量运输，严禁途中撒漏。</w:t>
      </w:r>
    </w:p>
    <w:p w14:paraId="09126C64">
      <w:pPr>
        <w:bidi w:val="0"/>
        <w:rPr>
          <w:rFonts w:hint="eastAsia"/>
          <w:color w:val="auto"/>
          <w:lang w:val="zh-CN" w:eastAsia="zh-CN"/>
        </w:rPr>
      </w:pPr>
      <w:r>
        <w:rPr>
          <w:rFonts w:hint="eastAsia"/>
          <w:color w:val="auto"/>
          <w:lang w:val="zh-CN" w:eastAsia="zh-CN"/>
        </w:rPr>
        <w:t>③施工运输车辆、商品砼车辆、挖掘机械等驶出工地前必须进行泥土清除等防尘处理，严禁将泥浆、尘土带出工地。</w:t>
      </w:r>
    </w:p>
    <w:p w14:paraId="5964834B">
      <w:pPr>
        <w:bidi w:val="0"/>
        <w:rPr>
          <w:rFonts w:hint="eastAsia"/>
          <w:color w:val="auto"/>
          <w:lang w:val="zh-CN" w:eastAsia="zh-CN"/>
        </w:rPr>
      </w:pPr>
      <w:r>
        <w:rPr>
          <w:rFonts w:hint="eastAsia"/>
          <w:color w:val="auto"/>
          <w:lang w:val="zh-CN" w:eastAsia="zh-CN"/>
        </w:rPr>
        <w:t>④施工现场出入口道路必须硬化并配备车辆冲洗设施及配套的</w:t>
      </w:r>
      <w:r>
        <w:rPr>
          <w:rFonts w:hint="eastAsia"/>
          <w:color w:val="auto"/>
          <w:lang w:val="en-US" w:eastAsia="zh-CN"/>
        </w:rPr>
        <w:t>废水处理</w:t>
      </w:r>
      <w:r>
        <w:rPr>
          <w:rFonts w:hint="eastAsia"/>
          <w:color w:val="auto"/>
          <w:lang w:val="zh-CN" w:eastAsia="zh-CN"/>
        </w:rPr>
        <w:t>设施。对驶出施工现场的机动车辆冲洗干净，方可上路。</w:t>
      </w:r>
    </w:p>
    <w:p w14:paraId="6AD3A41E">
      <w:pPr>
        <w:bidi w:val="0"/>
        <w:rPr>
          <w:rFonts w:hint="eastAsia"/>
          <w:color w:val="auto"/>
          <w:lang w:val="zh-CN" w:eastAsia="zh-CN"/>
        </w:rPr>
      </w:pPr>
      <w:r>
        <w:rPr>
          <w:rFonts w:hint="eastAsia"/>
          <w:color w:val="auto"/>
          <w:lang w:val="zh-CN" w:eastAsia="zh-CN"/>
        </w:rPr>
        <w:t>⑤在干燥易产生扬尘的天气对场内道路进行淋洒水。</w:t>
      </w:r>
    </w:p>
    <w:p w14:paraId="47C7DD17">
      <w:pPr>
        <w:bidi w:val="0"/>
        <w:rPr>
          <w:rFonts w:hint="eastAsia"/>
          <w:color w:val="auto"/>
          <w:lang w:val="zh-CN" w:eastAsia="zh-CN"/>
        </w:rPr>
      </w:pPr>
      <w:r>
        <w:rPr>
          <w:rFonts w:hint="eastAsia"/>
          <w:color w:val="auto"/>
          <w:lang w:val="zh-CN" w:eastAsia="zh-CN"/>
        </w:rPr>
        <w:t>（3）其他扬尘防治措施</w:t>
      </w:r>
    </w:p>
    <w:p w14:paraId="08A935F2">
      <w:pPr>
        <w:bidi w:val="0"/>
        <w:rPr>
          <w:rFonts w:hint="eastAsia"/>
          <w:color w:val="auto"/>
          <w:lang w:val="zh-CN" w:eastAsia="zh-CN"/>
        </w:rPr>
      </w:pPr>
      <w:r>
        <w:rPr>
          <w:rFonts w:hint="eastAsia"/>
          <w:color w:val="auto"/>
          <w:lang w:val="zh-CN" w:eastAsia="zh-CN"/>
        </w:rPr>
        <w:t>①本项目经理部必须成立扬尘治理工作小组，由项目经理任组长，专职安全员为副组长，施工员、材料员、门卫为主要成员；必须建立扬尘管理网络并上墙公示；必须制定扬尘污染防治方案，建立相应的责任制度和作业记录台账；必须落实保洁人员，必须定时清扫施工现场。</w:t>
      </w:r>
    </w:p>
    <w:p w14:paraId="03A63E48">
      <w:pPr>
        <w:bidi w:val="0"/>
        <w:rPr>
          <w:rFonts w:hint="eastAsia"/>
          <w:color w:val="auto"/>
          <w:lang w:val="zh-CN" w:eastAsia="zh-CN"/>
        </w:rPr>
      </w:pPr>
      <w:r>
        <w:rPr>
          <w:rFonts w:hint="eastAsia"/>
          <w:color w:val="auto"/>
          <w:lang w:val="en-US" w:eastAsia="zh-CN"/>
        </w:rPr>
        <w:t>②</w:t>
      </w:r>
      <w:r>
        <w:rPr>
          <w:rFonts w:hint="eastAsia"/>
          <w:color w:val="auto"/>
          <w:lang w:val="zh-CN" w:eastAsia="zh-CN"/>
        </w:rPr>
        <w:t>施工期间，施工单位应根据《建设工程施工现场管理规定》的规定设置现场平面布置图、工程概况牌、安全生产牌、消防保卫牌、文明施工牌、环境保护牌、管理人员名单及监督电话牌等。</w:t>
      </w:r>
    </w:p>
    <w:p w14:paraId="70790B23">
      <w:pPr>
        <w:pStyle w:val="4"/>
        <w:bidi w:val="0"/>
        <w:rPr>
          <w:rFonts w:hint="eastAsia"/>
          <w:color w:val="auto"/>
          <w:lang w:val="zh-CN" w:eastAsia="zh-CN"/>
        </w:rPr>
      </w:pPr>
      <w:bookmarkStart w:id="202" w:name="_Toc18392"/>
      <w:r>
        <w:rPr>
          <w:rFonts w:hint="eastAsia"/>
          <w:color w:val="auto"/>
          <w:lang w:val="zh-CN" w:eastAsia="zh-CN"/>
        </w:rPr>
        <w:t>燃油废气防治措施</w:t>
      </w:r>
      <w:bookmarkEnd w:id="202"/>
    </w:p>
    <w:p w14:paraId="706D9541">
      <w:pPr>
        <w:bidi w:val="0"/>
        <w:rPr>
          <w:rFonts w:hint="eastAsia"/>
          <w:color w:val="auto"/>
          <w:lang w:val="zh-CN" w:eastAsia="zh-CN"/>
        </w:rPr>
      </w:pPr>
      <w:r>
        <w:rPr>
          <w:rFonts w:hint="eastAsia"/>
          <w:color w:val="auto"/>
          <w:lang w:val="zh-CN" w:eastAsia="zh-CN"/>
        </w:rPr>
        <w:t>加强大型施工机械和车辆的管理，执行I/M制度（即定期检查维护制度）。根据《安徽省柴油货车污染防治攻坚战实施方案》要求，严格实施国家机动车油耗和排放标准。严格实施重型柴油车燃料消耗量限值标准，不满足标准限值要求的新车型禁止进入道路运输市场。加强重型车辆道路行驶管理。优化重型车辆绕城行驶。通过新建道路、分时规划路线等方式，完善制定重型载货车辆绕城方案，明确国三标准及以下柴油车辆禁限行区域、路段以及绕行具体路线，严控重型柴油车辆进城。</w:t>
      </w:r>
    </w:p>
    <w:p w14:paraId="6A705998">
      <w:pPr>
        <w:bidi w:val="0"/>
        <w:rPr>
          <w:rFonts w:hint="eastAsia"/>
          <w:color w:val="auto"/>
          <w:lang w:val="zh-CN" w:eastAsia="zh-CN"/>
        </w:rPr>
      </w:pPr>
      <w:r>
        <w:rPr>
          <w:rFonts w:hint="eastAsia"/>
          <w:color w:val="auto"/>
          <w:lang w:val="zh-CN" w:eastAsia="zh-CN"/>
        </w:rPr>
        <w:t>施工单位选用施工的燃油机械，尾气排放达不到国家标准的不得进场施工，施工机械用油应选用无铅</w:t>
      </w:r>
      <w:r>
        <w:rPr>
          <w:rFonts w:hint="eastAsia" w:ascii="Times New Roman" w:hAnsi="Times New Roman" w:eastAsia="宋体" w:cs="Times New Roman"/>
          <w:color w:val="auto"/>
          <w:lang w:val="zh-CN" w:eastAsia="zh-CN"/>
        </w:rPr>
        <w:t>汽油、零号柴油等污染物含量少的优质燃料，施工单位所有燃油机械和车辆尾气排放应执行《《</w:t>
      </w:r>
      <w:r>
        <w:rPr>
          <w:rFonts w:hint="eastAsia" w:ascii="Times New Roman" w:hAnsi="Times New Roman" w:eastAsia="宋体" w:cs="Times New Roman"/>
          <w:color w:val="auto"/>
          <w:lang w:val="zh-CN" w:eastAsia="zh-CN"/>
        </w:rPr>
        <w:fldChar w:fldCharType="begin"/>
      </w:r>
      <w:r>
        <w:rPr>
          <w:rFonts w:hint="eastAsia" w:ascii="Times New Roman" w:hAnsi="Times New Roman" w:eastAsia="宋体" w:cs="Times New Roman"/>
          <w:color w:val="auto"/>
          <w:lang w:val="zh-CN" w:eastAsia="zh-CN"/>
        </w:rPr>
        <w:instrText xml:space="preserve"> HYPERLINK "http://www.mee.gov.cn/ywgz/fgbz/bz/bzwb/dqhjbh/dqydywrwpfbz/202012/t20201231_815684.shtml" </w:instrText>
      </w:r>
      <w:r>
        <w:rPr>
          <w:rFonts w:hint="eastAsia" w:ascii="Times New Roman" w:hAnsi="Times New Roman" w:eastAsia="宋体" w:cs="Times New Roman"/>
          <w:color w:val="auto"/>
          <w:lang w:val="zh-CN" w:eastAsia="zh-CN"/>
        </w:rPr>
        <w:fldChar w:fldCharType="separate"/>
      </w:r>
      <w:r>
        <w:rPr>
          <w:rFonts w:hint="eastAsia" w:ascii="Times New Roman" w:hAnsi="Times New Roman" w:eastAsia="宋体" w:cs="Times New Roman"/>
          <w:color w:val="auto"/>
          <w:lang w:val="zh-CN" w:eastAsia="zh-CN"/>
        </w:rPr>
        <w:t>非道路柴油移动机械污染物排放控制技术要求》（HJ1014-2020</w:t>
      </w:r>
      <w:r>
        <w:rPr>
          <w:rFonts w:hint="eastAsia" w:ascii="Times New Roman" w:hAnsi="Times New Roman" w:eastAsia="宋体" w:cs="Times New Roman"/>
          <w:color w:val="auto"/>
          <w:lang w:val="zh-CN" w:eastAsia="zh-CN"/>
        </w:rPr>
        <w:fldChar w:fldCharType="end"/>
      </w:r>
      <w:r>
        <w:rPr>
          <w:rFonts w:hint="eastAsia" w:ascii="Times New Roman" w:hAnsi="Times New Roman" w:eastAsia="宋体" w:cs="Times New Roman"/>
          <w:color w:val="auto"/>
          <w:lang w:val="zh-CN" w:eastAsia="zh-CN"/>
        </w:rPr>
        <w:t>）</w:t>
      </w:r>
      <w:r>
        <w:rPr>
          <w:rFonts w:hint="eastAsia" w:ascii="Times New Roman" w:hAnsi="Times New Roman" w:eastAsia="宋体" w:cs="Times New Roman"/>
          <w:color w:val="auto"/>
          <w:lang w:val="en-US" w:eastAsia="zh-CN"/>
        </w:rPr>
        <w:t>等相关要求</w:t>
      </w:r>
      <w:r>
        <w:rPr>
          <w:rFonts w:hint="eastAsia" w:ascii="Times New Roman" w:hAnsi="Times New Roman" w:eastAsia="宋体" w:cs="Times New Roman"/>
          <w:color w:val="auto"/>
          <w:lang w:val="zh-CN" w:eastAsia="zh-CN"/>
        </w:rPr>
        <w:t>，若其</w:t>
      </w:r>
      <w:r>
        <w:rPr>
          <w:rFonts w:hint="eastAsia"/>
          <w:color w:val="auto"/>
          <w:lang w:val="zh-CN" w:eastAsia="zh-CN"/>
        </w:rPr>
        <w:t>尾气不能达标排放，必须加装尾气后处理装置；同时施工机械使用优质燃料。严格执行《在用汽车报废标准》，推行强制更新报废制度，特别是对发动机耗油多、效率低、排放尾气严重超标的老旧车辆。加强对施工机械、运输车辆的维修保养，调整到最佳状态运行，禁止以柴油为燃料的施工机械超负荷工作，减少尾气排放。</w:t>
      </w:r>
    </w:p>
    <w:p w14:paraId="49D4F1CD">
      <w:pPr>
        <w:pStyle w:val="4"/>
        <w:bidi w:val="0"/>
        <w:rPr>
          <w:rFonts w:hint="eastAsia"/>
          <w:color w:val="auto"/>
          <w:lang w:val="zh-CN" w:eastAsia="zh-CN"/>
        </w:rPr>
      </w:pPr>
      <w:bookmarkStart w:id="203" w:name="_Toc17956"/>
      <w:r>
        <w:rPr>
          <w:rFonts w:hint="eastAsia"/>
          <w:color w:val="auto"/>
          <w:lang w:val="zh-CN" w:eastAsia="zh-CN"/>
        </w:rPr>
        <w:t>恶臭防治措施</w:t>
      </w:r>
      <w:bookmarkEnd w:id="203"/>
    </w:p>
    <w:p w14:paraId="0AAD13C6">
      <w:pPr>
        <w:bidi w:val="0"/>
        <w:rPr>
          <w:rFonts w:hint="eastAsia"/>
          <w:color w:val="auto"/>
          <w:lang w:val="zh-CN" w:eastAsia="zh-CN"/>
        </w:rPr>
      </w:pPr>
      <w:r>
        <w:rPr>
          <w:rFonts w:hint="eastAsia"/>
          <w:color w:val="auto"/>
          <w:lang w:val="en-US" w:eastAsia="zh-CN"/>
        </w:rPr>
        <w:t>本项目抛泥区清理的底泥弃土</w:t>
      </w:r>
      <w:r>
        <w:rPr>
          <w:rFonts w:hint="eastAsia"/>
          <w:color w:val="auto"/>
        </w:rPr>
        <w:t>在运至指定弃土场堆放晾晒，堆放时要用砂土等覆盖，这样既可以加快淤泥干化的速度，又可以避免淤泥产生的恶臭对周围环境产生明显影响</w:t>
      </w:r>
      <w:r>
        <w:rPr>
          <w:rFonts w:hint="eastAsia"/>
          <w:color w:val="auto"/>
          <w:lang w:eastAsia="zh-CN"/>
        </w:rPr>
        <w:t>。</w:t>
      </w:r>
      <w:r>
        <w:rPr>
          <w:rFonts w:hint="eastAsia"/>
          <w:color w:val="auto"/>
        </w:rPr>
        <w:t>淤泥在运输过程中按照指定路线运输，尽量避开居民集中区。</w:t>
      </w:r>
    </w:p>
    <w:p w14:paraId="18A4F3DD">
      <w:pPr>
        <w:bidi w:val="0"/>
        <w:rPr>
          <w:rFonts w:hint="eastAsia"/>
          <w:color w:val="auto"/>
          <w:lang w:val="zh-CN" w:eastAsia="zh-CN"/>
        </w:rPr>
      </w:pPr>
      <w:r>
        <w:rPr>
          <w:rFonts w:hint="eastAsia"/>
          <w:color w:val="auto"/>
          <w:lang w:val="zh-CN" w:eastAsia="zh-CN"/>
        </w:rPr>
        <w:t>①</w:t>
      </w:r>
      <w:r>
        <w:rPr>
          <w:rFonts w:hint="eastAsia"/>
          <w:color w:val="auto"/>
          <w:lang w:val="en-US" w:eastAsia="zh-CN"/>
        </w:rPr>
        <w:t>清理</w:t>
      </w:r>
      <w:r>
        <w:rPr>
          <w:rFonts w:hint="eastAsia"/>
          <w:color w:val="auto"/>
          <w:lang w:val="zh-CN" w:eastAsia="zh-CN"/>
        </w:rPr>
        <w:t>工程应选择在非汛期分段进行，底泥的气味不易扩散，可以减轻臭气对周边居民点的影响。</w:t>
      </w:r>
    </w:p>
    <w:p w14:paraId="195EB2A0">
      <w:pPr>
        <w:bidi w:val="0"/>
        <w:rPr>
          <w:rFonts w:hint="eastAsia"/>
          <w:color w:val="auto"/>
          <w:lang w:val="zh-CN" w:eastAsia="zh-CN"/>
        </w:rPr>
      </w:pPr>
      <w:r>
        <w:rPr>
          <w:rFonts w:hint="eastAsia"/>
          <w:color w:val="auto"/>
          <w:lang w:val="zh-CN" w:eastAsia="zh-CN"/>
        </w:rPr>
        <w:t>②外运的底泥</w:t>
      </w:r>
      <w:r>
        <w:rPr>
          <w:rFonts w:hint="eastAsia"/>
          <w:color w:val="auto"/>
          <w:lang w:val="en-US" w:eastAsia="zh-CN"/>
        </w:rPr>
        <w:t>弃土</w:t>
      </w:r>
      <w:r>
        <w:rPr>
          <w:rFonts w:hint="eastAsia"/>
          <w:color w:val="auto"/>
          <w:lang w:val="zh-CN" w:eastAsia="zh-CN"/>
        </w:rPr>
        <w:t>应及时清运，采用密闭</w:t>
      </w:r>
      <w:r>
        <w:rPr>
          <w:rFonts w:hint="eastAsia"/>
          <w:color w:val="auto"/>
          <w:lang w:val="en-US" w:eastAsia="zh-CN"/>
        </w:rPr>
        <w:t>车辆</w:t>
      </w:r>
      <w:r>
        <w:rPr>
          <w:rFonts w:hint="eastAsia"/>
          <w:color w:val="auto"/>
          <w:lang w:val="zh-CN" w:eastAsia="zh-CN"/>
        </w:rPr>
        <w:t>运输，以防止沿途散落，散发臭气。</w:t>
      </w:r>
    </w:p>
    <w:p w14:paraId="603BD4AE">
      <w:pPr>
        <w:bidi w:val="0"/>
        <w:rPr>
          <w:rFonts w:hint="eastAsia"/>
          <w:color w:val="auto"/>
          <w:lang w:val="zh-CN" w:eastAsia="zh-CN"/>
        </w:rPr>
      </w:pPr>
      <w:r>
        <w:rPr>
          <w:rFonts w:hint="eastAsia"/>
          <w:color w:val="auto"/>
          <w:lang w:val="zh-CN" w:eastAsia="zh-CN"/>
        </w:rPr>
        <w:t>③底泥</w:t>
      </w:r>
      <w:r>
        <w:rPr>
          <w:rFonts w:hint="eastAsia"/>
          <w:color w:val="auto"/>
          <w:lang w:val="en-US" w:eastAsia="zh-CN"/>
        </w:rPr>
        <w:t>弃土</w:t>
      </w:r>
      <w:r>
        <w:rPr>
          <w:rFonts w:hint="eastAsia"/>
          <w:color w:val="auto"/>
          <w:lang w:val="zh-CN" w:eastAsia="zh-CN"/>
        </w:rPr>
        <w:t>堆放时要用砂土等覆盖，这样既可以加快干化的速度，又可以避免产生的恶臭对周围环境产生明显影响</w:t>
      </w:r>
    </w:p>
    <w:p w14:paraId="3BA3742E">
      <w:pPr>
        <w:bidi w:val="0"/>
        <w:rPr>
          <w:rFonts w:hint="default"/>
          <w:color w:val="auto"/>
          <w:lang w:val="en-US" w:eastAsia="zh-CN"/>
        </w:rPr>
      </w:pPr>
      <w:r>
        <w:rPr>
          <w:rFonts w:hint="eastAsia"/>
          <w:color w:val="auto"/>
          <w:lang w:val="en-US" w:eastAsia="zh-CN"/>
        </w:rPr>
        <w:t>④</w:t>
      </w:r>
      <w:r>
        <w:rPr>
          <w:rFonts w:hint="eastAsia"/>
          <w:color w:val="auto"/>
          <w:lang w:val="zh-CN" w:eastAsia="zh-CN"/>
        </w:rPr>
        <w:t>注意做好施工工人的个人防护，给工人发放防护用品，如配戴防护口罩、面具等，并随时注意检查。</w:t>
      </w:r>
    </w:p>
    <w:p w14:paraId="1FE38D2D">
      <w:pPr>
        <w:pStyle w:val="3"/>
        <w:bidi w:val="0"/>
        <w:ind w:left="480" w:leftChars="0" w:firstLineChars="0"/>
        <w:rPr>
          <w:rFonts w:hint="eastAsia"/>
          <w:color w:val="auto"/>
          <w:lang w:val="zh-CN" w:eastAsia="zh-CN"/>
        </w:rPr>
      </w:pPr>
      <w:bookmarkStart w:id="204" w:name="_Toc26379"/>
      <w:r>
        <w:rPr>
          <w:rFonts w:hint="eastAsia"/>
          <w:color w:val="auto"/>
          <w:lang w:val="zh-CN" w:eastAsia="zh-CN"/>
        </w:rPr>
        <w:t>声环境保护措施</w:t>
      </w:r>
      <w:bookmarkEnd w:id="204"/>
    </w:p>
    <w:p w14:paraId="5D007B27">
      <w:pPr>
        <w:pStyle w:val="4"/>
        <w:bidi w:val="0"/>
        <w:rPr>
          <w:rFonts w:hint="eastAsia"/>
          <w:color w:val="auto"/>
          <w:lang w:val="zh-CN" w:eastAsia="zh-CN"/>
        </w:rPr>
      </w:pPr>
      <w:bookmarkStart w:id="205" w:name="_Toc3425"/>
      <w:r>
        <w:rPr>
          <w:rFonts w:hint="eastAsia"/>
          <w:color w:val="auto"/>
          <w:lang w:val="zh-CN" w:eastAsia="zh-CN"/>
        </w:rPr>
        <w:t>施工机械噪声防治措施</w:t>
      </w:r>
      <w:bookmarkEnd w:id="205"/>
    </w:p>
    <w:p w14:paraId="10F2D550">
      <w:pPr>
        <w:bidi w:val="0"/>
        <w:rPr>
          <w:rFonts w:hint="eastAsia"/>
          <w:color w:val="auto"/>
          <w:lang w:val="zh-CN" w:eastAsia="zh-CN"/>
        </w:rPr>
      </w:pPr>
      <w:r>
        <w:rPr>
          <w:rFonts w:hint="eastAsia"/>
          <w:color w:val="auto"/>
          <w:lang w:val="zh-CN" w:eastAsia="zh-CN"/>
        </w:rPr>
        <w:t>施工期间要严格控制和管理产生噪声的设备使用时间，除工程需要外夜间禁止施工，同时要选择放置施工设备的地点和方位，注意使用自然条件和建（构）筑物减噪，使施工期的噪声影响减至最小。施工期应严格执行GB12523-2011《建筑施工场界环境噪声排放标准》有关规定，本评价针对施工期噪声污染提出如下防治措施：</w:t>
      </w:r>
    </w:p>
    <w:p w14:paraId="43760D2D">
      <w:pPr>
        <w:bidi w:val="0"/>
        <w:rPr>
          <w:rFonts w:hint="eastAsia"/>
          <w:color w:val="auto"/>
          <w:lang w:val="zh-CN" w:eastAsia="zh-CN"/>
        </w:rPr>
      </w:pPr>
      <w:r>
        <w:rPr>
          <w:rFonts w:hint="eastAsia"/>
          <w:color w:val="auto"/>
          <w:lang w:val="zh-CN" w:eastAsia="zh-CN"/>
        </w:rPr>
        <w:t>（1）合理安排施工时间：制订科学的施工计划，应尽可能避免大量高噪声设备同时使用，除此之外，施工机械噪声往往具有突发、无规则、不连续和高强度等特点，对于此类情况，一般可采取合理安排施工机械操作时间的方法加以缓解。如噪声源强大的作业可放在昼间，除工程需外夜间禁止施工，需要在夜间（22：00至次日凌晨6：00）施工时，必须向生态环境主管部门提出申请，获准后方可在指定日期进行，并提前告知附近居民。在噪声敏感点附近进行工程施工时车辆减速慢行，禁止鸣笛，减少出车频率。</w:t>
      </w:r>
    </w:p>
    <w:p w14:paraId="4E9AAF04">
      <w:pPr>
        <w:bidi w:val="0"/>
        <w:rPr>
          <w:rFonts w:hint="eastAsia"/>
          <w:color w:val="auto"/>
          <w:lang w:val="zh-CN" w:eastAsia="zh-CN"/>
        </w:rPr>
      </w:pPr>
      <w:r>
        <w:rPr>
          <w:rFonts w:hint="eastAsia"/>
          <w:color w:val="auto"/>
          <w:lang w:val="zh-CN" w:eastAsia="zh-CN"/>
        </w:rPr>
        <w:t>（2）合理布局施工现场：避免在同一地点安排大量动力机械设备，以避免局部声级过高。在靠近居民点一侧设可移动的临时隔声板，隔声板高度不小于2.5m（可以起到兼顾防尘作用）。</w:t>
      </w:r>
    </w:p>
    <w:p w14:paraId="2E269230">
      <w:pPr>
        <w:bidi w:val="0"/>
        <w:rPr>
          <w:rFonts w:hint="eastAsia"/>
          <w:color w:val="auto"/>
          <w:lang w:val="zh-CN" w:eastAsia="zh-CN"/>
        </w:rPr>
      </w:pPr>
      <w:r>
        <w:rPr>
          <w:rFonts w:hint="eastAsia"/>
          <w:color w:val="auto"/>
          <w:lang w:val="zh-CN" w:eastAsia="zh-CN"/>
        </w:rPr>
        <w:t>（3）降低设备声级：设备选型上尽量采用低噪声设备；固定机械设备与挖土、运土机械，可以通过排气管消音器和隔离发动机振动部件的方法降低噪声；对动力机械设备应进行定期的维修、养护；闲置不用的设备应立即关闭，运输车辆进入现场应减速，并减少鸣笛。</w:t>
      </w:r>
    </w:p>
    <w:p w14:paraId="231EFA32">
      <w:pPr>
        <w:bidi w:val="0"/>
        <w:rPr>
          <w:rFonts w:hint="eastAsia"/>
          <w:color w:val="auto"/>
          <w:lang w:val="zh-CN" w:eastAsia="zh-CN"/>
        </w:rPr>
      </w:pPr>
      <w:r>
        <w:rPr>
          <w:rFonts w:hint="eastAsia"/>
          <w:color w:val="auto"/>
          <w:lang w:val="zh-CN" w:eastAsia="zh-CN"/>
        </w:rPr>
        <w:t>（4）降低人为噪音：按照规定操作机械设备，在挡板、支架拆卸过程中，应遵守作业规定，减少碰撞噪音；尽量少用哨子、钟、笛等指挥作业，而采用现代化设备。</w:t>
      </w:r>
    </w:p>
    <w:p w14:paraId="545FA0A1">
      <w:pPr>
        <w:bidi w:val="0"/>
        <w:rPr>
          <w:rFonts w:hint="eastAsia"/>
          <w:color w:val="auto"/>
          <w:lang w:val="zh-CN" w:eastAsia="zh-CN"/>
        </w:rPr>
      </w:pPr>
      <w:r>
        <w:rPr>
          <w:rFonts w:hint="eastAsia"/>
          <w:color w:val="auto"/>
          <w:lang w:val="zh-CN" w:eastAsia="zh-CN"/>
        </w:rPr>
        <w:t>（5）对施工场地噪声除采取以上减噪措施以外，还应与沿线周围单位、居民建立良好的关系，对受施工干扰的单位和居民应在作业前予以通知，并随时向他们汇报施工进度及施工中对降低噪声采取的措施，求得大家的共同理解。此外，施工期间应设热线投诉电话，接受噪音扰民的投诉，并对投诉情况进行积极治理。</w:t>
      </w:r>
    </w:p>
    <w:p w14:paraId="3A90B4AD">
      <w:pPr>
        <w:pStyle w:val="4"/>
        <w:bidi w:val="0"/>
        <w:rPr>
          <w:rFonts w:hint="eastAsia"/>
          <w:color w:val="auto"/>
          <w:lang w:val="zh-CN" w:eastAsia="zh-CN"/>
        </w:rPr>
      </w:pPr>
      <w:bookmarkStart w:id="206" w:name="_Toc10735"/>
      <w:r>
        <w:rPr>
          <w:rFonts w:hint="eastAsia"/>
          <w:color w:val="auto"/>
          <w:lang w:val="zh-CN" w:eastAsia="zh-CN"/>
        </w:rPr>
        <w:t>运输噪声防治措施</w:t>
      </w:r>
      <w:bookmarkEnd w:id="206"/>
    </w:p>
    <w:p w14:paraId="78A6FFBC">
      <w:pPr>
        <w:bidi w:val="0"/>
        <w:rPr>
          <w:rFonts w:hint="eastAsia"/>
          <w:color w:val="auto"/>
          <w:lang w:val="zh-CN" w:eastAsia="zh-CN"/>
        </w:rPr>
      </w:pPr>
      <w:r>
        <w:rPr>
          <w:rFonts w:hint="eastAsia"/>
          <w:color w:val="auto"/>
          <w:lang w:val="zh-CN" w:eastAsia="zh-CN"/>
        </w:rPr>
        <w:t>（1）事先选择合适的运输路段，路段</w:t>
      </w:r>
      <w:r>
        <w:rPr>
          <w:rFonts w:hint="eastAsia"/>
          <w:color w:val="auto"/>
          <w:lang w:val="en-US" w:eastAsia="zh-CN"/>
        </w:rPr>
        <w:t>选择</w:t>
      </w:r>
      <w:r>
        <w:rPr>
          <w:rFonts w:hint="eastAsia"/>
          <w:color w:val="auto"/>
          <w:lang w:val="zh-CN" w:eastAsia="zh-CN"/>
        </w:rPr>
        <w:t>时尽量避开人口密集、环境敏感的区域，合理安排运输时间，避开午休时间，夜间禁止施工。</w:t>
      </w:r>
    </w:p>
    <w:p w14:paraId="6CCEE633">
      <w:pPr>
        <w:bidi w:val="0"/>
        <w:rPr>
          <w:rFonts w:hint="eastAsia"/>
          <w:color w:val="auto"/>
          <w:lang w:val="zh-CN" w:eastAsia="zh-CN"/>
        </w:rPr>
      </w:pPr>
      <w:r>
        <w:rPr>
          <w:rFonts w:hint="eastAsia"/>
          <w:color w:val="auto"/>
          <w:lang w:val="zh-CN" w:eastAsia="zh-CN"/>
        </w:rPr>
        <w:t>（2）在噪声敏感点附近进行工程施工时减速慢行，对车辆操作人员、操作规程等严格管理，必要时运输车辆可考虑安装消声装置。</w:t>
      </w:r>
    </w:p>
    <w:p w14:paraId="5ED712F1">
      <w:pPr>
        <w:bidi w:val="0"/>
        <w:rPr>
          <w:rFonts w:hint="eastAsia"/>
          <w:color w:val="auto"/>
          <w:lang w:val="zh-CN" w:eastAsia="zh-CN"/>
        </w:rPr>
      </w:pPr>
      <w:r>
        <w:rPr>
          <w:rFonts w:hint="eastAsia"/>
          <w:color w:val="auto"/>
          <w:lang w:val="zh-CN" w:eastAsia="zh-CN"/>
        </w:rPr>
        <w:t>总之，为减轻施工噪声对周围居民的影响，施工期应严格执行《建筑施工场界环境噪声排放标准》</w:t>
      </w:r>
      <w:r>
        <w:rPr>
          <w:rFonts w:hint="eastAsia"/>
          <w:color w:val="auto"/>
          <w:lang w:val="en-US" w:eastAsia="zh-CN"/>
        </w:rPr>
        <w:t>(</w:t>
      </w:r>
      <w:r>
        <w:rPr>
          <w:rFonts w:hint="eastAsia"/>
          <w:color w:val="auto"/>
          <w:lang w:val="zh-CN" w:eastAsia="zh-CN"/>
        </w:rPr>
        <w:t>GB12523-2011</w:t>
      </w:r>
      <w:r>
        <w:rPr>
          <w:rFonts w:hint="eastAsia"/>
          <w:color w:val="auto"/>
          <w:lang w:val="en-US" w:eastAsia="zh-CN"/>
        </w:rPr>
        <w:t>)</w:t>
      </w:r>
      <w:r>
        <w:rPr>
          <w:rFonts w:hint="eastAsia"/>
          <w:color w:val="auto"/>
          <w:lang w:val="zh-CN" w:eastAsia="zh-CN"/>
        </w:rPr>
        <w:t>有关规定，在采取提出的上述措施后，可将施工期噪声对环境的影响降至最低程度。</w:t>
      </w:r>
    </w:p>
    <w:p w14:paraId="5ABCE3B0">
      <w:pPr>
        <w:pStyle w:val="3"/>
        <w:bidi w:val="0"/>
        <w:ind w:left="480" w:leftChars="0" w:firstLineChars="0"/>
        <w:rPr>
          <w:rFonts w:hint="eastAsia"/>
          <w:color w:val="auto"/>
          <w:lang w:val="zh-CN" w:eastAsia="zh-CN"/>
        </w:rPr>
      </w:pPr>
      <w:bookmarkStart w:id="207" w:name="_Toc25991"/>
      <w:r>
        <w:rPr>
          <w:rFonts w:hint="eastAsia"/>
          <w:color w:val="auto"/>
          <w:lang w:val="zh-CN" w:eastAsia="zh-CN"/>
        </w:rPr>
        <w:t>固体废物污染防治措施</w:t>
      </w:r>
      <w:bookmarkEnd w:id="207"/>
    </w:p>
    <w:p w14:paraId="0FD6DE8C">
      <w:pPr>
        <w:pStyle w:val="4"/>
        <w:bidi w:val="0"/>
        <w:rPr>
          <w:rFonts w:hint="eastAsia"/>
          <w:color w:val="auto"/>
          <w:lang w:val="zh-CN" w:eastAsia="zh-CN"/>
        </w:rPr>
      </w:pPr>
      <w:bookmarkStart w:id="208" w:name="_Toc32551"/>
      <w:r>
        <w:rPr>
          <w:rFonts w:hint="eastAsia"/>
          <w:color w:val="auto"/>
          <w:lang w:val="zh-CN" w:eastAsia="zh-CN"/>
        </w:rPr>
        <w:t>施工期工程弃土和建筑垃圾处置措施</w:t>
      </w:r>
      <w:bookmarkEnd w:id="208"/>
    </w:p>
    <w:p w14:paraId="47A588B7">
      <w:pPr>
        <w:bidi w:val="0"/>
        <w:rPr>
          <w:rFonts w:hint="eastAsia"/>
          <w:color w:val="auto"/>
          <w:lang w:val="zh-CN" w:eastAsia="zh-CN"/>
        </w:rPr>
      </w:pPr>
      <w:r>
        <w:rPr>
          <w:rFonts w:hint="eastAsia"/>
          <w:color w:val="auto"/>
          <w:lang w:val="zh-CN" w:eastAsia="zh-CN"/>
        </w:rPr>
        <w:t>施工期弃（渣）土主要来源是程弃土，施工单位在施工时一定要做到文明施工，工程结束后将固体废物规划运输，送至指定地点处理，不得随意倾倒，不得堆放倾倒至</w:t>
      </w:r>
      <w:r>
        <w:rPr>
          <w:rFonts w:hint="eastAsia"/>
          <w:color w:val="auto"/>
          <w:lang w:val="en-US" w:eastAsia="zh-CN"/>
        </w:rPr>
        <w:t>附近水域</w:t>
      </w:r>
      <w:r>
        <w:rPr>
          <w:rFonts w:hint="eastAsia"/>
          <w:color w:val="auto"/>
          <w:lang w:val="zh-CN" w:eastAsia="zh-CN"/>
        </w:rPr>
        <w:t>范围内，具体防治措施如下：</w:t>
      </w:r>
    </w:p>
    <w:p w14:paraId="3B270C39">
      <w:pPr>
        <w:bidi w:val="0"/>
        <w:rPr>
          <w:rFonts w:hint="eastAsia"/>
          <w:color w:val="auto"/>
          <w:lang w:val="zh-CN" w:eastAsia="zh-CN"/>
        </w:rPr>
      </w:pPr>
      <w:r>
        <w:rPr>
          <w:rFonts w:hint="eastAsia"/>
          <w:color w:val="auto"/>
          <w:lang w:val="zh-CN" w:eastAsia="zh-CN"/>
        </w:rPr>
        <w:t>（1）各施工场地开挖用于工程的土石方要严格按照施工设计，堆放于施工征地范围两侧，就近堆放，运往弃土场；</w:t>
      </w:r>
    </w:p>
    <w:p w14:paraId="0B78657C">
      <w:pPr>
        <w:bidi w:val="0"/>
        <w:rPr>
          <w:rFonts w:hint="eastAsia"/>
          <w:color w:val="auto"/>
          <w:lang w:val="zh-CN" w:eastAsia="zh-CN"/>
        </w:rPr>
      </w:pPr>
      <w:r>
        <w:rPr>
          <w:rFonts w:hint="eastAsia"/>
          <w:color w:val="auto"/>
          <w:lang w:val="zh-CN" w:eastAsia="zh-CN"/>
        </w:rPr>
        <w:t>（2）工程底泥</w:t>
      </w:r>
      <w:r>
        <w:rPr>
          <w:rFonts w:hint="eastAsia"/>
          <w:color w:val="auto"/>
          <w:lang w:val="en-US" w:eastAsia="zh-CN"/>
        </w:rPr>
        <w:t>清理</w:t>
      </w:r>
      <w:r>
        <w:rPr>
          <w:rFonts w:hint="eastAsia"/>
          <w:color w:val="auto"/>
          <w:lang w:val="zh-CN" w:eastAsia="zh-CN"/>
        </w:rPr>
        <w:t>挖掘后不得随意堆放。清淤后的</w:t>
      </w:r>
      <w:r>
        <w:rPr>
          <w:rFonts w:hint="eastAsia"/>
          <w:color w:val="auto"/>
          <w:lang w:val="en-US" w:eastAsia="zh-CN"/>
        </w:rPr>
        <w:t>底泥</w:t>
      </w:r>
      <w:r>
        <w:rPr>
          <w:rFonts w:hint="eastAsia"/>
          <w:color w:val="auto"/>
          <w:lang w:val="zh-CN" w:eastAsia="zh-CN"/>
        </w:rPr>
        <w:t>在运至指定弃土场堆放晾晒，</w:t>
      </w:r>
      <w:r>
        <w:rPr>
          <w:rFonts w:hint="eastAsia"/>
          <w:color w:val="auto"/>
          <w:lang w:val="en-US" w:eastAsia="zh-CN"/>
        </w:rPr>
        <w:t>底泥</w:t>
      </w:r>
      <w:r>
        <w:rPr>
          <w:rFonts w:hint="eastAsia"/>
          <w:color w:val="auto"/>
          <w:lang w:val="zh-CN" w:eastAsia="zh-CN"/>
        </w:rPr>
        <w:t>在运输过程中按照指定路线运输，尽量避开居民集中区。</w:t>
      </w:r>
    </w:p>
    <w:p w14:paraId="0472C3DB">
      <w:pPr>
        <w:bidi w:val="0"/>
        <w:rPr>
          <w:rFonts w:hint="eastAsia"/>
          <w:color w:val="auto"/>
          <w:lang w:val="zh-CN" w:eastAsia="zh-CN"/>
        </w:rPr>
      </w:pPr>
      <w:r>
        <w:rPr>
          <w:rFonts w:hint="eastAsia"/>
          <w:color w:val="auto"/>
          <w:lang w:val="zh-CN" w:eastAsia="zh-CN"/>
        </w:rPr>
        <w:t>（3）土方开挖之前，应按规定清除杂物，清运和处置沿河的生活垃圾和建筑垃圾，避免生活垃圾混入土方中，造成污染。</w:t>
      </w:r>
    </w:p>
    <w:p w14:paraId="48F41CC3">
      <w:pPr>
        <w:bidi w:val="0"/>
        <w:rPr>
          <w:rFonts w:hint="eastAsia"/>
          <w:color w:val="auto"/>
          <w:lang w:val="zh-CN" w:eastAsia="zh-CN"/>
        </w:rPr>
      </w:pPr>
      <w:r>
        <w:rPr>
          <w:rFonts w:hint="eastAsia"/>
          <w:color w:val="auto"/>
          <w:lang w:val="zh-CN" w:eastAsia="zh-CN"/>
        </w:rPr>
        <w:t>（4）土方、淤泥、生活垃圾和建筑垃圾必须分类堆放，分别处置。建筑垃圾、废弃土石方应及时清运妥善处置，不得倾倒入河。</w:t>
      </w:r>
    </w:p>
    <w:p w14:paraId="24F81776">
      <w:pPr>
        <w:bidi w:val="0"/>
        <w:rPr>
          <w:rFonts w:hint="eastAsia"/>
          <w:color w:val="auto"/>
          <w:lang w:val="zh-CN" w:eastAsia="zh-CN"/>
        </w:rPr>
      </w:pPr>
      <w:r>
        <w:rPr>
          <w:rFonts w:hint="eastAsia"/>
          <w:color w:val="auto"/>
          <w:lang w:val="zh-CN" w:eastAsia="zh-CN"/>
        </w:rPr>
        <w:t>（5）运送废弃垃圾等使用不渗漏车辆，避免沿途撒漏；及时清洗运输车辆，减少道路泥土和粉尘污染。</w:t>
      </w:r>
    </w:p>
    <w:p w14:paraId="6C863549">
      <w:pPr>
        <w:bidi w:val="0"/>
        <w:rPr>
          <w:rFonts w:hint="eastAsia"/>
          <w:color w:val="auto"/>
          <w:lang w:val="zh-CN" w:eastAsia="zh-CN"/>
        </w:rPr>
      </w:pPr>
      <w:r>
        <w:rPr>
          <w:rFonts w:hint="eastAsia"/>
          <w:color w:val="auto"/>
          <w:lang w:val="zh-CN" w:eastAsia="zh-CN"/>
        </w:rPr>
        <w:t>总之，在施工期应合理调配土方和</w:t>
      </w:r>
      <w:r>
        <w:rPr>
          <w:rFonts w:hint="eastAsia"/>
          <w:color w:val="auto"/>
          <w:lang w:val="en-US" w:eastAsia="zh-CN"/>
        </w:rPr>
        <w:t>底泥弃土</w:t>
      </w:r>
      <w:r>
        <w:rPr>
          <w:rFonts w:hint="eastAsia"/>
          <w:color w:val="auto"/>
          <w:lang w:val="zh-CN" w:eastAsia="zh-CN"/>
        </w:rPr>
        <w:t>，在经济运距内充分利用移挖作填，充分利用土方，</w:t>
      </w:r>
      <w:r>
        <w:rPr>
          <w:rFonts w:hint="eastAsia"/>
          <w:color w:val="auto"/>
          <w:lang w:val="en-US" w:eastAsia="zh-CN"/>
        </w:rPr>
        <w:t>同时</w:t>
      </w:r>
      <w:r>
        <w:rPr>
          <w:rFonts w:hint="eastAsia"/>
          <w:color w:val="auto"/>
          <w:lang w:val="zh-CN" w:eastAsia="zh-CN"/>
        </w:rPr>
        <w:t>做好建筑垃圾（工程渣土）运输管理的相关工作。</w:t>
      </w:r>
    </w:p>
    <w:p w14:paraId="6B02ED1E">
      <w:pPr>
        <w:pStyle w:val="4"/>
        <w:bidi w:val="0"/>
        <w:rPr>
          <w:rFonts w:hint="eastAsia"/>
          <w:color w:val="auto"/>
          <w:lang w:val="zh-CN" w:eastAsia="zh-CN"/>
        </w:rPr>
      </w:pPr>
      <w:bookmarkStart w:id="209" w:name="_Toc3196"/>
      <w:r>
        <w:rPr>
          <w:rFonts w:hint="eastAsia"/>
          <w:color w:val="auto"/>
          <w:lang w:val="zh-CN" w:eastAsia="zh-CN"/>
        </w:rPr>
        <w:t>施工期生活垃圾处置措施</w:t>
      </w:r>
      <w:bookmarkEnd w:id="209"/>
    </w:p>
    <w:p w14:paraId="595CF0F2">
      <w:pPr>
        <w:bidi w:val="0"/>
        <w:rPr>
          <w:rFonts w:hint="eastAsia"/>
          <w:color w:val="auto"/>
          <w:lang w:val="zh-CN" w:eastAsia="zh-CN"/>
        </w:rPr>
      </w:pPr>
      <w:r>
        <w:rPr>
          <w:rFonts w:hint="eastAsia"/>
          <w:color w:val="auto"/>
          <w:lang w:val="zh-CN" w:eastAsia="zh-CN"/>
        </w:rPr>
        <w:t>按照施工计划，本工程施工期各个施工场区均配置垃圾桶收集生活垃圾，施工承包商安排专人负责生活垃圾的清扫和委托当地环卫部门统一清运，严禁进行焚烧、随机堆放等行为，垃圾桶需经常喷洒消毒药水，防止蚊蝇等传染疾病。施工期生活垃圾处置率达100%。</w:t>
      </w:r>
    </w:p>
    <w:p w14:paraId="41BDE11C">
      <w:pPr>
        <w:pStyle w:val="4"/>
        <w:bidi w:val="0"/>
        <w:rPr>
          <w:rFonts w:hint="eastAsia"/>
          <w:color w:val="auto"/>
          <w:lang w:val="zh-CN" w:eastAsia="zh-CN"/>
        </w:rPr>
      </w:pPr>
      <w:bookmarkStart w:id="210" w:name="_Toc22414"/>
      <w:r>
        <w:rPr>
          <w:rFonts w:hint="eastAsia"/>
          <w:color w:val="auto"/>
          <w:lang w:val="zh-CN" w:eastAsia="zh-CN"/>
        </w:rPr>
        <w:t>施工期其他固废处置措施</w:t>
      </w:r>
      <w:bookmarkEnd w:id="210"/>
    </w:p>
    <w:p w14:paraId="7167C933">
      <w:pPr>
        <w:bidi w:val="0"/>
        <w:rPr>
          <w:rFonts w:hint="eastAsia"/>
          <w:color w:val="auto"/>
          <w:lang w:val="zh-CN" w:eastAsia="zh-CN"/>
        </w:rPr>
      </w:pPr>
      <w:r>
        <w:rPr>
          <w:rFonts w:hint="eastAsia"/>
          <w:color w:val="auto"/>
          <w:lang w:val="zh-CN" w:eastAsia="zh-CN"/>
        </w:rPr>
        <w:t>（1）施工期间要保持周围道路路面的平整和整洁，特别是土方外运时，一定要保持车辆干净整洁，车辆运输土方不得超过车厢板高度，并采取遮盖、密闭措施减少沿途抛洒、散落；及时清扫散落在路面上的泥土，车辆出场需将轮胎等冲洗干净，不得带泥沙出现场。保证过往车辆和行人出行的安全和通畅。</w:t>
      </w:r>
    </w:p>
    <w:p w14:paraId="5E641CD0">
      <w:pPr>
        <w:bidi w:val="0"/>
        <w:rPr>
          <w:rFonts w:hint="eastAsia"/>
          <w:color w:val="auto"/>
          <w:lang w:val="zh-CN" w:eastAsia="zh-CN"/>
        </w:rPr>
      </w:pPr>
      <w:r>
        <w:rPr>
          <w:rFonts w:hint="eastAsia"/>
          <w:color w:val="auto"/>
          <w:lang w:val="zh-CN" w:eastAsia="zh-CN"/>
        </w:rPr>
        <w:t>（2）工地周边应保持环境整洁、文明。有序。每日安排专人对周边进行清扫；不得擅自占用道路乱堆乱放，不得乱拉乱挂、乱倒垃圾，不得损坏周边绿化；具备条件的应设置绿篱和临时绿化。</w:t>
      </w:r>
    </w:p>
    <w:p w14:paraId="6521077E">
      <w:pPr>
        <w:bidi w:val="0"/>
        <w:rPr>
          <w:rFonts w:hint="eastAsia"/>
          <w:color w:val="auto"/>
          <w:lang w:val="zh-CN" w:eastAsia="zh-CN"/>
        </w:rPr>
      </w:pPr>
      <w:r>
        <w:rPr>
          <w:rFonts w:hint="eastAsia"/>
          <w:color w:val="auto"/>
          <w:lang w:val="zh-CN" w:eastAsia="zh-CN"/>
        </w:rPr>
        <w:t>（3）施工机械含油废水经沉淀池处理会产生一定量的污泥，产生量相对较少，一并运至临时堆土场暂存。隔油池产生的浮油应委托有资质的单位处理，不外排。</w:t>
      </w:r>
    </w:p>
    <w:p w14:paraId="0B5AB401">
      <w:pPr>
        <w:pStyle w:val="3"/>
        <w:bidi w:val="0"/>
        <w:ind w:left="480" w:leftChars="0" w:firstLineChars="0"/>
        <w:rPr>
          <w:rFonts w:hint="eastAsia"/>
          <w:color w:val="auto"/>
          <w:lang w:val="zh-CN" w:eastAsia="zh-CN"/>
        </w:rPr>
      </w:pPr>
      <w:bookmarkStart w:id="211" w:name="_Toc22546"/>
      <w:r>
        <w:rPr>
          <w:rFonts w:hint="eastAsia"/>
          <w:color w:val="auto"/>
          <w:lang w:val="zh-CN" w:eastAsia="zh-CN"/>
        </w:rPr>
        <w:t>生态环境保护措施</w:t>
      </w:r>
      <w:bookmarkEnd w:id="211"/>
    </w:p>
    <w:p w14:paraId="54334CB0">
      <w:pPr>
        <w:pStyle w:val="4"/>
        <w:bidi w:val="0"/>
        <w:rPr>
          <w:rFonts w:hint="default"/>
          <w:color w:val="auto"/>
          <w:lang w:val="en-US" w:eastAsia="zh-CN"/>
        </w:rPr>
      </w:pPr>
      <w:bookmarkStart w:id="212" w:name="_Toc16521"/>
      <w:r>
        <w:rPr>
          <w:rFonts w:hint="eastAsia"/>
          <w:color w:val="auto"/>
          <w:lang w:val="en-US" w:eastAsia="zh-CN"/>
        </w:rPr>
        <w:t>生态敏感区环境保护措施</w:t>
      </w:r>
      <w:bookmarkEnd w:id="212"/>
    </w:p>
    <w:p w14:paraId="21DC9217">
      <w:pPr>
        <w:rPr>
          <w:rFonts w:hint="eastAsia"/>
          <w:color w:val="auto"/>
          <w:lang w:val="zh-CN" w:eastAsia="zh-CN"/>
        </w:rPr>
      </w:pPr>
      <w:r>
        <w:rPr>
          <w:rFonts w:hint="eastAsia"/>
          <w:color w:val="auto"/>
          <w:lang w:val="zh-CN" w:eastAsia="zh-CN"/>
        </w:rPr>
        <w:t>对</w:t>
      </w:r>
      <w:r>
        <w:rPr>
          <w:rFonts w:hint="eastAsia"/>
          <w:color w:val="auto"/>
          <w:lang w:val="en-US" w:eastAsia="zh-CN"/>
        </w:rPr>
        <w:t>位于</w:t>
      </w:r>
      <w:r>
        <w:rPr>
          <w:rFonts w:hint="eastAsia"/>
          <w:color w:val="auto"/>
          <w:lang w:val="zh-CN" w:eastAsia="zh-CN"/>
        </w:rPr>
        <w:t>生态敏感区的区域，需通过相关工程措施设计将对生态环境的不利影响降到最低。本项目主要采取以下几点措施：</w:t>
      </w:r>
    </w:p>
    <w:p w14:paraId="287A4FAB">
      <w:pPr>
        <w:rPr>
          <w:rFonts w:hint="eastAsia"/>
          <w:color w:val="auto"/>
          <w:lang w:val="zh-CN" w:eastAsia="zh-CN"/>
        </w:rPr>
      </w:pPr>
      <w:r>
        <w:rPr>
          <w:rFonts w:hint="eastAsia"/>
          <w:color w:val="auto"/>
          <w:lang w:val="zh-CN" w:eastAsia="zh-CN"/>
        </w:rPr>
        <w:t>①建设单位在生态敏感区施工时，</w:t>
      </w:r>
      <w:r>
        <w:rPr>
          <w:rFonts w:hint="eastAsia"/>
          <w:color w:val="auto"/>
          <w:lang w:val="en-US" w:eastAsia="zh-CN"/>
        </w:rPr>
        <w:t>控制施工范围</w:t>
      </w:r>
      <w:r>
        <w:rPr>
          <w:rFonts w:hint="eastAsia"/>
          <w:color w:val="auto"/>
          <w:lang w:val="zh-CN" w:eastAsia="zh-CN"/>
        </w:rPr>
        <w:t>，以</w:t>
      </w:r>
      <w:r>
        <w:rPr>
          <w:rFonts w:hint="eastAsia"/>
          <w:color w:val="auto"/>
          <w:lang w:val="en-US" w:eastAsia="zh-CN"/>
        </w:rPr>
        <w:t>建设</w:t>
      </w:r>
      <w:r>
        <w:rPr>
          <w:rFonts w:hint="eastAsia"/>
          <w:color w:val="auto"/>
          <w:lang w:val="zh-CN" w:eastAsia="zh-CN"/>
        </w:rPr>
        <w:t>项目施工对生态敏感区内的植被及土地造成损毁、占用。</w:t>
      </w:r>
    </w:p>
    <w:p w14:paraId="60157559">
      <w:pPr>
        <w:rPr>
          <w:rFonts w:hint="eastAsia"/>
          <w:color w:val="auto"/>
          <w:lang w:val="zh-CN" w:eastAsia="zh-CN"/>
        </w:rPr>
      </w:pPr>
      <w:r>
        <w:rPr>
          <w:rFonts w:hint="eastAsia"/>
          <w:color w:val="auto"/>
          <w:lang w:val="zh-CN" w:eastAsia="zh-CN"/>
        </w:rPr>
        <w:t>②临时工程布置考虑施工要求的同时，完成施工后及时对临时施工厂区进行复垦覆绿生态恢复。</w:t>
      </w:r>
    </w:p>
    <w:p w14:paraId="38AA023B">
      <w:pPr>
        <w:rPr>
          <w:rFonts w:hint="eastAsia"/>
          <w:color w:val="auto"/>
          <w:lang w:val="zh-CN" w:eastAsia="zh-CN"/>
        </w:rPr>
      </w:pPr>
      <w:r>
        <w:rPr>
          <w:rFonts w:hint="eastAsia"/>
          <w:color w:val="auto"/>
          <w:lang w:val="zh-CN" w:eastAsia="zh-CN"/>
        </w:rPr>
        <w:t>③在临时施工场区内道路两侧铺设排水沟，收集地表径流水，同时在临时堆土场四周建设截排水沟，防止边界区域冲刷雨水造成生态影响。</w:t>
      </w:r>
    </w:p>
    <w:p w14:paraId="18D56E0D">
      <w:pPr>
        <w:rPr>
          <w:rFonts w:hint="eastAsia"/>
          <w:color w:val="auto"/>
          <w:lang w:val="zh-CN" w:eastAsia="zh-CN"/>
        </w:rPr>
      </w:pPr>
      <w:r>
        <w:rPr>
          <w:rFonts w:hint="eastAsia"/>
          <w:color w:val="auto"/>
          <w:lang w:val="zh-CN" w:eastAsia="zh-CN"/>
        </w:rPr>
        <w:t>④对员工进行环保培训，施工期间严禁损毁、占用生态保护红线用地。</w:t>
      </w:r>
    </w:p>
    <w:p w14:paraId="348CD1A3">
      <w:pPr>
        <w:pStyle w:val="4"/>
        <w:bidi w:val="0"/>
        <w:rPr>
          <w:rFonts w:hint="eastAsia"/>
          <w:color w:val="auto"/>
          <w:lang w:val="zh-CN" w:eastAsia="zh-CN"/>
        </w:rPr>
      </w:pPr>
      <w:bookmarkStart w:id="213" w:name="_Toc23438"/>
      <w:r>
        <w:rPr>
          <w:rFonts w:hint="eastAsia"/>
          <w:color w:val="auto"/>
          <w:lang w:val="zh-CN" w:eastAsia="zh-CN"/>
        </w:rPr>
        <w:t>生态影响环境保护措施</w:t>
      </w:r>
      <w:bookmarkEnd w:id="213"/>
    </w:p>
    <w:p w14:paraId="0EDB075E">
      <w:pPr>
        <w:pStyle w:val="5"/>
        <w:bidi w:val="0"/>
        <w:rPr>
          <w:rFonts w:hint="eastAsia"/>
          <w:color w:val="auto"/>
          <w:lang w:val="zh-CN" w:eastAsia="zh-CN"/>
        </w:rPr>
      </w:pPr>
      <w:r>
        <w:rPr>
          <w:rFonts w:hint="eastAsia"/>
          <w:color w:val="auto"/>
          <w:lang w:val="zh-CN" w:eastAsia="zh-CN"/>
        </w:rPr>
        <w:t>生态减缓措施</w:t>
      </w:r>
    </w:p>
    <w:p w14:paraId="06634524">
      <w:pPr>
        <w:bidi w:val="0"/>
        <w:rPr>
          <w:rFonts w:hint="eastAsia"/>
          <w:color w:val="auto"/>
          <w:lang w:val="zh-CN" w:eastAsia="zh-CN"/>
        </w:rPr>
      </w:pPr>
      <w:r>
        <w:rPr>
          <w:rFonts w:hint="eastAsia"/>
          <w:color w:val="auto"/>
          <w:lang w:val="zh-CN" w:eastAsia="zh-CN"/>
        </w:rPr>
        <w:t>开工前对施工临时设施要进行细致的规划，减少对地表植被的破坏。按照设计文件确定征占土地范围，进行地表植被的清理。</w:t>
      </w:r>
    </w:p>
    <w:p w14:paraId="4371495D">
      <w:pPr>
        <w:bidi w:val="0"/>
        <w:rPr>
          <w:rFonts w:hint="eastAsia"/>
          <w:color w:val="auto"/>
          <w:lang w:val="zh-CN" w:eastAsia="zh-CN"/>
        </w:rPr>
      </w:pPr>
      <w:r>
        <w:rPr>
          <w:rFonts w:hint="eastAsia"/>
          <w:color w:val="auto"/>
          <w:lang w:val="zh-CN" w:eastAsia="zh-CN"/>
        </w:rPr>
        <w:t>严格执行施工规划，不得随意扩大作业面。在施工场地设挡墙或隔板，施工人员在施工过程中应限制在作业面内施工活动，不得越界施工滥采滥伐，以减少施工占地对植被的影响。</w:t>
      </w:r>
    </w:p>
    <w:p w14:paraId="13ED9FCC">
      <w:pPr>
        <w:bidi w:val="0"/>
        <w:rPr>
          <w:rFonts w:hint="eastAsia"/>
          <w:color w:val="auto"/>
          <w:lang w:val="zh-CN" w:eastAsia="zh-CN"/>
        </w:rPr>
      </w:pPr>
      <w:r>
        <w:rPr>
          <w:rFonts w:hint="eastAsia"/>
          <w:color w:val="auto"/>
          <w:lang w:val="zh-CN" w:eastAsia="zh-CN"/>
        </w:rPr>
        <w:t>对于本工程施工建设区及其施工影响区域，可能会出现野植株，须经施工环境监理或者施工期陆生生态调查确定后，必须采取物种移栽措施进行保护；严禁施工单位在不采取保护措施的条件下破坏其生长环境和状态。</w:t>
      </w:r>
    </w:p>
    <w:p w14:paraId="191A43CB">
      <w:pPr>
        <w:bidi w:val="0"/>
        <w:rPr>
          <w:rFonts w:hint="eastAsia"/>
          <w:color w:val="auto"/>
          <w:lang w:val="zh-CN" w:eastAsia="zh-CN"/>
        </w:rPr>
      </w:pPr>
      <w:r>
        <w:rPr>
          <w:rFonts w:hint="eastAsia"/>
          <w:color w:val="auto"/>
          <w:lang w:val="zh-CN" w:eastAsia="zh-CN"/>
        </w:rPr>
        <w:t>施工过程中应尽量减少高噪声施工。在工程初设阶级应进一步优化施工组织设计，减少对于周边动物的扰动；同时做好施工车辆及各施工机械的保养和维护，限制车速、设立标志牌以减轻对周边活动动物的影响。</w:t>
      </w:r>
    </w:p>
    <w:p w14:paraId="3FB1473C">
      <w:pPr>
        <w:bidi w:val="0"/>
        <w:rPr>
          <w:rFonts w:hint="eastAsia"/>
          <w:color w:val="auto"/>
          <w:lang w:val="zh-CN" w:eastAsia="zh-CN"/>
        </w:rPr>
      </w:pPr>
      <w:r>
        <w:rPr>
          <w:rFonts w:hint="eastAsia"/>
          <w:color w:val="auto"/>
          <w:lang w:val="zh-CN" w:eastAsia="zh-CN"/>
        </w:rPr>
        <w:t>在施工结束施工人员撤离时，应及时拆除临时设施，清除碎石、砖块、施工废物等影响植物生存和影响区域景观美学的施工杂物，恢复景观斑块的连通性，以利于植物生长。此外，应对临时施工区进行绿化，尽可能恢复已被破坏的植被，绿化树种应选择当地种类，若选择外地种需慎重，要进行充分的论证，以免造成新的外来物种生态入侵。</w:t>
      </w:r>
    </w:p>
    <w:p w14:paraId="316229DD">
      <w:pPr>
        <w:pStyle w:val="5"/>
        <w:bidi w:val="0"/>
        <w:rPr>
          <w:rFonts w:hint="eastAsia"/>
          <w:color w:val="auto"/>
          <w:lang w:val="zh-CN" w:eastAsia="zh-CN"/>
        </w:rPr>
      </w:pPr>
      <w:r>
        <w:rPr>
          <w:rFonts w:hint="eastAsia"/>
          <w:color w:val="auto"/>
          <w:lang w:val="zh-CN" w:eastAsia="zh-CN"/>
        </w:rPr>
        <w:t>生态恢复措施</w:t>
      </w:r>
    </w:p>
    <w:p w14:paraId="0BB4F1AF">
      <w:pPr>
        <w:bidi w:val="0"/>
        <w:rPr>
          <w:rFonts w:hint="eastAsia"/>
          <w:color w:val="auto"/>
          <w:lang w:val="zh-CN" w:eastAsia="zh-CN"/>
        </w:rPr>
      </w:pPr>
      <w:r>
        <w:rPr>
          <w:rFonts w:hint="eastAsia"/>
          <w:color w:val="auto"/>
          <w:lang w:val="zh-CN" w:eastAsia="zh-CN"/>
        </w:rPr>
        <w:t>本项目临时设施包括施工场地和临时道路，施工过程中对表土剥离并单独堆放，施工完成后进行恢复，并对各施工临时占地原用地为林草地的区域采取撒播草籽的措施进行植被恢复，原耕地区域恢复耕种。</w:t>
      </w:r>
    </w:p>
    <w:p w14:paraId="43AA78EA">
      <w:pPr>
        <w:pStyle w:val="4"/>
        <w:bidi w:val="0"/>
        <w:rPr>
          <w:rFonts w:hint="eastAsia"/>
          <w:color w:val="auto"/>
          <w:lang w:val="zh-CN" w:eastAsia="zh-CN"/>
        </w:rPr>
      </w:pPr>
      <w:bookmarkStart w:id="214" w:name="_Toc5617"/>
      <w:r>
        <w:rPr>
          <w:rFonts w:hint="eastAsia"/>
          <w:color w:val="auto"/>
          <w:lang w:val="zh-CN" w:eastAsia="zh-CN"/>
        </w:rPr>
        <w:t>水土保持措施</w:t>
      </w:r>
      <w:bookmarkEnd w:id="214"/>
    </w:p>
    <w:p w14:paraId="23719442">
      <w:pPr>
        <w:bidi w:val="0"/>
        <w:rPr>
          <w:rFonts w:hint="default"/>
          <w:color w:val="auto"/>
          <w:lang w:val="en-US" w:eastAsia="zh-CN"/>
        </w:rPr>
      </w:pPr>
      <w:r>
        <w:rPr>
          <w:rFonts w:hint="eastAsia"/>
          <w:color w:val="auto"/>
          <w:lang w:val="en-US" w:eastAsia="zh-CN"/>
        </w:rPr>
        <w:t>抛泥</w:t>
      </w:r>
      <w:r>
        <w:rPr>
          <w:color w:val="auto"/>
        </w:rPr>
        <w:t>区在施工</w:t>
      </w:r>
      <w:r>
        <w:rPr>
          <w:rFonts w:hint="eastAsia"/>
          <w:color w:val="auto"/>
          <w:lang w:val="en-US" w:eastAsia="zh-CN"/>
        </w:rPr>
        <w:t>中</w:t>
      </w:r>
      <w:r>
        <w:rPr>
          <w:color w:val="auto"/>
        </w:rPr>
        <w:t>对</w:t>
      </w:r>
      <w:r>
        <w:rPr>
          <w:rFonts w:hint="eastAsia"/>
          <w:color w:val="auto"/>
          <w:lang w:val="en-US" w:eastAsia="zh-CN"/>
        </w:rPr>
        <w:t>施工裸地采用密目网苫盖</w:t>
      </w:r>
      <w:r>
        <w:rPr>
          <w:color w:val="auto"/>
        </w:rPr>
        <w:t>进行临时苫盖</w:t>
      </w:r>
      <w:r>
        <w:rPr>
          <w:rFonts w:hint="eastAsia"/>
          <w:color w:val="auto"/>
          <w:lang w:eastAsia="zh-CN"/>
        </w:rPr>
        <w:t>，</w:t>
      </w:r>
      <w:r>
        <w:rPr>
          <w:rFonts w:hint="eastAsia"/>
          <w:color w:val="auto"/>
          <w:lang w:val="en-US" w:eastAsia="zh-CN"/>
        </w:rPr>
        <w:t>面积为500m</w:t>
      </w:r>
      <w:r>
        <w:rPr>
          <w:rFonts w:hint="eastAsia"/>
          <w:color w:val="auto"/>
          <w:vertAlign w:val="superscript"/>
          <w:lang w:val="en-US" w:eastAsia="zh-CN"/>
        </w:rPr>
        <w:t>2</w:t>
      </w:r>
      <w:r>
        <w:rPr>
          <w:rFonts w:hint="eastAsia"/>
          <w:color w:val="auto"/>
          <w:lang w:val="en-US" w:eastAsia="zh-CN"/>
        </w:rPr>
        <w:t>；</w:t>
      </w:r>
      <w:r>
        <w:rPr>
          <w:color w:val="auto"/>
        </w:rPr>
        <w:t>施工</w:t>
      </w:r>
      <w:r>
        <w:rPr>
          <w:rFonts w:hint="eastAsia"/>
          <w:color w:val="auto"/>
          <w:lang w:val="en-US" w:eastAsia="zh-CN"/>
        </w:rPr>
        <w:t>中</w:t>
      </w:r>
      <w:r>
        <w:rPr>
          <w:color w:val="auto"/>
          <w:lang w:val="en-US" w:eastAsia="zh-CN"/>
        </w:rPr>
        <w:t>在</w:t>
      </w:r>
      <w:r>
        <w:rPr>
          <w:rFonts w:hint="eastAsia"/>
          <w:color w:val="auto"/>
          <w:lang w:val="en-US" w:eastAsia="zh-CN"/>
        </w:rPr>
        <w:t>抛泥区</w:t>
      </w:r>
      <w:r>
        <w:rPr>
          <w:color w:val="auto"/>
          <w:lang w:val="en-US" w:eastAsia="zh-CN"/>
        </w:rPr>
        <w:t>外侧布设土质临时排水沟，梯</w:t>
      </w:r>
      <w:r>
        <w:rPr>
          <w:rFonts w:hint="default"/>
          <w:color w:val="auto"/>
          <w:lang w:val="en-US" w:eastAsia="zh-CN"/>
        </w:rPr>
        <w:t>形断面，底宽0.3m，深0.3m，边坡1∶1</w:t>
      </w:r>
      <w:r>
        <w:rPr>
          <w:rFonts w:hint="eastAsia"/>
          <w:color w:val="auto"/>
          <w:lang w:val="en-US" w:eastAsia="zh-CN"/>
        </w:rPr>
        <w:t>，</w:t>
      </w:r>
      <w:r>
        <w:rPr>
          <w:rFonts w:hint="default"/>
          <w:color w:val="auto"/>
          <w:lang w:val="en-US" w:eastAsia="zh-CN"/>
        </w:rPr>
        <w:t>共修筑临时排水沟</w:t>
      </w:r>
      <w:r>
        <w:rPr>
          <w:rFonts w:hint="eastAsia"/>
          <w:color w:val="auto"/>
          <w:lang w:val="en-US" w:eastAsia="zh-CN"/>
        </w:rPr>
        <w:t>3.5k</w:t>
      </w:r>
      <w:r>
        <w:rPr>
          <w:rFonts w:hint="default"/>
          <w:color w:val="auto"/>
          <w:lang w:val="en-US" w:eastAsia="zh-CN"/>
        </w:rPr>
        <w:t>m</w:t>
      </w:r>
      <w:r>
        <w:rPr>
          <w:color w:val="auto"/>
        </w:rPr>
        <w:t>；</w:t>
      </w:r>
      <w:r>
        <w:rPr>
          <w:rFonts w:hint="eastAsia"/>
          <w:color w:val="auto"/>
          <w:lang w:val="en-US" w:eastAsia="zh-CN"/>
        </w:rPr>
        <w:t>施工结束后进行土地整治，面积为41.97h</w:t>
      </w:r>
      <w:r>
        <w:rPr>
          <w:rFonts w:hint="default"/>
          <w:color w:val="auto"/>
          <w:lang w:val="en-US" w:eastAsia="zh-CN"/>
        </w:rPr>
        <w:t>m</w:t>
      </w:r>
      <w:r>
        <w:rPr>
          <w:rFonts w:hint="default"/>
          <w:color w:val="auto"/>
          <w:vertAlign w:val="superscript"/>
          <w:lang w:val="en-US" w:eastAsia="zh-CN"/>
        </w:rPr>
        <w:t>2</w:t>
      </w:r>
      <w:r>
        <w:rPr>
          <w:rFonts w:hint="eastAsia"/>
          <w:color w:val="auto"/>
          <w:lang w:val="en-US" w:eastAsia="zh-CN"/>
        </w:rPr>
        <w:t>。</w:t>
      </w:r>
    </w:p>
    <w:p w14:paraId="75451DA6">
      <w:pPr>
        <w:bidi w:val="0"/>
        <w:rPr>
          <w:rFonts w:hint="eastAsia"/>
          <w:color w:val="auto"/>
          <w:lang w:val="en-US" w:eastAsia="zh-CN"/>
        </w:rPr>
      </w:pPr>
      <w:r>
        <w:rPr>
          <w:color w:val="auto"/>
          <w:lang w:val="en-US" w:eastAsia="zh-CN"/>
        </w:rPr>
        <w:t>临时</w:t>
      </w:r>
      <w:r>
        <w:rPr>
          <w:rFonts w:hint="eastAsia"/>
          <w:color w:val="auto"/>
          <w:lang w:val="en-US" w:eastAsia="zh-CN"/>
        </w:rPr>
        <w:t>道路</w:t>
      </w:r>
      <w:r>
        <w:rPr>
          <w:color w:val="auto"/>
          <w:lang w:val="en-US" w:eastAsia="zh-CN"/>
        </w:rPr>
        <w:t>区</w:t>
      </w:r>
      <w:r>
        <w:rPr>
          <w:color w:val="auto"/>
        </w:rPr>
        <w:t>在施工</w:t>
      </w:r>
      <w:r>
        <w:rPr>
          <w:rFonts w:hint="eastAsia"/>
          <w:color w:val="auto"/>
          <w:lang w:val="en-US" w:eastAsia="zh-CN"/>
        </w:rPr>
        <w:t>中</w:t>
      </w:r>
      <w:r>
        <w:rPr>
          <w:color w:val="auto"/>
        </w:rPr>
        <w:t>对</w:t>
      </w:r>
      <w:r>
        <w:rPr>
          <w:rFonts w:hint="eastAsia"/>
          <w:color w:val="auto"/>
          <w:lang w:val="en-US" w:eastAsia="zh-CN"/>
        </w:rPr>
        <w:t>道路</w:t>
      </w:r>
      <w:r>
        <w:rPr>
          <w:color w:val="auto"/>
          <w:lang w:val="en-US" w:eastAsia="zh-CN"/>
        </w:rPr>
        <w:t>外侧布设土质临时排水沟，梯</w:t>
      </w:r>
      <w:r>
        <w:rPr>
          <w:rFonts w:hint="default"/>
          <w:color w:val="auto"/>
          <w:lang w:val="en-US" w:eastAsia="zh-CN"/>
        </w:rPr>
        <w:t>形断面，底宽0.3m，深0.3m，边坡1∶1</w:t>
      </w:r>
      <w:r>
        <w:rPr>
          <w:rFonts w:hint="eastAsia"/>
          <w:color w:val="auto"/>
          <w:lang w:val="en-US" w:eastAsia="zh-CN"/>
        </w:rPr>
        <w:t>，</w:t>
      </w:r>
      <w:r>
        <w:rPr>
          <w:rFonts w:hint="default"/>
          <w:color w:val="auto"/>
          <w:lang w:val="en-US" w:eastAsia="zh-CN"/>
        </w:rPr>
        <w:t>共修筑临时排水沟</w:t>
      </w:r>
      <w:r>
        <w:rPr>
          <w:rFonts w:hint="eastAsia"/>
          <w:color w:val="auto"/>
          <w:lang w:val="en-US" w:eastAsia="zh-CN"/>
        </w:rPr>
        <w:t>1000</w:t>
      </w:r>
      <w:r>
        <w:rPr>
          <w:rFonts w:hint="default"/>
          <w:color w:val="auto"/>
          <w:lang w:val="en-US" w:eastAsia="zh-CN"/>
        </w:rPr>
        <w:t>m</w:t>
      </w:r>
      <w:r>
        <w:rPr>
          <w:rFonts w:hint="eastAsia"/>
          <w:color w:val="auto"/>
          <w:lang w:val="en-US" w:eastAsia="zh-CN"/>
        </w:rPr>
        <w:t>。</w:t>
      </w:r>
      <w:r>
        <w:rPr>
          <w:color w:val="auto"/>
          <w:lang w:val="en-US" w:eastAsia="zh-CN"/>
        </w:rPr>
        <w:t>施工</w:t>
      </w:r>
      <w:r>
        <w:rPr>
          <w:rFonts w:hint="eastAsia"/>
          <w:color w:val="auto"/>
          <w:lang w:val="en-US" w:eastAsia="zh-CN"/>
        </w:rPr>
        <w:t>期间进行土地整治及播撒草籽绿化，后续保留临时道路及植被措施。</w:t>
      </w:r>
      <w:r>
        <w:rPr>
          <w:rFonts w:hint="default"/>
          <w:color w:val="auto"/>
          <w:lang w:val="en-US" w:eastAsia="zh-CN"/>
        </w:rPr>
        <w:t>经统计，</w:t>
      </w:r>
      <w:r>
        <w:rPr>
          <w:rFonts w:hint="eastAsia"/>
          <w:color w:val="auto"/>
          <w:lang w:val="en-US" w:eastAsia="zh-CN"/>
        </w:rPr>
        <w:t>土地整治</w:t>
      </w:r>
      <w:r>
        <w:rPr>
          <w:color w:val="auto"/>
        </w:rPr>
        <w:t>面积</w:t>
      </w:r>
      <w:r>
        <w:rPr>
          <w:rFonts w:hint="eastAsia"/>
          <w:color w:val="auto"/>
          <w:lang w:val="en-US" w:eastAsia="zh-CN"/>
        </w:rPr>
        <w:t>2500</w:t>
      </w:r>
      <w:r>
        <w:rPr>
          <w:color w:val="auto"/>
        </w:rPr>
        <w:t>m</w:t>
      </w:r>
      <w:r>
        <w:rPr>
          <w:color w:val="auto"/>
          <w:vertAlign w:val="superscript"/>
        </w:rPr>
        <w:t>2</w:t>
      </w:r>
      <w:r>
        <w:rPr>
          <w:rFonts w:hint="eastAsia"/>
          <w:color w:val="auto"/>
          <w:lang w:eastAsia="zh-CN"/>
        </w:rPr>
        <w:t>，</w:t>
      </w:r>
      <w:r>
        <w:rPr>
          <w:color w:val="auto"/>
        </w:rPr>
        <w:t>撒播草籽面积</w:t>
      </w:r>
      <w:r>
        <w:rPr>
          <w:rFonts w:hint="eastAsia"/>
          <w:color w:val="auto"/>
          <w:lang w:val="en-US" w:eastAsia="zh-CN"/>
        </w:rPr>
        <w:t>2500</w:t>
      </w:r>
      <w:r>
        <w:rPr>
          <w:color w:val="auto"/>
        </w:rPr>
        <w:t>m</w:t>
      </w:r>
      <w:r>
        <w:rPr>
          <w:color w:val="auto"/>
          <w:vertAlign w:val="superscript"/>
        </w:rPr>
        <w:t>2</w:t>
      </w:r>
      <w:r>
        <w:rPr>
          <w:rFonts w:hint="eastAsia"/>
          <w:color w:val="auto"/>
          <w:lang w:val="en-US" w:eastAsia="zh-CN"/>
        </w:rPr>
        <w:t>；</w:t>
      </w:r>
    </w:p>
    <w:p w14:paraId="716001A7">
      <w:pPr>
        <w:bidi w:val="0"/>
        <w:rPr>
          <w:color w:val="auto"/>
        </w:rPr>
      </w:pPr>
      <w:bookmarkStart w:id="215" w:name="_Toc57277190"/>
      <w:bookmarkStart w:id="216" w:name="_Toc75423027"/>
      <w:bookmarkStart w:id="217" w:name="_Toc81378428"/>
      <w:bookmarkStart w:id="218" w:name="_Toc68858257"/>
      <w:r>
        <w:rPr>
          <w:rFonts w:hint="eastAsia"/>
          <w:color w:val="auto"/>
          <w:lang w:eastAsia="zh-CN"/>
        </w:rPr>
        <w:t>（</w:t>
      </w:r>
      <w:r>
        <w:rPr>
          <w:rFonts w:hint="eastAsia"/>
          <w:color w:val="auto"/>
          <w:lang w:val="en-US" w:eastAsia="zh-CN"/>
        </w:rPr>
        <w:t>2）</w:t>
      </w:r>
      <w:r>
        <w:rPr>
          <w:color w:val="auto"/>
        </w:rPr>
        <w:t>分区防治措施体系</w:t>
      </w:r>
      <w:bookmarkEnd w:id="215"/>
      <w:bookmarkEnd w:id="216"/>
      <w:bookmarkEnd w:id="217"/>
      <w:bookmarkEnd w:id="218"/>
    </w:p>
    <w:p w14:paraId="2412F869">
      <w:pPr>
        <w:bidi w:val="0"/>
        <w:rPr>
          <w:color w:val="auto"/>
        </w:rPr>
      </w:pPr>
      <w:r>
        <w:rPr>
          <w:color w:val="auto"/>
        </w:rPr>
        <w:t>结合项目建设实际及已界定的水土保持工程，根据水土流失预测结论及各防治分区水土流失特点，进行合理、全面、系统地规划，提出各分区需要补充、完善和细化的防治措施内容，使之形成一个以工程措施为先导，植物措施、临时措施相结合的完整的水土流失防治体系。分区防治措施如下：</w:t>
      </w:r>
    </w:p>
    <w:p w14:paraId="1B0633BA">
      <w:pPr>
        <w:bidi w:val="0"/>
        <w:rPr>
          <w:color w:val="auto"/>
        </w:rPr>
      </w:pPr>
      <w:r>
        <w:rPr>
          <w:color w:val="auto"/>
        </w:rPr>
        <w:t>1、</w:t>
      </w:r>
      <w:r>
        <w:rPr>
          <w:rFonts w:hint="eastAsia"/>
          <w:color w:val="auto"/>
          <w:lang w:val="en-US" w:eastAsia="zh-CN"/>
        </w:rPr>
        <w:t>抛泥</w:t>
      </w:r>
      <w:r>
        <w:rPr>
          <w:color w:val="auto"/>
        </w:rPr>
        <w:t>区</w:t>
      </w:r>
    </w:p>
    <w:p w14:paraId="1BEB80CA">
      <w:pPr>
        <w:bidi w:val="0"/>
        <w:rPr>
          <w:rFonts w:hint="eastAsia"/>
          <w:color w:val="auto"/>
          <w:lang w:val="en-US" w:eastAsia="zh-CN"/>
        </w:rPr>
      </w:pPr>
      <w:r>
        <w:rPr>
          <w:color w:val="auto"/>
        </w:rPr>
        <w:t>主体设计</w:t>
      </w:r>
      <w:r>
        <w:rPr>
          <w:rFonts w:hint="eastAsia"/>
          <w:color w:val="auto"/>
          <w:lang w:val="en-US" w:eastAsia="zh-CN"/>
        </w:rPr>
        <w:t>已</w:t>
      </w:r>
      <w:r>
        <w:rPr>
          <w:rFonts w:hint="default"/>
          <w:color w:val="auto"/>
        </w:rPr>
        <w:t>考虑</w:t>
      </w:r>
      <w:r>
        <w:rPr>
          <w:rFonts w:hint="eastAsia"/>
          <w:color w:val="auto"/>
          <w:lang w:val="en-US" w:eastAsia="zh-CN"/>
        </w:rPr>
        <w:t>施工</w:t>
      </w:r>
      <w:r>
        <w:rPr>
          <w:rFonts w:hint="default"/>
          <w:color w:val="auto"/>
        </w:rPr>
        <w:t>结束后</w:t>
      </w:r>
      <w:r>
        <w:rPr>
          <w:rFonts w:hint="eastAsia"/>
          <w:color w:val="auto"/>
          <w:lang w:val="en-US" w:eastAsia="zh-CN"/>
        </w:rPr>
        <w:t>土地整治。</w:t>
      </w:r>
    </w:p>
    <w:p w14:paraId="60BAC7D7">
      <w:pPr>
        <w:bidi w:val="0"/>
        <w:rPr>
          <w:color w:val="auto"/>
        </w:rPr>
      </w:pPr>
      <w:r>
        <w:rPr>
          <w:rFonts w:hint="eastAsia"/>
          <w:color w:val="auto"/>
          <w:lang w:val="en-US" w:eastAsia="zh-CN"/>
        </w:rPr>
        <w:t>方案新增对施工期间对施工裸地采用密目网苫盖、沿</w:t>
      </w:r>
      <w:r>
        <w:rPr>
          <w:color w:val="auto"/>
          <w:lang w:val="en-US" w:eastAsia="zh-CN"/>
        </w:rPr>
        <w:t>施工场地周围布设补充临时排水沟</w:t>
      </w:r>
      <w:r>
        <w:rPr>
          <w:rFonts w:hint="eastAsia"/>
          <w:color w:val="auto"/>
          <w:lang w:val="en-US" w:eastAsia="zh-CN"/>
        </w:rPr>
        <w:t>措施</w:t>
      </w:r>
      <w:r>
        <w:rPr>
          <w:color w:val="auto"/>
        </w:rPr>
        <w:t>。</w:t>
      </w:r>
    </w:p>
    <w:p w14:paraId="02E22C4B">
      <w:pPr>
        <w:bidi w:val="0"/>
        <w:rPr>
          <w:color w:val="auto"/>
        </w:rPr>
      </w:pPr>
      <w:r>
        <w:rPr>
          <w:rFonts w:hint="eastAsia"/>
          <w:color w:val="auto"/>
          <w:lang w:val="en-US" w:eastAsia="zh-CN"/>
        </w:rPr>
        <w:t>2</w:t>
      </w:r>
      <w:r>
        <w:rPr>
          <w:color w:val="auto"/>
        </w:rPr>
        <w:t>、</w:t>
      </w:r>
      <w:r>
        <w:rPr>
          <w:color w:val="auto"/>
          <w:lang w:val="en-US" w:eastAsia="zh-CN"/>
        </w:rPr>
        <w:t>临时</w:t>
      </w:r>
      <w:r>
        <w:rPr>
          <w:rFonts w:hint="eastAsia"/>
          <w:color w:val="auto"/>
          <w:lang w:val="en-US" w:eastAsia="zh-CN"/>
        </w:rPr>
        <w:t>道路</w:t>
      </w:r>
      <w:r>
        <w:rPr>
          <w:color w:val="auto"/>
          <w:lang w:val="en-US" w:eastAsia="zh-CN"/>
        </w:rPr>
        <w:t>区</w:t>
      </w:r>
    </w:p>
    <w:p w14:paraId="21A37319">
      <w:pPr>
        <w:bidi w:val="0"/>
        <w:rPr>
          <w:rFonts w:hint="eastAsia"/>
          <w:color w:val="auto"/>
          <w:lang w:val="en-US" w:eastAsia="zh-CN"/>
        </w:rPr>
      </w:pPr>
      <w:r>
        <w:rPr>
          <w:color w:val="auto"/>
        </w:rPr>
        <w:t>主体设计</w:t>
      </w:r>
      <w:r>
        <w:rPr>
          <w:rFonts w:hint="eastAsia"/>
          <w:color w:val="auto"/>
          <w:lang w:val="en-US" w:eastAsia="zh-CN"/>
        </w:rPr>
        <w:t>已</w:t>
      </w:r>
      <w:r>
        <w:rPr>
          <w:rFonts w:hint="default"/>
          <w:color w:val="auto"/>
        </w:rPr>
        <w:t>考虑</w:t>
      </w:r>
      <w:r>
        <w:rPr>
          <w:rFonts w:hint="eastAsia"/>
          <w:color w:val="auto"/>
          <w:lang w:val="en-US" w:eastAsia="zh-CN"/>
        </w:rPr>
        <w:t>施工期间土地整治、</w:t>
      </w:r>
      <w:r>
        <w:rPr>
          <w:color w:val="auto"/>
        </w:rPr>
        <w:t>撒播草籽</w:t>
      </w:r>
      <w:r>
        <w:rPr>
          <w:rFonts w:hint="eastAsia"/>
          <w:color w:val="auto"/>
          <w:lang w:val="en-US" w:eastAsia="zh-CN"/>
        </w:rPr>
        <w:t>等措施</w:t>
      </w:r>
      <w:r>
        <w:rPr>
          <w:rFonts w:hint="eastAsia"/>
          <w:color w:val="auto"/>
        </w:rPr>
        <w:t>。</w:t>
      </w:r>
    </w:p>
    <w:p w14:paraId="0187306A">
      <w:pPr>
        <w:bidi w:val="0"/>
        <w:rPr>
          <w:color w:val="auto"/>
        </w:rPr>
      </w:pPr>
      <w:r>
        <w:rPr>
          <w:rFonts w:hint="eastAsia"/>
          <w:color w:val="auto"/>
          <w:lang w:val="en-US" w:eastAsia="zh-CN"/>
        </w:rPr>
        <w:t>方案新增对施工期间沿</w:t>
      </w:r>
      <w:r>
        <w:rPr>
          <w:color w:val="auto"/>
          <w:lang w:val="en-US" w:eastAsia="zh-CN"/>
        </w:rPr>
        <w:t>施工场地周围布设补充临时排水沟</w:t>
      </w:r>
      <w:r>
        <w:rPr>
          <w:rFonts w:hint="eastAsia"/>
          <w:color w:val="auto"/>
          <w:lang w:val="en-US" w:eastAsia="zh-CN"/>
        </w:rPr>
        <w:t>措施</w:t>
      </w:r>
      <w:r>
        <w:rPr>
          <w:color w:val="auto"/>
        </w:rPr>
        <w:t>。</w:t>
      </w:r>
    </w:p>
    <w:p w14:paraId="17AA367E">
      <w:pPr>
        <w:bidi w:val="0"/>
        <w:rPr>
          <w:color w:val="auto"/>
        </w:rPr>
      </w:pPr>
      <w:r>
        <w:rPr>
          <w:color w:val="auto"/>
        </w:rPr>
        <w:t>本工程水土流失防治措施体系详见图6.</w:t>
      </w:r>
      <w:r>
        <w:rPr>
          <w:rFonts w:hint="eastAsia"/>
          <w:color w:val="auto"/>
          <w:lang w:val="en-US" w:eastAsia="zh-CN"/>
        </w:rPr>
        <w:t>2</w:t>
      </w:r>
      <w:r>
        <w:rPr>
          <w:color w:val="auto"/>
        </w:rPr>
        <w:t>-1。</w:t>
      </w:r>
    </w:p>
    <w:p w14:paraId="1698000C">
      <w:pPr>
        <w:bidi w:val="0"/>
        <w:rPr>
          <w:color w:val="auto"/>
        </w:rPr>
      </w:pPr>
    </w:p>
    <w:p w14:paraId="13D59A9A">
      <w:pPr>
        <w:bidi w:val="0"/>
        <w:rPr>
          <w:color w:val="auto"/>
        </w:rPr>
      </w:pPr>
    </w:p>
    <w:p w14:paraId="3E2676EB">
      <w:pPr>
        <w:bidi w:val="0"/>
        <w:rPr>
          <w:color w:val="auto"/>
        </w:rPr>
      </w:pPr>
    </w:p>
    <w:tbl>
      <w:tblPr>
        <w:tblStyle w:val="24"/>
        <w:tblW w:w="5000" w:type="pct"/>
        <w:jc w:val="center"/>
        <w:tblLayout w:type="fixed"/>
        <w:tblCellMar>
          <w:top w:w="0" w:type="dxa"/>
          <w:left w:w="108" w:type="dxa"/>
          <w:bottom w:w="0" w:type="dxa"/>
          <w:right w:w="108" w:type="dxa"/>
        </w:tblCellMar>
      </w:tblPr>
      <w:tblGrid>
        <w:gridCol w:w="374"/>
        <w:gridCol w:w="236"/>
        <w:gridCol w:w="1042"/>
        <w:gridCol w:w="236"/>
        <w:gridCol w:w="1214"/>
        <w:gridCol w:w="5420"/>
      </w:tblGrid>
      <w:tr w14:paraId="1CC142B7">
        <w:tblPrEx>
          <w:tblCellMar>
            <w:top w:w="0" w:type="dxa"/>
            <w:left w:w="108" w:type="dxa"/>
            <w:bottom w:w="0" w:type="dxa"/>
            <w:right w:w="108" w:type="dxa"/>
          </w:tblCellMar>
        </w:tblPrEx>
        <w:trPr>
          <w:trHeight w:val="502" w:hRule="atLeast"/>
          <w:jc w:val="center"/>
        </w:trPr>
        <w:tc>
          <w:tcPr>
            <w:tcW w:w="219" w:type="pct"/>
            <w:vMerge w:val="restart"/>
            <w:tcBorders>
              <w:top w:val="nil"/>
              <w:left w:val="nil"/>
              <w:right w:val="nil"/>
            </w:tcBorders>
            <w:shd w:val="clear" w:color="auto" w:fill="auto"/>
            <w:noWrap/>
            <w:vAlign w:val="center"/>
          </w:tcPr>
          <w:p w14:paraId="05750F81">
            <w:pPr>
              <w:widowControl/>
              <w:spacing w:line="240" w:lineRule="auto"/>
              <w:ind w:firstLine="0" w:firstLineChars="0"/>
              <w:jc w:val="center"/>
              <w:textAlignment w:val="bottom"/>
              <w:rPr>
                <w:rFonts w:ascii="仿宋_GB2312" w:hAnsi="仿宋_GB2312" w:cs="仿宋_GB2312"/>
                <w:color w:val="auto"/>
                <w:sz w:val="18"/>
                <w:szCs w:val="18"/>
              </w:rPr>
            </w:pPr>
            <w:r>
              <w:rPr>
                <w:rFonts w:hint="eastAsia" w:ascii="仿宋_GB2312" w:hAnsi="仿宋_GB2312" w:cs="仿宋_GB2312"/>
                <w:color w:val="auto"/>
                <w:kern w:val="0"/>
                <w:sz w:val="18"/>
                <w:szCs w:val="18"/>
              </w:rPr>
              <w:drawing>
                <wp:anchor distT="0" distB="0" distL="114300" distR="114300" simplePos="0" relativeHeight="251666432" behindDoc="0" locked="0" layoutInCell="1" allowOverlap="1">
                  <wp:simplePos x="0" y="0"/>
                  <wp:positionH relativeFrom="column">
                    <wp:posOffset>128270</wp:posOffset>
                  </wp:positionH>
                  <wp:positionV relativeFrom="paragraph">
                    <wp:posOffset>53975</wp:posOffset>
                  </wp:positionV>
                  <wp:extent cx="222250" cy="2004060"/>
                  <wp:effectExtent l="0" t="0" r="6350" b="15240"/>
                  <wp:wrapNone/>
                  <wp:docPr id="45" name="左大括号_1"/>
                  <wp:cNvGraphicFramePr/>
                  <a:graphic xmlns:a="http://schemas.openxmlformats.org/drawingml/2006/main">
                    <a:graphicData uri="http://schemas.openxmlformats.org/drawingml/2006/picture">
                      <pic:pic xmlns:pic="http://schemas.openxmlformats.org/drawingml/2006/picture">
                        <pic:nvPicPr>
                          <pic:cNvPr id="45" name="左大括号_1"/>
                          <pic:cNvPicPr/>
                        </pic:nvPicPr>
                        <pic:blipFill>
                          <a:blip r:embed="rId88"/>
                          <a:stretch>
                            <a:fillRect/>
                          </a:stretch>
                        </pic:blipFill>
                        <pic:spPr>
                          <a:xfrm>
                            <a:off x="0" y="0"/>
                            <a:ext cx="222250" cy="2004060"/>
                          </a:xfrm>
                          <a:prstGeom prst="rect">
                            <a:avLst/>
                          </a:prstGeom>
                          <a:noFill/>
                          <a:ln>
                            <a:noFill/>
                          </a:ln>
                        </pic:spPr>
                      </pic:pic>
                    </a:graphicData>
                  </a:graphic>
                </wp:anchor>
              </w:drawing>
            </w:r>
            <w:r>
              <w:rPr>
                <w:rFonts w:hint="eastAsia" w:ascii="仿宋_GB2312" w:hAnsi="仿宋_GB2312" w:cs="仿宋_GB2312"/>
                <w:color w:val="auto"/>
                <w:kern w:val="0"/>
                <w:sz w:val="18"/>
                <w:szCs w:val="18"/>
                <w:lang w:bidi="ar"/>
              </w:rPr>
              <w:t>水土流失防治措施体系</w:t>
            </w:r>
          </w:p>
        </w:tc>
        <w:tc>
          <w:tcPr>
            <w:tcW w:w="138" w:type="pct"/>
            <w:tcBorders>
              <w:top w:val="nil"/>
              <w:left w:val="nil"/>
              <w:bottom w:val="nil"/>
              <w:right w:val="nil"/>
            </w:tcBorders>
            <w:shd w:val="clear" w:color="auto" w:fill="auto"/>
            <w:noWrap/>
            <w:vAlign w:val="center"/>
          </w:tcPr>
          <w:p w14:paraId="370715A2">
            <w:pPr>
              <w:spacing w:line="240" w:lineRule="auto"/>
              <w:ind w:firstLine="0" w:firstLineChars="0"/>
              <w:jc w:val="center"/>
              <w:rPr>
                <w:rFonts w:ascii="仿宋_GB2312" w:hAnsi="仿宋_GB2312" w:cs="仿宋_GB2312"/>
                <w:color w:val="auto"/>
                <w:sz w:val="18"/>
                <w:szCs w:val="18"/>
              </w:rPr>
            </w:pPr>
          </w:p>
        </w:tc>
        <w:tc>
          <w:tcPr>
            <w:tcW w:w="611" w:type="pct"/>
            <w:vMerge w:val="restart"/>
            <w:tcBorders>
              <w:top w:val="nil"/>
              <w:left w:val="nil"/>
              <w:right w:val="nil"/>
            </w:tcBorders>
            <w:shd w:val="clear" w:color="auto" w:fill="auto"/>
            <w:noWrap/>
            <w:vAlign w:val="center"/>
          </w:tcPr>
          <w:p w14:paraId="57A5442A">
            <w:pPr>
              <w:spacing w:line="240" w:lineRule="auto"/>
              <w:ind w:firstLine="0" w:firstLineChars="0"/>
              <w:jc w:val="center"/>
              <w:rPr>
                <w:rFonts w:ascii="仿宋_GB2312" w:hAnsi="仿宋_GB2312" w:cs="仿宋_GB2312"/>
                <w:color w:val="auto"/>
                <w:kern w:val="0"/>
                <w:sz w:val="18"/>
                <w:szCs w:val="18"/>
                <w:lang w:bidi="ar"/>
              </w:rPr>
            </w:pPr>
            <w:r>
              <w:rPr>
                <w:rFonts w:hint="eastAsia" w:ascii="仿宋_GB2312" w:hAnsi="仿宋_GB2312" w:cs="仿宋_GB2312"/>
                <w:color w:val="auto"/>
                <w:kern w:val="0"/>
                <w:sz w:val="18"/>
                <w:szCs w:val="18"/>
              </w:rPr>
              <w:drawing>
                <wp:anchor distT="0" distB="0" distL="114300" distR="114300" simplePos="0" relativeHeight="251667456" behindDoc="0" locked="0" layoutInCell="1" allowOverlap="1">
                  <wp:simplePos x="0" y="0"/>
                  <wp:positionH relativeFrom="column">
                    <wp:posOffset>562610</wp:posOffset>
                  </wp:positionH>
                  <wp:positionV relativeFrom="paragraph">
                    <wp:posOffset>160020</wp:posOffset>
                  </wp:positionV>
                  <wp:extent cx="150495" cy="675640"/>
                  <wp:effectExtent l="0" t="0" r="1905" b="10160"/>
                  <wp:wrapNone/>
                  <wp:docPr id="47" name="左大括号_2"/>
                  <wp:cNvGraphicFramePr/>
                  <a:graphic xmlns:a="http://schemas.openxmlformats.org/drawingml/2006/main">
                    <a:graphicData uri="http://schemas.openxmlformats.org/drawingml/2006/picture">
                      <pic:pic xmlns:pic="http://schemas.openxmlformats.org/drawingml/2006/picture">
                        <pic:nvPicPr>
                          <pic:cNvPr id="47" name="左大括号_2"/>
                          <pic:cNvPicPr/>
                        </pic:nvPicPr>
                        <pic:blipFill>
                          <a:blip r:embed="rId89"/>
                          <a:stretch>
                            <a:fillRect/>
                          </a:stretch>
                        </pic:blipFill>
                        <pic:spPr>
                          <a:xfrm>
                            <a:off x="0" y="0"/>
                            <a:ext cx="150495" cy="675640"/>
                          </a:xfrm>
                          <a:prstGeom prst="rect">
                            <a:avLst/>
                          </a:prstGeom>
                          <a:noFill/>
                          <a:ln>
                            <a:noFill/>
                          </a:ln>
                        </pic:spPr>
                      </pic:pic>
                    </a:graphicData>
                  </a:graphic>
                </wp:anchor>
              </w:drawing>
            </w:r>
          </w:p>
          <w:p w14:paraId="6CD8F066">
            <w:pPr>
              <w:spacing w:line="240" w:lineRule="auto"/>
              <w:ind w:firstLine="0" w:firstLineChars="0"/>
              <w:jc w:val="center"/>
              <w:rPr>
                <w:rFonts w:ascii="仿宋_GB2312" w:hAnsi="仿宋_GB2312" w:cs="仿宋_GB2312"/>
                <w:color w:val="auto"/>
                <w:sz w:val="18"/>
                <w:szCs w:val="18"/>
              </w:rPr>
            </w:pPr>
            <w:r>
              <w:rPr>
                <w:rFonts w:hint="eastAsia" w:ascii="仿宋_GB2312" w:hAnsi="仿宋_GB2312" w:cs="仿宋_GB2312"/>
                <w:color w:val="auto"/>
                <w:kern w:val="0"/>
                <w:sz w:val="18"/>
                <w:szCs w:val="18"/>
                <w:lang w:val="en-US" w:eastAsia="zh-CN" w:bidi="ar"/>
              </w:rPr>
              <w:t>抛泥</w:t>
            </w:r>
            <w:r>
              <w:rPr>
                <w:rFonts w:hint="eastAsia" w:ascii="仿宋_GB2312" w:hAnsi="仿宋_GB2312" w:cs="仿宋_GB2312"/>
                <w:color w:val="auto"/>
                <w:kern w:val="0"/>
                <w:sz w:val="18"/>
                <w:szCs w:val="18"/>
                <w:lang w:bidi="ar"/>
              </w:rPr>
              <w:t>区</w:t>
            </w:r>
          </w:p>
        </w:tc>
        <w:tc>
          <w:tcPr>
            <w:tcW w:w="138" w:type="pct"/>
            <w:tcBorders>
              <w:top w:val="nil"/>
              <w:left w:val="nil"/>
              <w:bottom w:val="nil"/>
              <w:right w:val="nil"/>
            </w:tcBorders>
            <w:shd w:val="clear" w:color="auto" w:fill="auto"/>
            <w:noWrap/>
            <w:vAlign w:val="center"/>
          </w:tcPr>
          <w:p w14:paraId="13B8C5AF">
            <w:pPr>
              <w:widowControl/>
              <w:spacing w:line="240" w:lineRule="auto"/>
              <w:ind w:firstLine="0" w:firstLineChars="0"/>
              <w:jc w:val="center"/>
              <w:textAlignment w:val="bottom"/>
              <w:rPr>
                <w:rFonts w:ascii="仿宋_GB2312" w:hAnsi="仿宋_GB2312" w:cs="仿宋_GB2312"/>
                <w:color w:val="auto"/>
                <w:sz w:val="18"/>
                <w:szCs w:val="18"/>
              </w:rPr>
            </w:pPr>
          </w:p>
        </w:tc>
        <w:tc>
          <w:tcPr>
            <w:tcW w:w="712" w:type="pct"/>
            <w:tcBorders>
              <w:top w:val="nil"/>
              <w:left w:val="nil"/>
              <w:bottom w:val="nil"/>
              <w:right w:val="nil"/>
            </w:tcBorders>
            <w:shd w:val="clear" w:color="auto" w:fill="auto"/>
            <w:noWrap/>
            <w:vAlign w:val="center"/>
          </w:tcPr>
          <w:p w14:paraId="4E159EA3">
            <w:pPr>
              <w:widowControl/>
              <w:spacing w:line="240" w:lineRule="auto"/>
              <w:ind w:firstLine="0" w:firstLineChars="0"/>
              <w:jc w:val="center"/>
              <w:textAlignment w:val="bottom"/>
              <w:rPr>
                <w:rFonts w:ascii="仿宋_GB2312" w:hAnsi="仿宋_GB2312" w:cs="仿宋_GB2312"/>
                <w:color w:val="auto"/>
                <w:sz w:val="18"/>
                <w:szCs w:val="18"/>
              </w:rPr>
            </w:pPr>
            <w:r>
              <w:rPr>
                <w:rFonts w:hint="eastAsia" w:ascii="仿宋_GB2312" w:hAnsi="仿宋_GB2312" w:cs="仿宋_GB2312"/>
                <w:color w:val="auto"/>
                <w:kern w:val="0"/>
                <w:sz w:val="18"/>
                <w:szCs w:val="18"/>
                <w:lang w:bidi="ar"/>
              </w:rPr>
              <w:t>工程措施</w:t>
            </w:r>
          </w:p>
        </w:tc>
        <w:tc>
          <w:tcPr>
            <w:tcW w:w="3179" w:type="pct"/>
            <w:tcBorders>
              <w:top w:val="nil"/>
              <w:left w:val="nil"/>
              <w:bottom w:val="nil"/>
              <w:right w:val="nil"/>
            </w:tcBorders>
            <w:shd w:val="clear" w:color="auto" w:fill="auto"/>
            <w:noWrap/>
            <w:vAlign w:val="center"/>
          </w:tcPr>
          <w:p w14:paraId="2A591770">
            <w:pPr>
              <w:widowControl/>
              <w:spacing w:line="240" w:lineRule="auto"/>
              <w:ind w:firstLine="0" w:firstLineChars="0"/>
              <w:jc w:val="center"/>
              <w:textAlignment w:val="bottom"/>
              <w:rPr>
                <w:rFonts w:ascii="仿宋_GB2312" w:hAnsi="仿宋_GB2312" w:cs="仿宋_GB2312"/>
                <w:color w:val="auto"/>
                <w:kern w:val="0"/>
                <w:sz w:val="18"/>
                <w:szCs w:val="18"/>
                <w:lang w:bidi="ar"/>
              </w:rPr>
            </w:pPr>
            <w:r>
              <w:rPr>
                <w:rFonts w:hint="eastAsia" w:ascii="仿宋_GB2312" w:hAnsi="仿宋_GB2312" w:cs="仿宋_GB2312"/>
                <w:color w:val="auto"/>
                <w:kern w:val="0"/>
                <w:sz w:val="18"/>
                <w:szCs w:val="18"/>
                <w:lang w:bidi="ar"/>
              </w:rPr>
              <w:t>土地整治</w:t>
            </w:r>
          </w:p>
        </w:tc>
      </w:tr>
      <w:tr w14:paraId="7FF72846">
        <w:tblPrEx>
          <w:tblCellMar>
            <w:top w:w="0" w:type="dxa"/>
            <w:left w:w="108" w:type="dxa"/>
            <w:bottom w:w="0" w:type="dxa"/>
            <w:right w:w="108" w:type="dxa"/>
          </w:tblCellMar>
        </w:tblPrEx>
        <w:trPr>
          <w:trHeight w:val="492" w:hRule="atLeast"/>
          <w:jc w:val="center"/>
        </w:trPr>
        <w:tc>
          <w:tcPr>
            <w:tcW w:w="219" w:type="pct"/>
            <w:vMerge w:val="continue"/>
            <w:tcBorders>
              <w:left w:val="nil"/>
              <w:right w:val="nil"/>
            </w:tcBorders>
            <w:shd w:val="clear" w:color="auto" w:fill="auto"/>
            <w:vAlign w:val="center"/>
          </w:tcPr>
          <w:p w14:paraId="37A5AFFB">
            <w:pPr>
              <w:widowControl/>
              <w:spacing w:line="240" w:lineRule="auto"/>
              <w:ind w:firstLine="0" w:firstLineChars="0"/>
              <w:jc w:val="center"/>
              <w:textAlignment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346DA998">
            <w:pPr>
              <w:spacing w:line="240" w:lineRule="auto"/>
              <w:ind w:firstLine="0" w:firstLineChars="0"/>
              <w:jc w:val="center"/>
              <w:rPr>
                <w:rFonts w:ascii="仿宋_GB2312" w:hAnsi="仿宋_GB2312" w:cs="仿宋_GB2312"/>
                <w:color w:val="auto"/>
                <w:sz w:val="18"/>
                <w:szCs w:val="18"/>
              </w:rPr>
            </w:pPr>
          </w:p>
        </w:tc>
        <w:tc>
          <w:tcPr>
            <w:tcW w:w="611" w:type="pct"/>
            <w:vMerge w:val="continue"/>
            <w:tcBorders>
              <w:left w:val="nil"/>
              <w:right w:val="nil"/>
            </w:tcBorders>
            <w:shd w:val="clear" w:color="auto" w:fill="auto"/>
            <w:noWrap/>
            <w:vAlign w:val="center"/>
          </w:tcPr>
          <w:p w14:paraId="12ABFA62">
            <w:pPr>
              <w:widowControl/>
              <w:spacing w:line="240" w:lineRule="auto"/>
              <w:ind w:firstLine="0" w:firstLineChars="0"/>
              <w:jc w:val="center"/>
              <w:textAlignment w:val="bottom"/>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53B331DB">
            <w:pPr>
              <w:spacing w:line="240" w:lineRule="auto"/>
              <w:ind w:firstLine="0" w:firstLineChars="0"/>
              <w:jc w:val="center"/>
              <w:rPr>
                <w:rFonts w:ascii="仿宋_GB2312" w:hAnsi="仿宋_GB2312" w:cs="仿宋_GB2312"/>
                <w:color w:val="auto"/>
                <w:sz w:val="18"/>
                <w:szCs w:val="18"/>
              </w:rPr>
            </w:pPr>
          </w:p>
        </w:tc>
        <w:tc>
          <w:tcPr>
            <w:tcW w:w="712" w:type="pct"/>
            <w:tcBorders>
              <w:top w:val="nil"/>
              <w:left w:val="nil"/>
              <w:bottom w:val="nil"/>
              <w:right w:val="nil"/>
            </w:tcBorders>
            <w:shd w:val="clear" w:color="auto" w:fill="auto"/>
            <w:noWrap/>
            <w:vAlign w:val="center"/>
          </w:tcPr>
          <w:p w14:paraId="08F6ADFB">
            <w:pPr>
              <w:widowControl/>
              <w:spacing w:line="240" w:lineRule="auto"/>
              <w:ind w:firstLine="0" w:firstLineChars="0"/>
              <w:jc w:val="center"/>
              <w:textAlignment w:val="bottom"/>
              <w:rPr>
                <w:rFonts w:ascii="仿宋_GB2312" w:hAnsi="仿宋_GB2312" w:cs="仿宋_GB2312"/>
                <w:color w:val="auto"/>
                <w:sz w:val="18"/>
                <w:szCs w:val="18"/>
              </w:rPr>
            </w:pPr>
            <w:r>
              <w:rPr>
                <w:rFonts w:hint="eastAsia" w:ascii="仿宋_GB2312" w:hAnsi="仿宋_GB2312" w:cs="仿宋_GB2312"/>
                <w:color w:val="auto"/>
                <w:kern w:val="0"/>
                <w:sz w:val="18"/>
                <w:szCs w:val="18"/>
                <w:lang w:bidi="ar"/>
              </w:rPr>
              <w:t>植物措施</w:t>
            </w:r>
          </w:p>
        </w:tc>
        <w:tc>
          <w:tcPr>
            <w:tcW w:w="3179" w:type="pct"/>
            <w:tcBorders>
              <w:top w:val="nil"/>
              <w:left w:val="nil"/>
              <w:bottom w:val="nil"/>
              <w:right w:val="nil"/>
            </w:tcBorders>
            <w:shd w:val="clear" w:color="auto" w:fill="auto"/>
            <w:noWrap/>
            <w:vAlign w:val="center"/>
          </w:tcPr>
          <w:p w14:paraId="6BF9173C">
            <w:pPr>
              <w:widowControl/>
              <w:spacing w:line="240" w:lineRule="auto"/>
              <w:ind w:firstLine="0" w:firstLineChars="0"/>
              <w:jc w:val="center"/>
              <w:textAlignment w:val="bottom"/>
              <w:rPr>
                <w:rFonts w:ascii="仿宋_GB2312" w:hAnsi="仿宋_GB2312" w:cs="仿宋_GB2312"/>
                <w:color w:val="auto"/>
                <w:kern w:val="0"/>
                <w:sz w:val="18"/>
                <w:szCs w:val="18"/>
                <w:lang w:bidi="ar"/>
              </w:rPr>
            </w:pPr>
            <w:r>
              <w:rPr>
                <w:rFonts w:hint="eastAsia"/>
                <w:color w:val="auto"/>
                <w:sz w:val="18"/>
                <w:szCs w:val="18"/>
                <w:lang w:val="en-US" w:eastAsia="zh-CN"/>
              </w:rPr>
              <w:t>/</w:t>
            </w:r>
          </w:p>
        </w:tc>
      </w:tr>
      <w:tr w14:paraId="4B30C506">
        <w:tblPrEx>
          <w:tblCellMar>
            <w:top w:w="0" w:type="dxa"/>
            <w:left w:w="108" w:type="dxa"/>
            <w:bottom w:w="0" w:type="dxa"/>
            <w:right w:w="108" w:type="dxa"/>
          </w:tblCellMar>
        </w:tblPrEx>
        <w:trPr>
          <w:trHeight w:val="492" w:hRule="atLeast"/>
          <w:jc w:val="center"/>
        </w:trPr>
        <w:tc>
          <w:tcPr>
            <w:tcW w:w="219" w:type="pct"/>
            <w:vMerge w:val="continue"/>
            <w:tcBorders>
              <w:left w:val="nil"/>
              <w:right w:val="nil"/>
            </w:tcBorders>
            <w:shd w:val="clear" w:color="auto" w:fill="auto"/>
            <w:vAlign w:val="center"/>
          </w:tcPr>
          <w:p w14:paraId="0763698C">
            <w:pPr>
              <w:spacing w:line="240" w:lineRule="auto"/>
              <w:ind w:firstLine="0" w:firstLineChars="0"/>
              <w:jc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28DC33D6">
            <w:pPr>
              <w:spacing w:line="240" w:lineRule="auto"/>
              <w:ind w:firstLine="0" w:firstLineChars="0"/>
              <w:jc w:val="center"/>
              <w:rPr>
                <w:rFonts w:ascii="仿宋_GB2312" w:hAnsi="仿宋_GB2312" w:cs="仿宋_GB2312"/>
                <w:color w:val="auto"/>
                <w:sz w:val="18"/>
                <w:szCs w:val="18"/>
              </w:rPr>
            </w:pPr>
          </w:p>
        </w:tc>
        <w:tc>
          <w:tcPr>
            <w:tcW w:w="611" w:type="pct"/>
            <w:vMerge w:val="continue"/>
            <w:tcBorders>
              <w:left w:val="nil"/>
              <w:bottom w:val="nil"/>
              <w:right w:val="nil"/>
            </w:tcBorders>
            <w:shd w:val="clear" w:color="auto" w:fill="auto"/>
            <w:noWrap/>
            <w:vAlign w:val="center"/>
          </w:tcPr>
          <w:p w14:paraId="259926C1">
            <w:pPr>
              <w:spacing w:line="240" w:lineRule="auto"/>
              <w:ind w:firstLine="0" w:firstLineChars="0"/>
              <w:jc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210E6394">
            <w:pPr>
              <w:spacing w:line="240" w:lineRule="auto"/>
              <w:ind w:firstLine="0" w:firstLineChars="0"/>
              <w:jc w:val="center"/>
              <w:rPr>
                <w:rFonts w:ascii="仿宋_GB2312" w:hAnsi="仿宋_GB2312" w:cs="仿宋_GB2312"/>
                <w:color w:val="auto"/>
                <w:sz w:val="18"/>
                <w:szCs w:val="18"/>
              </w:rPr>
            </w:pPr>
          </w:p>
        </w:tc>
        <w:tc>
          <w:tcPr>
            <w:tcW w:w="712" w:type="pct"/>
            <w:tcBorders>
              <w:top w:val="nil"/>
              <w:left w:val="nil"/>
              <w:bottom w:val="nil"/>
              <w:right w:val="nil"/>
            </w:tcBorders>
            <w:shd w:val="clear" w:color="auto" w:fill="auto"/>
            <w:noWrap/>
            <w:vAlign w:val="center"/>
          </w:tcPr>
          <w:p w14:paraId="7AA3282A">
            <w:pPr>
              <w:widowControl/>
              <w:spacing w:line="240" w:lineRule="auto"/>
              <w:ind w:firstLine="0" w:firstLineChars="0"/>
              <w:jc w:val="center"/>
              <w:textAlignment w:val="bottom"/>
              <w:rPr>
                <w:rFonts w:ascii="仿宋_GB2312" w:hAnsi="仿宋_GB2312" w:cs="仿宋_GB2312"/>
                <w:color w:val="auto"/>
                <w:sz w:val="18"/>
                <w:szCs w:val="18"/>
              </w:rPr>
            </w:pPr>
            <w:r>
              <w:rPr>
                <w:rFonts w:hint="eastAsia" w:ascii="仿宋_GB2312" w:hAnsi="仿宋_GB2312" w:cs="仿宋_GB2312"/>
                <w:color w:val="auto"/>
                <w:kern w:val="0"/>
                <w:sz w:val="18"/>
                <w:szCs w:val="18"/>
                <w:lang w:bidi="ar"/>
              </w:rPr>
              <w:t>临时措施</w:t>
            </w:r>
          </w:p>
        </w:tc>
        <w:tc>
          <w:tcPr>
            <w:tcW w:w="3179" w:type="pct"/>
            <w:tcBorders>
              <w:top w:val="nil"/>
              <w:left w:val="nil"/>
              <w:bottom w:val="nil"/>
              <w:right w:val="nil"/>
            </w:tcBorders>
            <w:shd w:val="clear" w:color="auto" w:fill="auto"/>
            <w:noWrap/>
            <w:vAlign w:val="center"/>
          </w:tcPr>
          <w:p w14:paraId="245B9E41">
            <w:pPr>
              <w:widowControl/>
              <w:spacing w:line="240" w:lineRule="auto"/>
              <w:ind w:firstLine="0" w:firstLineChars="0"/>
              <w:jc w:val="center"/>
              <w:textAlignment w:val="bottom"/>
              <w:rPr>
                <w:rFonts w:hint="eastAsia" w:ascii="仿宋_GB2312" w:hAnsi="仿宋_GB2312" w:eastAsia="仿宋" w:cs="仿宋_GB2312"/>
                <w:color w:val="auto"/>
                <w:kern w:val="0"/>
                <w:sz w:val="18"/>
                <w:szCs w:val="18"/>
                <w:lang w:eastAsia="zh-CN" w:bidi="ar"/>
              </w:rPr>
            </w:pPr>
            <w:r>
              <w:rPr>
                <w:rFonts w:hint="eastAsia"/>
                <w:color w:val="auto"/>
                <w:sz w:val="18"/>
                <w:szCs w:val="18"/>
                <w:lang w:val="en-US" w:eastAsia="zh-CN"/>
              </w:rPr>
              <w:t>临时排水沟</w:t>
            </w:r>
            <w:r>
              <w:rPr>
                <w:rFonts w:eastAsia="仿宋"/>
                <w:color w:val="auto"/>
                <w:sz w:val="18"/>
                <w:szCs w:val="18"/>
              </w:rPr>
              <w:t>*</w:t>
            </w:r>
            <w:r>
              <w:rPr>
                <w:rFonts w:hint="eastAsia" w:eastAsia="仿宋"/>
                <w:color w:val="auto"/>
                <w:sz w:val="18"/>
                <w:szCs w:val="18"/>
                <w:lang w:eastAsia="zh-CN"/>
              </w:rPr>
              <w:t>、</w:t>
            </w:r>
            <w:r>
              <w:rPr>
                <w:rFonts w:hint="eastAsia"/>
                <w:color w:val="auto"/>
                <w:sz w:val="18"/>
                <w:szCs w:val="18"/>
                <w:lang w:val="en-US" w:eastAsia="zh-CN"/>
              </w:rPr>
              <w:t>密目网苫盖</w:t>
            </w:r>
            <w:r>
              <w:rPr>
                <w:rFonts w:eastAsia="仿宋"/>
                <w:color w:val="auto"/>
                <w:sz w:val="18"/>
                <w:szCs w:val="18"/>
              </w:rPr>
              <w:t>*</w:t>
            </w:r>
          </w:p>
        </w:tc>
      </w:tr>
      <w:tr w14:paraId="659A78D1">
        <w:tblPrEx>
          <w:tblCellMar>
            <w:top w:w="0" w:type="dxa"/>
            <w:left w:w="108" w:type="dxa"/>
            <w:bottom w:w="0" w:type="dxa"/>
            <w:right w:w="108" w:type="dxa"/>
          </w:tblCellMar>
        </w:tblPrEx>
        <w:trPr>
          <w:trHeight w:val="522" w:hRule="atLeast"/>
          <w:jc w:val="center"/>
        </w:trPr>
        <w:tc>
          <w:tcPr>
            <w:tcW w:w="219" w:type="pct"/>
            <w:vMerge w:val="continue"/>
            <w:tcBorders>
              <w:left w:val="nil"/>
              <w:right w:val="nil"/>
            </w:tcBorders>
            <w:shd w:val="clear" w:color="auto" w:fill="auto"/>
            <w:vAlign w:val="center"/>
          </w:tcPr>
          <w:p w14:paraId="141A8C1E">
            <w:pPr>
              <w:spacing w:line="240" w:lineRule="auto"/>
              <w:ind w:firstLine="0" w:firstLineChars="0"/>
              <w:jc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6CD534E6">
            <w:pPr>
              <w:spacing w:line="240" w:lineRule="auto"/>
              <w:ind w:firstLine="0" w:firstLineChars="0"/>
              <w:jc w:val="center"/>
              <w:rPr>
                <w:rFonts w:ascii="仿宋_GB2312" w:hAnsi="仿宋_GB2312" w:cs="仿宋_GB2312"/>
                <w:color w:val="auto"/>
                <w:sz w:val="18"/>
                <w:szCs w:val="18"/>
              </w:rPr>
            </w:pPr>
          </w:p>
        </w:tc>
        <w:tc>
          <w:tcPr>
            <w:tcW w:w="611" w:type="pct"/>
            <w:vMerge w:val="restart"/>
            <w:tcBorders>
              <w:top w:val="nil"/>
              <w:left w:val="nil"/>
              <w:right w:val="nil"/>
            </w:tcBorders>
            <w:shd w:val="clear" w:color="auto" w:fill="auto"/>
            <w:noWrap/>
            <w:vAlign w:val="center"/>
          </w:tcPr>
          <w:p w14:paraId="18707DC6">
            <w:pPr>
              <w:spacing w:line="240" w:lineRule="auto"/>
              <w:ind w:firstLine="0" w:firstLineChars="0"/>
              <w:jc w:val="center"/>
              <w:rPr>
                <w:rFonts w:ascii="仿宋_GB2312" w:hAnsi="仿宋_GB2312" w:cs="仿宋_GB2312"/>
                <w:color w:val="auto"/>
                <w:kern w:val="0"/>
                <w:sz w:val="18"/>
                <w:szCs w:val="18"/>
              </w:rPr>
            </w:pPr>
            <w:r>
              <w:rPr>
                <w:rFonts w:hint="eastAsia" w:ascii="仿宋_GB2312" w:hAnsi="仿宋_GB2312" w:cs="仿宋_GB2312"/>
                <w:color w:val="auto"/>
                <w:kern w:val="0"/>
                <w:sz w:val="18"/>
                <w:szCs w:val="18"/>
              </w:rPr>
              <w:drawing>
                <wp:anchor distT="0" distB="0" distL="114300" distR="114300" simplePos="0" relativeHeight="251668480" behindDoc="0" locked="0" layoutInCell="1" allowOverlap="1">
                  <wp:simplePos x="0" y="0"/>
                  <wp:positionH relativeFrom="column">
                    <wp:posOffset>537210</wp:posOffset>
                  </wp:positionH>
                  <wp:positionV relativeFrom="paragraph">
                    <wp:posOffset>83820</wp:posOffset>
                  </wp:positionV>
                  <wp:extent cx="150495" cy="859790"/>
                  <wp:effectExtent l="0" t="0" r="1905" b="16510"/>
                  <wp:wrapNone/>
                  <wp:docPr id="49" name="左大括号_2"/>
                  <wp:cNvGraphicFramePr/>
                  <a:graphic xmlns:a="http://schemas.openxmlformats.org/drawingml/2006/main">
                    <a:graphicData uri="http://schemas.openxmlformats.org/drawingml/2006/picture">
                      <pic:pic xmlns:pic="http://schemas.openxmlformats.org/drawingml/2006/picture">
                        <pic:nvPicPr>
                          <pic:cNvPr id="49" name="左大括号_2"/>
                          <pic:cNvPicPr/>
                        </pic:nvPicPr>
                        <pic:blipFill>
                          <a:blip r:embed="rId89"/>
                          <a:stretch>
                            <a:fillRect/>
                          </a:stretch>
                        </pic:blipFill>
                        <pic:spPr>
                          <a:xfrm>
                            <a:off x="0" y="0"/>
                            <a:ext cx="150495" cy="859790"/>
                          </a:xfrm>
                          <a:prstGeom prst="rect">
                            <a:avLst/>
                          </a:prstGeom>
                          <a:noFill/>
                          <a:ln>
                            <a:noFill/>
                          </a:ln>
                        </pic:spPr>
                      </pic:pic>
                    </a:graphicData>
                  </a:graphic>
                </wp:anchor>
              </w:drawing>
            </w:r>
          </w:p>
          <w:p w14:paraId="3B9E401A">
            <w:pPr>
              <w:spacing w:line="240" w:lineRule="auto"/>
              <w:ind w:firstLine="0" w:firstLineChars="0"/>
              <w:jc w:val="center"/>
              <w:rPr>
                <w:rFonts w:ascii="仿宋_GB2312" w:hAnsi="仿宋_GB2312" w:cs="仿宋_GB2312"/>
                <w:color w:val="auto"/>
                <w:sz w:val="18"/>
                <w:szCs w:val="18"/>
              </w:rPr>
            </w:pPr>
            <w:r>
              <w:rPr>
                <w:rFonts w:hint="eastAsia" w:ascii="仿宋_GB2312" w:hAnsi="仿宋_GB2312" w:cs="仿宋_GB2312"/>
                <w:color w:val="auto"/>
                <w:kern w:val="0"/>
                <w:sz w:val="18"/>
                <w:szCs w:val="18"/>
                <w:lang w:val="en-US" w:eastAsia="zh-CN" w:bidi="ar"/>
              </w:rPr>
              <w:t>临时道路区</w:t>
            </w:r>
          </w:p>
        </w:tc>
        <w:tc>
          <w:tcPr>
            <w:tcW w:w="138" w:type="pct"/>
            <w:tcBorders>
              <w:top w:val="nil"/>
              <w:left w:val="nil"/>
              <w:bottom w:val="nil"/>
              <w:right w:val="nil"/>
            </w:tcBorders>
            <w:shd w:val="clear" w:color="auto" w:fill="auto"/>
            <w:noWrap/>
            <w:vAlign w:val="center"/>
          </w:tcPr>
          <w:p w14:paraId="1F33B42D">
            <w:pPr>
              <w:spacing w:line="240" w:lineRule="auto"/>
              <w:ind w:firstLine="0" w:firstLineChars="0"/>
              <w:jc w:val="center"/>
              <w:rPr>
                <w:rFonts w:ascii="仿宋_GB2312" w:hAnsi="仿宋_GB2312" w:cs="仿宋_GB2312"/>
                <w:color w:val="auto"/>
                <w:sz w:val="18"/>
                <w:szCs w:val="18"/>
              </w:rPr>
            </w:pPr>
          </w:p>
        </w:tc>
        <w:tc>
          <w:tcPr>
            <w:tcW w:w="712" w:type="pct"/>
            <w:tcBorders>
              <w:top w:val="nil"/>
              <w:left w:val="nil"/>
              <w:bottom w:val="nil"/>
              <w:right w:val="nil"/>
            </w:tcBorders>
            <w:shd w:val="clear" w:color="auto" w:fill="auto"/>
            <w:noWrap/>
            <w:vAlign w:val="center"/>
          </w:tcPr>
          <w:p w14:paraId="51D78EE1">
            <w:pPr>
              <w:widowControl/>
              <w:spacing w:line="240" w:lineRule="auto"/>
              <w:ind w:firstLine="0" w:firstLineChars="0"/>
              <w:jc w:val="center"/>
              <w:textAlignment w:val="bottom"/>
              <w:rPr>
                <w:rFonts w:ascii="仿宋_GB2312" w:hAnsi="仿宋_GB2312" w:cs="仿宋_GB2312"/>
                <w:color w:val="auto"/>
                <w:sz w:val="18"/>
                <w:szCs w:val="18"/>
              </w:rPr>
            </w:pPr>
            <w:r>
              <w:rPr>
                <w:rFonts w:hint="eastAsia" w:ascii="仿宋_GB2312" w:hAnsi="仿宋_GB2312" w:cs="仿宋_GB2312"/>
                <w:color w:val="auto"/>
                <w:kern w:val="0"/>
                <w:sz w:val="18"/>
                <w:szCs w:val="18"/>
                <w:lang w:bidi="ar"/>
              </w:rPr>
              <w:t>工程措施</w:t>
            </w:r>
          </w:p>
        </w:tc>
        <w:tc>
          <w:tcPr>
            <w:tcW w:w="3179" w:type="pct"/>
            <w:tcBorders>
              <w:top w:val="nil"/>
              <w:left w:val="nil"/>
              <w:bottom w:val="nil"/>
              <w:right w:val="nil"/>
            </w:tcBorders>
            <w:shd w:val="clear" w:color="auto" w:fill="auto"/>
            <w:noWrap/>
            <w:vAlign w:val="center"/>
          </w:tcPr>
          <w:p w14:paraId="46DDDDC9">
            <w:pPr>
              <w:widowControl/>
              <w:spacing w:line="240" w:lineRule="auto"/>
              <w:ind w:firstLine="0" w:firstLineChars="0"/>
              <w:jc w:val="center"/>
              <w:textAlignment w:val="bottom"/>
              <w:rPr>
                <w:rFonts w:ascii="仿宋_GB2312" w:hAnsi="仿宋_GB2312" w:eastAsia="仿宋" w:cs="仿宋_GB2312"/>
                <w:color w:val="auto"/>
                <w:sz w:val="18"/>
                <w:szCs w:val="18"/>
              </w:rPr>
            </w:pPr>
            <w:r>
              <w:rPr>
                <w:rFonts w:hint="eastAsia" w:ascii="仿宋_GB2312" w:hAnsi="仿宋_GB2312" w:cs="仿宋_GB2312"/>
                <w:color w:val="auto"/>
                <w:kern w:val="0"/>
                <w:sz w:val="18"/>
                <w:szCs w:val="18"/>
                <w:lang w:bidi="ar"/>
              </w:rPr>
              <w:t>土地整治</w:t>
            </w:r>
            <w:r>
              <w:rPr>
                <w:rFonts w:eastAsia="仿宋"/>
                <w:color w:val="auto"/>
                <w:sz w:val="18"/>
                <w:szCs w:val="18"/>
              </w:rPr>
              <w:t>*</w:t>
            </w:r>
          </w:p>
        </w:tc>
      </w:tr>
      <w:tr w14:paraId="76C19FAB">
        <w:tblPrEx>
          <w:tblCellMar>
            <w:top w:w="0" w:type="dxa"/>
            <w:left w:w="108" w:type="dxa"/>
            <w:bottom w:w="0" w:type="dxa"/>
            <w:right w:w="108" w:type="dxa"/>
          </w:tblCellMar>
        </w:tblPrEx>
        <w:trPr>
          <w:trHeight w:val="522" w:hRule="atLeast"/>
          <w:jc w:val="center"/>
        </w:trPr>
        <w:tc>
          <w:tcPr>
            <w:tcW w:w="219" w:type="pct"/>
            <w:vMerge w:val="continue"/>
            <w:tcBorders>
              <w:left w:val="nil"/>
              <w:right w:val="nil"/>
            </w:tcBorders>
            <w:shd w:val="clear" w:color="auto" w:fill="auto"/>
            <w:vAlign w:val="center"/>
          </w:tcPr>
          <w:p w14:paraId="6DD13458">
            <w:pPr>
              <w:spacing w:line="240" w:lineRule="auto"/>
              <w:ind w:firstLine="0" w:firstLineChars="0"/>
              <w:jc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53B8E088">
            <w:pPr>
              <w:spacing w:line="240" w:lineRule="auto"/>
              <w:ind w:firstLine="0" w:firstLineChars="0"/>
              <w:jc w:val="center"/>
              <w:rPr>
                <w:rFonts w:ascii="仿宋_GB2312" w:hAnsi="仿宋_GB2312" w:cs="仿宋_GB2312"/>
                <w:color w:val="auto"/>
                <w:sz w:val="18"/>
                <w:szCs w:val="18"/>
              </w:rPr>
            </w:pPr>
          </w:p>
        </w:tc>
        <w:tc>
          <w:tcPr>
            <w:tcW w:w="611" w:type="pct"/>
            <w:vMerge w:val="continue"/>
            <w:tcBorders>
              <w:left w:val="nil"/>
              <w:right w:val="nil"/>
            </w:tcBorders>
            <w:shd w:val="clear" w:color="auto" w:fill="auto"/>
            <w:noWrap/>
            <w:vAlign w:val="center"/>
          </w:tcPr>
          <w:p w14:paraId="76ADA91C">
            <w:pPr>
              <w:spacing w:line="240" w:lineRule="auto"/>
              <w:ind w:firstLine="0" w:firstLineChars="0"/>
              <w:jc w:val="center"/>
              <w:rPr>
                <w:rFonts w:hint="eastAsia" w:ascii="仿宋_GB2312" w:hAnsi="仿宋_GB2312" w:cs="仿宋_GB2312"/>
                <w:color w:val="auto"/>
                <w:kern w:val="0"/>
                <w:sz w:val="18"/>
                <w:szCs w:val="18"/>
                <w:lang w:val="en-US" w:eastAsia="zh-CN" w:bidi="ar"/>
              </w:rPr>
            </w:pPr>
          </w:p>
        </w:tc>
        <w:tc>
          <w:tcPr>
            <w:tcW w:w="138" w:type="pct"/>
            <w:tcBorders>
              <w:top w:val="nil"/>
              <w:left w:val="nil"/>
              <w:bottom w:val="nil"/>
              <w:right w:val="nil"/>
            </w:tcBorders>
            <w:shd w:val="clear" w:color="auto" w:fill="auto"/>
            <w:noWrap/>
            <w:vAlign w:val="center"/>
          </w:tcPr>
          <w:p w14:paraId="286277F3">
            <w:pPr>
              <w:spacing w:line="240" w:lineRule="auto"/>
              <w:ind w:firstLine="0" w:firstLineChars="0"/>
              <w:jc w:val="center"/>
              <w:rPr>
                <w:rFonts w:ascii="仿宋_GB2312" w:hAnsi="仿宋_GB2312" w:cs="仿宋_GB2312"/>
                <w:color w:val="auto"/>
                <w:sz w:val="18"/>
                <w:szCs w:val="18"/>
              </w:rPr>
            </w:pPr>
          </w:p>
        </w:tc>
        <w:tc>
          <w:tcPr>
            <w:tcW w:w="712" w:type="pct"/>
            <w:tcBorders>
              <w:top w:val="nil"/>
              <w:left w:val="nil"/>
              <w:bottom w:val="nil"/>
              <w:right w:val="nil"/>
            </w:tcBorders>
            <w:shd w:val="clear" w:color="auto" w:fill="auto"/>
            <w:noWrap/>
            <w:vAlign w:val="center"/>
          </w:tcPr>
          <w:p w14:paraId="7E389199">
            <w:pPr>
              <w:widowControl/>
              <w:spacing w:line="240" w:lineRule="auto"/>
              <w:ind w:firstLine="0" w:firstLineChars="0"/>
              <w:jc w:val="center"/>
              <w:textAlignment w:val="bottom"/>
              <w:rPr>
                <w:rFonts w:hint="eastAsia" w:ascii="仿宋_GB2312" w:hAnsi="仿宋_GB2312" w:cs="仿宋_GB2312"/>
                <w:color w:val="auto"/>
                <w:kern w:val="0"/>
                <w:sz w:val="18"/>
                <w:szCs w:val="18"/>
                <w:lang w:bidi="ar"/>
              </w:rPr>
            </w:pPr>
            <w:r>
              <w:rPr>
                <w:rFonts w:hint="eastAsia" w:ascii="仿宋_GB2312" w:hAnsi="仿宋_GB2312" w:cs="仿宋_GB2312"/>
                <w:color w:val="auto"/>
                <w:kern w:val="0"/>
                <w:sz w:val="18"/>
                <w:szCs w:val="18"/>
                <w:lang w:bidi="ar"/>
              </w:rPr>
              <w:t>植物措施</w:t>
            </w:r>
          </w:p>
        </w:tc>
        <w:tc>
          <w:tcPr>
            <w:tcW w:w="3179" w:type="pct"/>
            <w:tcBorders>
              <w:top w:val="nil"/>
              <w:left w:val="nil"/>
              <w:bottom w:val="nil"/>
              <w:right w:val="nil"/>
            </w:tcBorders>
            <w:shd w:val="clear" w:color="auto" w:fill="auto"/>
            <w:noWrap/>
            <w:vAlign w:val="center"/>
          </w:tcPr>
          <w:p w14:paraId="0304D210">
            <w:pPr>
              <w:widowControl/>
              <w:spacing w:line="240" w:lineRule="auto"/>
              <w:ind w:firstLine="0" w:firstLineChars="0"/>
              <w:jc w:val="center"/>
              <w:textAlignment w:val="bottom"/>
              <w:rPr>
                <w:rFonts w:hint="eastAsia" w:ascii="仿宋_GB2312" w:hAnsi="仿宋_GB2312" w:cs="仿宋_GB2312"/>
                <w:color w:val="auto"/>
                <w:kern w:val="0"/>
                <w:sz w:val="18"/>
                <w:szCs w:val="18"/>
                <w:lang w:bidi="ar"/>
              </w:rPr>
            </w:pPr>
            <w:r>
              <w:rPr>
                <w:rFonts w:hint="eastAsia"/>
                <w:color w:val="auto"/>
                <w:sz w:val="18"/>
                <w:szCs w:val="18"/>
                <w:lang w:val="en-US" w:eastAsia="zh-CN"/>
              </w:rPr>
              <w:t>播撒草籽</w:t>
            </w:r>
            <w:r>
              <w:rPr>
                <w:rFonts w:eastAsia="仿宋"/>
                <w:color w:val="auto"/>
                <w:sz w:val="18"/>
                <w:szCs w:val="18"/>
              </w:rPr>
              <w:t>*</w:t>
            </w:r>
          </w:p>
        </w:tc>
      </w:tr>
      <w:tr w14:paraId="3D2A8504">
        <w:tblPrEx>
          <w:tblCellMar>
            <w:top w:w="0" w:type="dxa"/>
            <w:left w:w="108" w:type="dxa"/>
            <w:bottom w:w="0" w:type="dxa"/>
            <w:right w:w="108" w:type="dxa"/>
          </w:tblCellMar>
        </w:tblPrEx>
        <w:trPr>
          <w:trHeight w:val="512" w:hRule="atLeast"/>
          <w:jc w:val="center"/>
        </w:trPr>
        <w:tc>
          <w:tcPr>
            <w:tcW w:w="219" w:type="pct"/>
            <w:vMerge w:val="continue"/>
            <w:tcBorders>
              <w:left w:val="nil"/>
              <w:right w:val="nil"/>
            </w:tcBorders>
            <w:shd w:val="clear" w:color="auto" w:fill="auto"/>
            <w:vAlign w:val="center"/>
          </w:tcPr>
          <w:p w14:paraId="6ED00056">
            <w:pPr>
              <w:spacing w:line="240" w:lineRule="auto"/>
              <w:ind w:firstLine="0" w:firstLineChars="0"/>
              <w:jc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55689D3D">
            <w:pPr>
              <w:spacing w:line="240" w:lineRule="auto"/>
              <w:ind w:firstLine="0" w:firstLineChars="0"/>
              <w:jc w:val="center"/>
              <w:rPr>
                <w:rFonts w:ascii="仿宋_GB2312" w:hAnsi="仿宋_GB2312" w:cs="仿宋_GB2312"/>
                <w:color w:val="auto"/>
                <w:sz w:val="18"/>
                <w:szCs w:val="18"/>
              </w:rPr>
            </w:pPr>
          </w:p>
        </w:tc>
        <w:tc>
          <w:tcPr>
            <w:tcW w:w="611" w:type="pct"/>
            <w:vMerge w:val="continue"/>
            <w:tcBorders>
              <w:left w:val="nil"/>
              <w:right w:val="nil"/>
            </w:tcBorders>
            <w:shd w:val="clear" w:color="auto" w:fill="auto"/>
            <w:noWrap/>
            <w:vAlign w:val="center"/>
          </w:tcPr>
          <w:p w14:paraId="63D31A27">
            <w:pPr>
              <w:spacing w:line="240" w:lineRule="auto"/>
              <w:ind w:firstLine="0" w:firstLineChars="0"/>
              <w:jc w:val="center"/>
              <w:rPr>
                <w:rFonts w:ascii="仿宋_GB2312" w:hAnsi="仿宋_GB2312" w:cs="仿宋_GB2312"/>
                <w:color w:val="auto"/>
                <w:sz w:val="18"/>
                <w:szCs w:val="18"/>
              </w:rPr>
            </w:pPr>
          </w:p>
        </w:tc>
        <w:tc>
          <w:tcPr>
            <w:tcW w:w="138" w:type="pct"/>
            <w:tcBorders>
              <w:top w:val="nil"/>
              <w:left w:val="nil"/>
              <w:bottom w:val="nil"/>
              <w:right w:val="nil"/>
            </w:tcBorders>
            <w:shd w:val="clear" w:color="auto" w:fill="auto"/>
            <w:noWrap/>
            <w:vAlign w:val="center"/>
          </w:tcPr>
          <w:p w14:paraId="67E1D483">
            <w:pPr>
              <w:widowControl/>
              <w:spacing w:line="240" w:lineRule="auto"/>
              <w:ind w:firstLine="0" w:firstLineChars="0"/>
              <w:jc w:val="center"/>
              <w:textAlignment w:val="bottom"/>
              <w:rPr>
                <w:rFonts w:ascii="仿宋_GB2312" w:hAnsi="仿宋_GB2312" w:cs="仿宋_GB2312"/>
                <w:color w:val="auto"/>
                <w:sz w:val="18"/>
                <w:szCs w:val="18"/>
              </w:rPr>
            </w:pPr>
          </w:p>
        </w:tc>
        <w:tc>
          <w:tcPr>
            <w:tcW w:w="712" w:type="pct"/>
            <w:tcBorders>
              <w:top w:val="nil"/>
              <w:left w:val="nil"/>
              <w:bottom w:val="nil"/>
              <w:right w:val="nil"/>
            </w:tcBorders>
            <w:shd w:val="clear" w:color="auto" w:fill="auto"/>
            <w:noWrap/>
            <w:vAlign w:val="center"/>
          </w:tcPr>
          <w:p w14:paraId="05511898">
            <w:pPr>
              <w:widowControl/>
              <w:spacing w:line="240" w:lineRule="auto"/>
              <w:ind w:firstLine="0" w:firstLineChars="0"/>
              <w:jc w:val="center"/>
              <w:textAlignment w:val="bottom"/>
              <w:rPr>
                <w:rFonts w:ascii="仿宋_GB2312" w:hAnsi="仿宋_GB2312" w:cs="仿宋_GB2312"/>
                <w:color w:val="auto"/>
                <w:sz w:val="18"/>
                <w:szCs w:val="18"/>
              </w:rPr>
            </w:pPr>
            <w:r>
              <w:rPr>
                <w:rFonts w:hint="eastAsia" w:ascii="仿宋_GB2312" w:hAnsi="仿宋_GB2312" w:cs="仿宋_GB2312"/>
                <w:color w:val="auto"/>
                <w:kern w:val="0"/>
                <w:sz w:val="18"/>
                <w:szCs w:val="18"/>
                <w:lang w:bidi="ar"/>
              </w:rPr>
              <w:t>临时措施</w:t>
            </w:r>
          </w:p>
        </w:tc>
        <w:tc>
          <w:tcPr>
            <w:tcW w:w="3179" w:type="pct"/>
            <w:tcBorders>
              <w:top w:val="nil"/>
              <w:left w:val="nil"/>
              <w:bottom w:val="nil"/>
              <w:right w:val="nil"/>
            </w:tcBorders>
            <w:shd w:val="clear" w:color="auto" w:fill="auto"/>
            <w:noWrap/>
            <w:vAlign w:val="center"/>
          </w:tcPr>
          <w:p w14:paraId="6262E935">
            <w:pPr>
              <w:widowControl/>
              <w:spacing w:line="240" w:lineRule="auto"/>
              <w:ind w:firstLine="0" w:firstLineChars="0"/>
              <w:jc w:val="center"/>
              <w:textAlignment w:val="bottom"/>
              <w:rPr>
                <w:rFonts w:hint="eastAsia" w:ascii="仿宋_GB2312" w:hAnsi="仿宋_GB2312" w:eastAsia="仿宋" w:cs="仿宋_GB2312"/>
                <w:color w:val="auto"/>
                <w:kern w:val="0"/>
                <w:sz w:val="18"/>
                <w:szCs w:val="18"/>
                <w:lang w:eastAsia="zh-CN" w:bidi="ar"/>
              </w:rPr>
            </w:pPr>
            <w:r>
              <w:rPr>
                <w:color w:val="auto"/>
                <w:sz w:val="18"/>
                <w:szCs w:val="18"/>
                <w:lang w:val="en-US" w:eastAsia="zh-CN"/>
              </w:rPr>
              <w:t>土质临时排水沟</w:t>
            </w:r>
            <w:r>
              <w:rPr>
                <w:rFonts w:eastAsia="仿宋"/>
                <w:color w:val="auto"/>
                <w:sz w:val="18"/>
                <w:szCs w:val="18"/>
              </w:rPr>
              <w:t>*</w:t>
            </w:r>
          </w:p>
        </w:tc>
      </w:tr>
    </w:tbl>
    <w:p w14:paraId="64639120">
      <w:pPr>
        <w:pStyle w:val="58"/>
        <w:ind w:firstLine="0" w:firstLineChars="0"/>
        <w:rPr>
          <w:rFonts w:eastAsia="仿宋"/>
          <w:color w:val="auto"/>
          <w:sz w:val="18"/>
          <w:szCs w:val="18"/>
        </w:rPr>
      </w:pPr>
      <w:r>
        <w:rPr>
          <w:rFonts w:hint="default" w:ascii="Times New Roman" w:hAnsi="Times New Roman" w:eastAsia="仿宋_GB2312" w:cs="Times New Roman"/>
          <w:color w:val="auto"/>
          <w:sz w:val="18"/>
          <w:szCs w:val="18"/>
        </w:rPr>
        <w:t>注：</w:t>
      </w:r>
      <w:r>
        <w:rPr>
          <w:rFonts w:eastAsia="仿宋"/>
          <w:color w:val="auto"/>
          <w:sz w:val="18"/>
          <w:szCs w:val="18"/>
        </w:rPr>
        <w:t>*</w:t>
      </w:r>
      <w:r>
        <w:rPr>
          <w:rFonts w:hint="eastAsia" w:ascii="仿宋_GB2312" w:hAnsi="仿宋_GB2312" w:eastAsia="仿宋_GB2312" w:cs="仿宋_GB2312"/>
          <w:color w:val="auto"/>
          <w:sz w:val="18"/>
          <w:szCs w:val="18"/>
        </w:rPr>
        <w:t>为方案新增</w:t>
      </w:r>
      <w:r>
        <w:rPr>
          <w:rFonts w:eastAsia="仿宋"/>
          <w:color w:val="auto"/>
          <w:sz w:val="18"/>
          <w:szCs w:val="18"/>
        </w:rPr>
        <w:t>。</w:t>
      </w:r>
    </w:p>
    <w:p w14:paraId="5805F959">
      <w:pPr>
        <w:pStyle w:val="11"/>
        <w:bidi w:val="0"/>
        <w:rPr>
          <w:rFonts w:hint="eastAsia"/>
          <w:color w:val="auto"/>
          <w:lang w:val="zh-CN" w:eastAsia="zh-CN"/>
        </w:rPr>
      </w:pPr>
      <w:r>
        <w:rPr>
          <w:rFonts w:hint="default"/>
          <w:color w:val="auto"/>
        </w:rPr>
        <w:t>图</w:t>
      </w:r>
      <w:r>
        <w:rPr>
          <w:color w:val="auto"/>
        </w:rPr>
        <w:fldChar w:fldCharType="begin"/>
      </w:r>
      <w:r>
        <w:rPr>
          <w:color w:val="auto"/>
        </w:rPr>
        <w:instrText xml:space="preserve"> STYLEREF 2 \s </w:instrText>
      </w:r>
      <w:r>
        <w:rPr>
          <w:color w:val="auto"/>
        </w:rPr>
        <w:fldChar w:fldCharType="separate"/>
      </w:r>
      <w:r>
        <w:rPr>
          <w:color w:val="auto"/>
        </w:rPr>
        <w:t>6.6</w:t>
      </w:r>
      <w:r>
        <w:rPr>
          <w:color w:val="auto"/>
        </w:rPr>
        <w:fldChar w:fldCharType="end"/>
      </w:r>
      <w:r>
        <w:rPr>
          <w:rFonts w:hint="eastAsia"/>
          <w:color w:val="auto"/>
          <w:lang w:eastAsia="zh-CN"/>
        </w:rPr>
        <w:t>-</w:t>
      </w:r>
      <w:r>
        <w:rPr>
          <w:color w:val="auto"/>
        </w:rPr>
        <w:fldChar w:fldCharType="begin"/>
      </w:r>
      <w:r>
        <w:rPr>
          <w:color w:val="auto"/>
        </w:rPr>
        <w:instrText xml:space="preserve"> SEQ 图 \* ARABIC \s 2 </w:instrText>
      </w:r>
      <w:r>
        <w:rPr>
          <w:color w:val="auto"/>
        </w:rPr>
        <w:fldChar w:fldCharType="separate"/>
      </w:r>
      <w:r>
        <w:rPr>
          <w:color w:val="auto"/>
        </w:rPr>
        <w:t>1</w:t>
      </w:r>
      <w:r>
        <w:rPr>
          <w:color w:val="auto"/>
        </w:rPr>
        <w:fldChar w:fldCharType="end"/>
      </w:r>
      <w:r>
        <w:rPr>
          <w:rFonts w:hint="default"/>
          <w:color w:val="auto"/>
        </w:rPr>
        <w:t>水土流失防治措施体系框图</w:t>
      </w:r>
    </w:p>
    <w:p w14:paraId="1D22BD8D">
      <w:pPr>
        <w:bidi w:val="0"/>
        <w:rPr>
          <w:rFonts w:hint="eastAsia"/>
          <w:color w:val="auto"/>
          <w:lang w:val="zh-CN" w:eastAsia="zh-CN"/>
        </w:rPr>
      </w:pPr>
      <w:r>
        <w:rPr>
          <w:rFonts w:hint="eastAsia"/>
          <w:color w:val="auto"/>
          <w:lang w:val="zh-CN" w:eastAsia="zh-CN"/>
        </w:rPr>
        <w:t>工程建设所产生的水土流失的影响，可以通过工程措施和植物措施等措施加以消除或减免，把工程水土流失影响降低到最小。因此，从水土保持的角度看，本工程对当地生态环境造成的影响较小，本工程建设是可行的。</w:t>
      </w:r>
    </w:p>
    <w:p w14:paraId="29AE348B">
      <w:pPr>
        <w:bidi w:val="0"/>
        <w:rPr>
          <w:rFonts w:hint="eastAsia"/>
          <w:color w:val="auto"/>
          <w:lang w:val="zh-CN" w:eastAsia="zh-CN"/>
        </w:rPr>
      </w:pPr>
      <w:r>
        <w:rPr>
          <w:rFonts w:hint="eastAsia"/>
          <w:color w:val="auto"/>
          <w:lang w:val="zh-CN" w:eastAsia="zh-CN"/>
        </w:rPr>
        <w:br w:type="page"/>
      </w:r>
    </w:p>
    <w:p w14:paraId="69D083CE">
      <w:pPr>
        <w:pStyle w:val="2"/>
        <w:bidi w:val="0"/>
        <w:rPr>
          <w:rFonts w:hint="eastAsia"/>
          <w:color w:val="auto"/>
          <w:lang w:val="zh-CN" w:eastAsia="zh-CN"/>
        </w:rPr>
      </w:pPr>
      <w:bookmarkStart w:id="219" w:name="_Toc27236"/>
      <w:r>
        <w:rPr>
          <w:rFonts w:hint="eastAsia"/>
          <w:color w:val="auto"/>
          <w:lang w:val="zh-CN" w:eastAsia="zh-CN"/>
        </w:rPr>
        <w:t>环境影响经济损益分析</w:t>
      </w:r>
      <w:bookmarkEnd w:id="219"/>
    </w:p>
    <w:p w14:paraId="6A642C89">
      <w:pPr>
        <w:pStyle w:val="3"/>
        <w:bidi w:val="0"/>
        <w:ind w:left="480" w:leftChars="0" w:firstLineChars="0"/>
        <w:rPr>
          <w:rFonts w:hint="eastAsia"/>
          <w:color w:val="auto"/>
          <w:lang w:val="zh-CN" w:eastAsia="zh-CN"/>
        </w:rPr>
      </w:pPr>
      <w:bookmarkStart w:id="220" w:name="_Toc12387"/>
      <w:r>
        <w:rPr>
          <w:rFonts w:hint="eastAsia"/>
          <w:color w:val="auto"/>
          <w:lang w:val="zh-CN" w:eastAsia="zh-CN"/>
        </w:rPr>
        <w:t>建设项目经济效益</w:t>
      </w:r>
      <w:bookmarkEnd w:id="220"/>
    </w:p>
    <w:p w14:paraId="2BCCB21A">
      <w:pPr>
        <w:bidi w:val="0"/>
        <w:rPr>
          <w:rFonts w:hint="eastAsia"/>
          <w:color w:val="auto"/>
          <w:lang w:val="zh-CN" w:eastAsia="zh-CN"/>
        </w:rPr>
      </w:pPr>
      <w:r>
        <w:rPr>
          <w:rFonts w:hint="eastAsia"/>
          <w:color w:val="auto"/>
          <w:lang w:val="zh-CN" w:eastAsia="zh-CN"/>
        </w:rPr>
        <w:t>（1）通过工程的实施，改善</w:t>
      </w:r>
      <w:r>
        <w:rPr>
          <w:rFonts w:hint="eastAsia"/>
          <w:color w:val="auto"/>
          <w:lang w:val="en-US" w:eastAsia="zh-CN"/>
        </w:rPr>
        <w:t>治理河流</w:t>
      </w:r>
      <w:r>
        <w:rPr>
          <w:rFonts w:hint="eastAsia"/>
          <w:color w:val="auto"/>
          <w:lang w:val="zh-CN" w:eastAsia="zh-CN"/>
        </w:rPr>
        <w:t>周边生态和景观环境，充分发挥</w:t>
      </w:r>
      <w:r>
        <w:rPr>
          <w:rFonts w:hint="eastAsia"/>
          <w:color w:val="auto"/>
          <w:lang w:val="en-US" w:eastAsia="zh-CN"/>
        </w:rPr>
        <w:t>治理河流</w:t>
      </w:r>
      <w:r>
        <w:rPr>
          <w:rFonts w:hint="eastAsia"/>
          <w:color w:val="auto"/>
          <w:lang w:val="zh-CN" w:eastAsia="zh-CN"/>
        </w:rPr>
        <w:t>周边的原生态优势，以旅游产品转型升级为契机，保护并依托自然环境吸引更多的游客到此旅游，增加旅游收入，为当地带来旅游业发展提供保障，增加旅游收益。</w:t>
      </w:r>
    </w:p>
    <w:p w14:paraId="147F2172">
      <w:pPr>
        <w:bidi w:val="0"/>
        <w:rPr>
          <w:rFonts w:hint="eastAsia"/>
          <w:color w:val="auto"/>
          <w:lang w:val="zh-CN" w:eastAsia="zh-CN"/>
        </w:rPr>
      </w:pPr>
      <w:r>
        <w:rPr>
          <w:rFonts w:hint="eastAsia"/>
          <w:color w:val="auto"/>
          <w:lang w:val="zh-CN" w:eastAsia="zh-CN"/>
        </w:rPr>
        <w:t>（2）工程建设将带动</w:t>
      </w:r>
      <w:r>
        <w:rPr>
          <w:rFonts w:hint="eastAsia"/>
          <w:color w:val="auto"/>
          <w:lang w:val="en-US" w:eastAsia="zh-CN"/>
        </w:rPr>
        <w:t>治理河流</w:t>
      </w:r>
      <w:r>
        <w:rPr>
          <w:rFonts w:hint="eastAsia"/>
          <w:color w:val="auto"/>
          <w:lang w:val="zh-CN" w:eastAsia="zh-CN"/>
        </w:rPr>
        <w:t>周边沿岸的土地增值，在美化环境的同时，将吸引更多的投资，促进城市经济和商业的发展，创造较大的经济效益。通过岸线整治、生态湿地等工程措施，改善了区域环境质量，改善人居环境，对拓展</w:t>
      </w:r>
      <w:r>
        <w:rPr>
          <w:rFonts w:hint="eastAsia"/>
          <w:color w:val="auto"/>
          <w:lang w:val="en-US" w:eastAsia="zh-CN"/>
        </w:rPr>
        <w:t>贵池区</w:t>
      </w:r>
      <w:r>
        <w:rPr>
          <w:rFonts w:hint="eastAsia"/>
          <w:color w:val="auto"/>
          <w:lang w:val="zh-CN" w:eastAsia="zh-CN"/>
        </w:rPr>
        <w:t>发展空间，支撑区域性城市建设有积极重要的作用。</w:t>
      </w:r>
    </w:p>
    <w:p w14:paraId="47D2172A">
      <w:pPr>
        <w:bidi w:val="0"/>
        <w:rPr>
          <w:rFonts w:hint="eastAsia"/>
          <w:color w:val="auto"/>
          <w:lang w:val="zh-CN" w:eastAsia="zh-CN"/>
        </w:rPr>
      </w:pPr>
      <w:r>
        <w:rPr>
          <w:rFonts w:hint="eastAsia"/>
          <w:color w:val="auto"/>
          <w:lang w:val="zh-CN" w:eastAsia="zh-CN"/>
        </w:rPr>
        <w:t>（3）本项目施工期可为建筑工程公司提供市场，产生明显的经济效益，并为建筑工人提供就业机会。</w:t>
      </w:r>
    </w:p>
    <w:p w14:paraId="3EC0151F">
      <w:pPr>
        <w:bidi w:val="0"/>
        <w:rPr>
          <w:rFonts w:hint="eastAsia"/>
          <w:color w:val="auto"/>
          <w:lang w:val="zh-CN" w:eastAsia="zh-CN"/>
        </w:rPr>
      </w:pPr>
      <w:r>
        <w:rPr>
          <w:rFonts w:hint="eastAsia"/>
          <w:color w:val="auto"/>
          <w:lang w:val="zh-CN" w:eastAsia="zh-CN"/>
        </w:rPr>
        <w:t>（4）本项目的建设消耗建材，将扩大市场需求。</w:t>
      </w:r>
    </w:p>
    <w:p w14:paraId="2DC23C2C">
      <w:pPr>
        <w:bidi w:val="0"/>
        <w:rPr>
          <w:rFonts w:hint="eastAsia"/>
          <w:color w:val="auto"/>
          <w:lang w:val="zh-CN" w:eastAsia="zh-CN"/>
        </w:rPr>
      </w:pPr>
      <w:r>
        <w:rPr>
          <w:rFonts w:hint="eastAsia"/>
          <w:color w:val="auto"/>
          <w:lang w:val="zh-CN" w:eastAsia="zh-CN"/>
        </w:rPr>
        <w:t>（5）本项目水、电等的消耗为当地带来间接经济效益。</w:t>
      </w:r>
    </w:p>
    <w:p w14:paraId="5E2A8523">
      <w:pPr>
        <w:pStyle w:val="3"/>
        <w:bidi w:val="0"/>
        <w:ind w:left="480" w:leftChars="0" w:firstLineChars="0"/>
        <w:rPr>
          <w:rFonts w:hint="eastAsia"/>
          <w:color w:val="auto"/>
          <w:lang w:val="zh-CN" w:eastAsia="zh-CN"/>
        </w:rPr>
      </w:pPr>
      <w:bookmarkStart w:id="221" w:name="_Toc27089"/>
      <w:r>
        <w:rPr>
          <w:rFonts w:hint="eastAsia"/>
          <w:color w:val="auto"/>
          <w:lang w:val="zh-CN" w:eastAsia="zh-CN"/>
        </w:rPr>
        <w:t>建设项目生态效益</w:t>
      </w:r>
      <w:bookmarkEnd w:id="221"/>
    </w:p>
    <w:p w14:paraId="492399CE">
      <w:pPr>
        <w:bidi w:val="0"/>
        <w:rPr>
          <w:rFonts w:hint="default"/>
          <w:color w:val="auto"/>
          <w:lang w:val="en-US" w:eastAsia="zh-CN"/>
        </w:rPr>
      </w:pPr>
      <w:r>
        <w:rPr>
          <w:rFonts w:hint="eastAsia"/>
          <w:color w:val="auto"/>
          <w:lang w:val="zh-CN" w:eastAsia="zh-CN"/>
        </w:rPr>
        <w:t>本项目的建设有利于</w:t>
      </w:r>
      <w:r>
        <w:rPr>
          <w:rFonts w:hint="eastAsia"/>
          <w:color w:val="auto"/>
          <w:lang w:val="en-US" w:eastAsia="zh-CN"/>
        </w:rPr>
        <w:t>湿地公园的生态恢复，提高生态系统的功能。</w:t>
      </w:r>
    </w:p>
    <w:p w14:paraId="3B450344">
      <w:pPr>
        <w:pStyle w:val="3"/>
        <w:bidi w:val="0"/>
        <w:ind w:left="480" w:leftChars="0" w:firstLineChars="0"/>
        <w:rPr>
          <w:rFonts w:hint="eastAsia"/>
          <w:color w:val="auto"/>
          <w:lang w:val="zh-CN" w:eastAsia="zh-CN"/>
        </w:rPr>
      </w:pPr>
      <w:bookmarkStart w:id="222" w:name="_Toc23285"/>
      <w:r>
        <w:rPr>
          <w:rFonts w:hint="eastAsia"/>
          <w:color w:val="auto"/>
          <w:lang w:val="zh-CN" w:eastAsia="zh-CN"/>
        </w:rPr>
        <w:t>项目环保投资</w:t>
      </w:r>
      <w:bookmarkEnd w:id="222"/>
    </w:p>
    <w:p w14:paraId="19566431">
      <w:pPr>
        <w:bidi w:val="0"/>
        <w:rPr>
          <w:color w:val="auto"/>
        </w:rPr>
      </w:pPr>
      <w:r>
        <w:rPr>
          <w:rFonts w:hint="eastAsia"/>
          <w:color w:val="auto"/>
          <w:lang w:val="en-US" w:eastAsia="zh-CN"/>
        </w:rPr>
        <w:t>本项目计划建设总投资约3407.39万元，</w:t>
      </w:r>
      <w:r>
        <w:rPr>
          <w:rFonts w:hint="eastAsia"/>
          <w:color w:val="auto"/>
          <w:lang w:val="zh-CN" w:eastAsia="zh-CN"/>
        </w:rPr>
        <w:t>根据该项目的工程分析，污染因素分析及治理对策分析和调查，项目环保投资约</w:t>
      </w:r>
      <w:r>
        <w:rPr>
          <w:rFonts w:hint="eastAsia"/>
          <w:color w:val="auto"/>
          <w:lang w:val="en-US" w:eastAsia="zh-CN"/>
        </w:rPr>
        <w:t>58</w:t>
      </w:r>
      <w:r>
        <w:rPr>
          <w:rFonts w:hint="eastAsia"/>
          <w:color w:val="auto"/>
          <w:lang w:val="zh-CN" w:eastAsia="zh-CN"/>
        </w:rPr>
        <w:t>万，占总投资的</w:t>
      </w:r>
      <w:r>
        <w:rPr>
          <w:rFonts w:hint="eastAsia"/>
          <w:color w:val="auto"/>
          <w:lang w:val="en-US" w:eastAsia="zh-CN"/>
        </w:rPr>
        <w:t>1.64</w:t>
      </w:r>
      <w:r>
        <w:rPr>
          <w:rFonts w:hint="eastAsia"/>
          <w:color w:val="auto"/>
          <w:lang w:val="zh-CN" w:eastAsia="zh-CN"/>
        </w:rPr>
        <w:t>%，具体见下表。</w:t>
      </w:r>
    </w:p>
    <w:p w14:paraId="55181687">
      <w:pPr>
        <w:pStyle w:val="35"/>
        <w:bidi w:val="0"/>
        <w:rPr>
          <w:rFonts w:hint="eastAsia"/>
          <w:color w:val="auto"/>
          <w:lang w:val="zh-CN"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upperRoman"/>
          <w:cols w:space="0" w:num="1"/>
          <w:rtlGutter w:val="0"/>
          <w:docGrid w:type="lines" w:linePitch="332" w:charSpace="0"/>
        </w:sectPr>
      </w:pPr>
    </w:p>
    <w:p w14:paraId="2A3CB4CC">
      <w:pPr>
        <w:pStyle w:val="2"/>
        <w:bidi w:val="0"/>
        <w:rPr>
          <w:rFonts w:hint="eastAsia"/>
          <w:color w:val="auto"/>
          <w:lang w:val="zh-CN" w:eastAsia="zh-CN"/>
        </w:rPr>
      </w:pPr>
      <w:bookmarkStart w:id="223" w:name="_Toc12341"/>
      <w:r>
        <w:rPr>
          <w:rFonts w:hint="eastAsia"/>
          <w:color w:val="auto"/>
          <w:lang w:val="zh-CN" w:eastAsia="zh-CN"/>
        </w:rPr>
        <w:t>环境管理与监测计划</w:t>
      </w:r>
      <w:bookmarkEnd w:id="223"/>
    </w:p>
    <w:p w14:paraId="354D243E">
      <w:pPr>
        <w:pStyle w:val="3"/>
        <w:bidi w:val="0"/>
        <w:ind w:left="480" w:leftChars="0" w:firstLineChars="0"/>
        <w:rPr>
          <w:rFonts w:hint="eastAsia"/>
          <w:color w:val="auto"/>
          <w:lang w:val="zh-CN" w:eastAsia="zh-CN"/>
        </w:rPr>
      </w:pPr>
      <w:bookmarkStart w:id="224" w:name="_Toc29595"/>
      <w:r>
        <w:rPr>
          <w:rFonts w:hint="eastAsia"/>
          <w:color w:val="auto"/>
          <w:lang w:val="zh-CN" w:eastAsia="zh-CN"/>
        </w:rPr>
        <w:t>建设项目环境管理</w:t>
      </w:r>
      <w:bookmarkEnd w:id="224"/>
    </w:p>
    <w:p w14:paraId="16A9C8DF">
      <w:pPr>
        <w:bidi w:val="0"/>
        <w:rPr>
          <w:rFonts w:hint="eastAsia"/>
          <w:color w:val="auto"/>
          <w:lang w:val="zh-CN" w:eastAsia="zh-CN"/>
        </w:rPr>
      </w:pPr>
      <w:r>
        <w:rPr>
          <w:rFonts w:hint="eastAsia"/>
          <w:color w:val="auto"/>
          <w:lang w:val="zh-CN" w:eastAsia="zh-CN"/>
        </w:rPr>
        <w:t>按照《建设项目环境保护设计规定》的要求，建设单位应设置环境保护管理机构，设置专职管理人员及环保设施运行人员，对项目区域内废水、废气及噪声的监测工作，兼顾环保设施的日常管理。建设单位及河道管理部门负责该项目的日常的环境管理工作，做好工程建设期和营运期的环保工作。</w:t>
      </w:r>
    </w:p>
    <w:p w14:paraId="53B3B64C">
      <w:pPr>
        <w:pStyle w:val="3"/>
        <w:bidi w:val="0"/>
        <w:ind w:left="480" w:leftChars="0" w:firstLineChars="0"/>
        <w:rPr>
          <w:rFonts w:hint="eastAsia" w:ascii="Times New Roman" w:hAnsi="Times New Roman" w:eastAsia="宋体" w:cs="Times New Roman"/>
          <w:color w:val="auto"/>
          <w:lang w:val="zh-CN" w:eastAsia="zh-CN"/>
        </w:rPr>
      </w:pPr>
      <w:bookmarkStart w:id="225" w:name="_Toc26724"/>
      <w:r>
        <w:rPr>
          <w:rFonts w:hint="eastAsia" w:ascii="Times New Roman" w:hAnsi="Times New Roman" w:eastAsia="宋体" w:cs="Times New Roman"/>
          <w:color w:val="auto"/>
          <w:lang w:val="zh-CN" w:eastAsia="zh-CN"/>
        </w:rPr>
        <w:t>环境监测</w:t>
      </w:r>
      <w:bookmarkEnd w:id="225"/>
    </w:p>
    <w:p w14:paraId="4D809369">
      <w:pPr>
        <w:pStyle w:val="4"/>
        <w:bidi w:val="0"/>
        <w:rPr>
          <w:rFonts w:hint="default" w:ascii="Times New Roman" w:hAnsi="Times New Roman" w:eastAsia="宋体" w:cs="Times New Roman"/>
          <w:color w:val="auto"/>
          <w:lang w:val="zh-CN" w:eastAsia="zh-CN"/>
        </w:rPr>
      </w:pPr>
      <w:bookmarkStart w:id="226" w:name="_Toc29644"/>
      <w:r>
        <w:rPr>
          <w:rFonts w:hint="default" w:ascii="Times New Roman" w:hAnsi="Times New Roman" w:eastAsia="宋体" w:cs="Times New Roman"/>
          <w:color w:val="auto"/>
          <w:lang w:val="zh-CN" w:eastAsia="zh-CN"/>
        </w:rPr>
        <w:t>施工期环境监测计划</w:t>
      </w:r>
      <w:bookmarkEnd w:id="226"/>
    </w:p>
    <w:p w14:paraId="4EE2FBDE">
      <w:pPr>
        <w:keepNext w:val="0"/>
        <w:keepLines w:val="0"/>
        <w:pageBreakBefore w:val="0"/>
        <w:widowControl w:val="0"/>
        <w:kinsoku/>
        <w:wordWrap/>
        <w:overflowPunct/>
        <w:topLinePunct/>
        <w:autoSpaceDE/>
        <w:autoSpaceDN/>
        <w:bidi w:val="0"/>
        <w:adjustRightInd w:val="0"/>
        <w:snapToGrid w:val="0"/>
        <w:ind w:left="0" w:leftChars="0" w:firstLine="480"/>
        <w:textAlignment w:val="auto"/>
        <w:rPr>
          <w:rFonts w:hint="default" w:ascii="Times New Roman" w:hAnsi="Times New Roman" w:cs="Times New Roman"/>
          <w:b/>
          <w:color w:val="auto"/>
          <w:sz w:val="24"/>
          <w:szCs w:val="24"/>
        </w:rPr>
      </w:pPr>
      <w:r>
        <w:rPr>
          <w:rFonts w:hint="default" w:ascii="Times New Roman" w:hAnsi="Times New Roman" w:cs="Times New Roman"/>
          <w:color w:val="auto"/>
          <w:sz w:val="24"/>
          <w:szCs w:val="24"/>
        </w:rPr>
        <w:t>根据项目环境特点和工程特征，制定施工期环境监测计划，</w:t>
      </w:r>
      <w:r>
        <w:rPr>
          <w:rFonts w:hint="eastAsia" w:cs="Times New Roman"/>
          <w:color w:val="auto"/>
          <w:sz w:val="24"/>
          <w:szCs w:val="24"/>
          <w:lang w:val="en-US" w:eastAsia="zh-CN"/>
        </w:rPr>
        <w:t>详见下表</w:t>
      </w:r>
      <w:r>
        <w:rPr>
          <w:rFonts w:hint="default" w:ascii="Times New Roman" w:hAnsi="Times New Roman" w:cs="Times New Roman"/>
          <w:color w:val="auto"/>
          <w:sz w:val="24"/>
          <w:szCs w:val="24"/>
        </w:rPr>
        <w:t>。</w:t>
      </w:r>
    </w:p>
    <w:p w14:paraId="3E07F3CF">
      <w:pPr>
        <w:pStyle w:val="11"/>
        <w:bidi w:val="0"/>
        <w:rPr>
          <w:rFonts w:hint="default" w:ascii="Times New Roman" w:hAnsi="Times New Roman" w:cs="Times New Roman"/>
          <w:b/>
          <w:color w:val="auto"/>
          <w:szCs w:val="24"/>
        </w:rPr>
      </w:pPr>
      <w:r>
        <w:rPr>
          <w:rFonts w:hint="default"/>
        </w:rPr>
        <w:t>表</w:t>
      </w:r>
      <w:r>
        <w:fldChar w:fldCharType="begin"/>
      </w:r>
      <w:r>
        <w:instrText xml:space="preserve"> STYLEREF 2 \s </w:instrText>
      </w:r>
      <w:r>
        <w:fldChar w:fldCharType="separate"/>
      </w:r>
      <w:r>
        <w:t>8.2</w:t>
      </w:r>
      <w:r>
        <w:fldChar w:fldCharType="end"/>
      </w:r>
      <w:r>
        <w:rPr>
          <w:rFonts w:hint="eastAsia"/>
          <w:lang w:eastAsia="zh-CN"/>
        </w:rPr>
        <w:t>-</w:t>
      </w:r>
      <w:r>
        <w:fldChar w:fldCharType="begin"/>
      </w:r>
      <w:r>
        <w:instrText xml:space="preserve"> SEQ 表 \* ARABIC \s 2 </w:instrText>
      </w:r>
      <w:r>
        <w:fldChar w:fldCharType="separate"/>
      </w:r>
      <w:r>
        <w:t>1</w:t>
      </w:r>
      <w:r>
        <w:fldChar w:fldCharType="end"/>
      </w:r>
      <w:r>
        <w:rPr>
          <w:rFonts w:hint="default"/>
        </w:rPr>
        <w:t>施工期环境监测计划表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056"/>
        <w:gridCol w:w="3029"/>
        <w:gridCol w:w="1537"/>
        <w:gridCol w:w="2127"/>
      </w:tblGrid>
      <w:tr w14:paraId="0C6B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0" w:type="pct"/>
            <w:noWrap w:val="0"/>
            <w:vAlign w:val="center"/>
          </w:tcPr>
          <w:p w14:paraId="649E306D">
            <w:pPr>
              <w:pStyle w:val="31"/>
              <w:bidi w:val="0"/>
              <w:rPr>
                <w:rFonts w:hint="default"/>
                <w:color w:val="auto"/>
              </w:rPr>
            </w:pPr>
            <w:r>
              <w:rPr>
                <w:rFonts w:hint="default"/>
                <w:color w:val="auto"/>
              </w:rPr>
              <w:t>序号</w:t>
            </w:r>
          </w:p>
        </w:tc>
        <w:tc>
          <w:tcPr>
            <w:tcW w:w="620" w:type="pct"/>
            <w:noWrap w:val="0"/>
            <w:vAlign w:val="center"/>
          </w:tcPr>
          <w:p w14:paraId="26D64437">
            <w:pPr>
              <w:pStyle w:val="31"/>
              <w:bidi w:val="0"/>
              <w:rPr>
                <w:rFonts w:hint="default"/>
                <w:color w:val="auto"/>
              </w:rPr>
            </w:pPr>
            <w:r>
              <w:rPr>
                <w:rFonts w:hint="default"/>
                <w:color w:val="auto"/>
              </w:rPr>
              <w:t>监测内容</w:t>
            </w:r>
          </w:p>
        </w:tc>
        <w:tc>
          <w:tcPr>
            <w:tcW w:w="1778" w:type="pct"/>
            <w:noWrap w:val="0"/>
            <w:vAlign w:val="center"/>
          </w:tcPr>
          <w:p w14:paraId="5AB6D7F7">
            <w:pPr>
              <w:pStyle w:val="31"/>
              <w:bidi w:val="0"/>
              <w:rPr>
                <w:rFonts w:hint="default"/>
                <w:color w:val="auto"/>
              </w:rPr>
            </w:pPr>
            <w:r>
              <w:rPr>
                <w:rFonts w:hint="default"/>
                <w:color w:val="auto"/>
              </w:rPr>
              <w:t>监测位置</w:t>
            </w:r>
          </w:p>
        </w:tc>
        <w:tc>
          <w:tcPr>
            <w:tcW w:w="902" w:type="pct"/>
            <w:noWrap w:val="0"/>
            <w:vAlign w:val="center"/>
          </w:tcPr>
          <w:p w14:paraId="3760E7A6">
            <w:pPr>
              <w:pStyle w:val="31"/>
              <w:bidi w:val="0"/>
              <w:rPr>
                <w:rFonts w:hint="default"/>
                <w:color w:val="auto"/>
              </w:rPr>
            </w:pPr>
            <w:r>
              <w:rPr>
                <w:rFonts w:hint="default"/>
                <w:color w:val="auto"/>
              </w:rPr>
              <w:t>监测时间、频率</w:t>
            </w:r>
          </w:p>
        </w:tc>
        <w:tc>
          <w:tcPr>
            <w:tcW w:w="1248" w:type="pct"/>
            <w:noWrap w:val="0"/>
            <w:vAlign w:val="center"/>
          </w:tcPr>
          <w:p w14:paraId="6F2CAFA3">
            <w:pPr>
              <w:pStyle w:val="31"/>
              <w:bidi w:val="0"/>
              <w:rPr>
                <w:rFonts w:hint="default"/>
                <w:color w:val="auto"/>
              </w:rPr>
            </w:pPr>
            <w:r>
              <w:rPr>
                <w:rFonts w:hint="default"/>
                <w:color w:val="auto"/>
              </w:rPr>
              <w:t>监测项目</w:t>
            </w:r>
          </w:p>
        </w:tc>
      </w:tr>
      <w:tr w14:paraId="57701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0" w:type="pct"/>
            <w:noWrap w:val="0"/>
            <w:vAlign w:val="center"/>
          </w:tcPr>
          <w:p w14:paraId="20D91774">
            <w:pPr>
              <w:pStyle w:val="31"/>
              <w:bidi w:val="0"/>
              <w:rPr>
                <w:rFonts w:hint="default"/>
                <w:color w:val="auto"/>
              </w:rPr>
            </w:pPr>
            <w:r>
              <w:rPr>
                <w:rFonts w:hint="default"/>
                <w:color w:val="auto"/>
              </w:rPr>
              <w:t>1</w:t>
            </w:r>
          </w:p>
        </w:tc>
        <w:tc>
          <w:tcPr>
            <w:tcW w:w="620" w:type="pct"/>
            <w:noWrap w:val="0"/>
            <w:vAlign w:val="center"/>
          </w:tcPr>
          <w:p w14:paraId="540E2FA9">
            <w:pPr>
              <w:pStyle w:val="31"/>
              <w:bidi w:val="0"/>
              <w:rPr>
                <w:rFonts w:hint="default"/>
                <w:color w:val="auto"/>
              </w:rPr>
            </w:pPr>
            <w:r>
              <w:rPr>
                <w:rFonts w:hint="default"/>
                <w:color w:val="auto"/>
              </w:rPr>
              <w:t>大气环境</w:t>
            </w:r>
          </w:p>
        </w:tc>
        <w:tc>
          <w:tcPr>
            <w:tcW w:w="1778" w:type="pct"/>
            <w:noWrap w:val="0"/>
            <w:vAlign w:val="center"/>
          </w:tcPr>
          <w:p w14:paraId="481D4049">
            <w:pPr>
              <w:pStyle w:val="31"/>
              <w:bidi w:val="0"/>
              <w:rPr>
                <w:rFonts w:hint="default"/>
                <w:color w:val="auto"/>
              </w:rPr>
            </w:pPr>
            <w:r>
              <w:rPr>
                <w:rFonts w:hint="default"/>
                <w:color w:val="auto"/>
              </w:rPr>
              <w:t>施工场界</w:t>
            </w:r>
          </w:p>
        </w:tc>
        <w:tc>
          <w:tcPr>
            <w:tcW w:w="902" w:type="pct"/>
            <w:noWrap w:val="0"/>
            <w:vAlign w:val="center"/>
          </w:tcPr>
          <w:p w14:paraId="1A11F3AA">
            <w:pPr>
              <w:pStyle w:val="31"/>
              <w:bidi w:val="0"/>
              <w:rPr>
                <w:rFonts w:hint="default"/>
                <w:color w:val="auto"/>
              </w:rPr>
            </w:pPr>
            <w:r>
              <w:rPr>
                <w:rFonts w:hint="default"/>
                <w:color w:val="auto"/>
              </w:rPr>
              <w:t>每月一次</w:t>
            </w:r>
          </w:p>
        </w:tc>
        <w:tc>
          <w:tcPr>
            <w:tcW w:w="1248" w:type="pct"/>
            <w:noWrap w:val="0"/>
            <w:vAlign w:val="center"/>
          </w:tcPr>
          <w:p w14:paraId="223F7539">
            <w:pPr>
              <w:pStyle w:val="31"/>
              <w:bidi w:val="0"/>
              <w:rPr>
                <w:rFonts w:hint="default"/>
                <w:color w:val="auto"/>
              </w:rPr>
            </w:pPr>
            <w:r>
              <w:rPr>
                <w:rFonts w:hint="default"/>
                <w:color w:val="auto"/>
              </w:rPr>
              <w:t>TSP</w:t>
            </w:r>
          </w:p>
        </w:tc>
      </w:tr>
      <w:tr w14:paraId="54EE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0" w:type="pct"/>
            <w:noWrap w:val="0"/>
            <w:vAlign w:val="center"/>
          </w:tcPr>
          <w:p w14:paraId="04C679B4">
            <w:pPr>
              <w:pStyle w:val="31"/>
              <w:bidi w:val="0"/>
              <w:rPr>
                <w:rFonts w:hint="default"/>
                <w:color w:val="auto"/>
              </w:rPr>
            </w:pPr>
            <w:r>
              <w:rPr>
                <w:rFonts w:hint="default"/>
                <w:color w:val="auto"/>
              </w:rPr>
              <w:t>2</w:t>
            </w:r>
          </w:p>
        </w:tc>
        <w:tc>
          <w:tcPr>
            <w:tcW w:w="620" w:type="pct"/>
            <w:noWrap w:val="0"/>
            <w:vAlign w:val="center"/>
          </w:tcPr>
          <w:p w14:paraId="23623FC6">
            <w:pPr>
              <w:pStyle w:val="31"/>
              <w:bidi w:val="0"/>
              <w:rPr>
                <w:rFonts w:hint="default"/>
                <w:color w:val="auto"/>
              </w:rPr>
            </w:pPr>
            <w:r>
              <w:rPr>
                <w:rFonts w:hint="default"/>
                <w:color w:val="auto"/>
              </w:rPr>
              <w:t>声环境</w:t>
            </w:r>
          </w:p>
        </w:tc>
        <w:tc>
          <w:tcPr>
            <w:tcW w:w="1778" w:type="pct"/>
            <w:noWrap w:val="0"/>
            <w:vAlign w:val="center"/>
          </w:tcPr>
          <w:p w14:paraId="77A0D126">
            <w:pPr>
              <w:pStyle w:val="31"/>
              <w:bidi w:val="0"/>
              <w:rPr>
                <w:rFonts w:hint="default"/>
                <w:color w:val="auto"/>
              </w:rPr>
            </w:pPr>
            <w:r>
              <w:rPr>
                <w:rFonts w:hint="default"/>
                <w:color w:val="auto"/>
              </w:rPr>
              <w:t>施工场界；重点关注声环境敏感点</w:t>
            </w:r>
          </w:p>
        </w:tc>
        <w:tc>
          <w:tcPr>
            <w:tcW w:w="902" w:type="pct"/>
            <w:noWrap w:val="0"/>
            <w:vAlign w:val="center"/>
          </w:tcPr>
          <w:p w14:paraId="01E64D28">
            <w:pPr>
              <w:pStyle w:val="31"/>
              <w:bidi w:val="0"/>
              <w:rPr>
                <w:rFonts w:hint="default"/>
                <w:color w:val="auto"/>
              </w:rPr>
            </w:pPr>
            <w:r>
              <w:rPr>
                <w:rFonts w:hint="default"/>
                <w:color w:val="auto"/>
              </w:rPr>
              <w:t>每月监测一次</w:t>
            </w:r>
          </w:p>
        </w:tc>
        <w:tc>
          <w:tcPr>
            <w:tcW w:w="1248" w:type="pct"/>
            <w:noWrap w:val="0"/>
            <w:vAlign w:val="center"/>
          </w:tcPr>
          <w:p w14:paraId="67462192">
            <w:pPr>
              <w:pStyle w:val="31"/>
              <w:bidi w:val="0"/>
              <w:rPr>
                <w:rFonts w:hint="default"/>
                <w:color w:val="auto"/>
              </w:rPr>
            </w:pPr>
            <w:r>
              <w:rPr>
                <w:rFonts w:hint="default"/>
                <w:color w:val="auto"/>
              </w:rPr>
              <w:t>Leq</w:t>
            </w:r>
          </w:p>
        </w:tc>
      </w:tr>
      <w:tr w14:paraId="78BF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0" w:type="pct"/>
            <w:noWrap w:val="0"/>
            <w:vAlign w:val="center"/>
          </w:tcPr>
          <w:p w14:paraId="6B12E82D">
            <w:pPr>
              <w:pStyle w:val="31"/>
              <w:bidi w:val="0"/>
              <w:rPr>
                <w:rFonts w:hint="default"/>
                <w:color w:val="auto"/>
              </w:rPr>
            </w:pPr>
            <w:r>
              <w:rPr>
                <w:rFonts w:hint="default"/>
                <w:color w:val="auto"/>
              </w:rPr>
              <w:t>3</w:t>
            </w:r>
          </w:p>
        </w:tc>
        <w:tc>
          <w:tcPr>
            <w:tcW w:w="620" w:type="pct"/>
            <w:noWrap w:val="0"/>
            <w:vAlign w:val="center"/>
          </w:tcPr>
          <w:p w14:paraId="35A9C439">
            <w:pPr>
              <w:pStyle w:val="31"/>
              <w:bidi w:val="0"/>
              <w:rPr>
                <w:rFonts w:hint="default"/>
                <w:color w:val="auto"/>
              </w:rPr>
            </w:pPr>
            <w:r>
              <w:rPr>
                <w:rFonts w:hint="default"/>
                <w:color w:val="auto"/>
              </w:rPr>
              <w:t>生态</w:t>
            </w:r>
          </w:p>
        </w:tc>
        <w:tc>
          <w:tcPr>
            <w:tcW w:w="1778" w:type="pct"/>
            <w:noWrap w:val="0"/>
            <w:vAlign w:val="center"/>
          </w:tcPr>
          <w:p w14:paraId="08D9F596">
            <w:pPr>
              <w:pStyle w:val="31"/>
              <w:bidi w:val="0"/>
              <w:rPr>
                <w:rFonts w:hint="default"/>
                <w:color w:val="auto"/>
                <w:lang w:val="en-US" w:eastAsia="zh-CN"/>
              </w:rPr>
            </w:pPr>
            <w:r>
              <w:rPr>
                <w:rFonts w:hint="default"/>
                <w:color w:val="auto"/>
              </w:rPr>
              <w:t>生态保护红线</w:t>
            </w:r>
            <w:r>
              <w:rPr>
                <w:rFonts w:hint="eastAsia"/>
                <w:color w:val="auto"/>
                <w:lang w:eastAsia="zh-CN"/>
              </w:rPr>
              <w:t>、</w:t>
            </w:r>
            <w:r>
              <w:rPr>
                <w:rFonts w:hint="eastAsia"/>
                <w:color w:val="auto"/>
                <w:lang w:val="en-US" w:eastAsia="zh-CN"/>
              </w:rPr>
              <w:t>杏花村省级湿地公园及秋浦仙境风景名胜区</w:t>
            </w:r>
          </w:p>
        </w:tc>
        <w:tc>
          <w:tcPr>
            <w:tcW w:w="902" w:type="pct"/>
            <w:noWrap w:val="0"/>
            <w:vAlign w:val="center"/>
          </w:tcPr>
          <w:p w14:paraId="763A7DCF">
            <w:pPr>
              <w:pStyle w:val="31"/>
              <w:bidi w:val="0"/>
              <w:rPr>
                <w:rFonts w:hint="default"/>
                <w:color w:val="auto"/>
              </w:rPr>
            </w:pPr>
            <w:r>
              <w:rPr>
                <w:rFonts w:hint="default"/>
                <w:color w:val="auto"/>
              </w:rPr>
              <w:t>每半年一次</w:t>
            </w:r>
          </w:p>
        </w:tc>
        <w:tc>
          <w:tcPr>
            <w:tcW w:w="1248" w:type="pct"/>
            <w:noWrap w:val="0"/>
            <w:vAlign w:val="center"/>
          </w:tcPr>
          <w:p w14:paraId="620D3795">
            <w:pPr>
              <w:pStyle w:val="31"/>
              <w:bidi w:val="0"/>
              <w:rPr>
                <w:rFonts w:hint="default"/>
                <w:color w:val="auto"/>
                <w:lang w:val="en-US" w:eastAsia="zh-CN"/>
              </w:rPr>
            </w:pPr>
            <w:r>
              <w:rPr>
                <w:rFonts w:hint="eastAsia"/>
                <w:color w:val="auto"/>
                <w:lang w:val="en-US" w:eastAsia="zh-CN"/>
              </w:rPr>
              <w:t>代表性植物、兽类、两爬类、鱼类等</w:t>
            </w:r>
            <w:r>
              <w:rPr>
                <w:rFonts w:hint="default"/>
                <w:color w:val="auto"/>
              </w:rPr>
              <w:t>活动、分布</w:t>
            </w:r>
            <w:r>
              <w:rPr>
                <w:rFonts w:hint="default"/>
                <w:color w:val="auto"/>
                <w:lang w:val="en-US" w:eastAsia="zh-CN"/>
              </w:rPr>
              <w:t>变化</w:t>
            </w:r>
            <w:r>
              <w:rPr>
                <w:rFonts w:hint="default"/>
                <w:color w:val="auto"/>
              </w:rPr>
              <w:t>、生境质量</w:t>
            </w:r>
            <w:r>
              <w:rPr>
                <w:rFonts w:hint="default"/>
                <w:color w:val="auto"/>
                <w:lang w:val="en-US" w:eastAsia="zh-CN"/>
              </w:rPr>
              <w:t>变化</w:t>
            </w:r>
          </w:p>
        </w:tc>
      </w:tr>
    </w:tbl>
    <w:p w14:paraId="32CCD934">
      <w:pPr>
        <w:pStyle w:val="4"/>
        <w:bidi w:val="0"/>
        <w:rPr>
          <w:rFonts w:hint="default" w:ascii="Times New Roman" w:hAnsi="Times New Roman" w:eastAsia="宋体" w:cs="Times New Roman"/>
          <w:color w:val="auto"/>
          <w:lang w:val="zh-CN" w:eastAsia="zh-CN"/>
        </w:rPr>
      </w:pPr>
      <w:bookmarkStart w:id="227" w:name="_Toc24637"/>
      <w:r>
        <w:rPr>
          <w:rFonts w:hint="default" w:ascii="Times New Roman" w:hAnsi="Times New Roman" w:eastAsia="宋体" w:cs="Times New Roman"/>
          <w:color w:val="auto"/>
          <w:lang w:val="zh-CN" w:eastAsia="zh-CN"/>
        </w:rPr>
        <w:t>运营期环境监测计划</w:t>
      </w:r>
      <w:bookmarkEnd w:id="227"/>
    </w:p>
    <w:p w14:paraId="08D0C91D">
      <w:pPr>
        <w:keepNext w:val="0"/>
        <w:keepLines w:val="0"/>
        <w:pageBreakBefore w:val="0"/>
        <w:widowControl w:val="0"/>
        <w:kinsoku/>
        <w:wordWrap/>
        <w:overflowPunct/>
        <w:topLinePunct/>
        <w:autoSpaceDE/>
        <w:autoSpaceDN/>
        <w:bidi w:val="0"/>
        <w:adjustRightInd w:val="0"/>
        <w:snapToGrid w:val="0"/>
        <w:ind w:left="0" w:leftChars="0" w:firstLine="480"/>
        <w:textAlignment w:val="auto"/>
        <w:rPr>
          <w:rFonts w:hint="default" w:ascii="Times New Roman" w:hAnsi="Times New Roman" w:cs="Times New Roman"/>
          <w:b/>
          <w:color w:val="auto"/>
          <w:sz w:val="24"/>
          <w:szCs w:val="24"/>
        </w:rPr>
      </w:pPr>
      <w:r>
        <w:rPr>
          <w:rFonts w:hint="default" w:ascii="Times New Roman" w:hAnsi="Times New Roman" w:cs="Times New Roman"/>
          <w:color w:val="auto"/>
          <w:sz w:val="24"/>
          <w:szCs w:val="24"/>
        </w:rPr>
        <w:t>项目</w:t>
      </w:r>
      <w:r>
        <w:rPr>
          <w:rFonts w:hint="eastAsia" w:cs="Times New Roman"/>
          <w:color w:val="auto"/>
          <w:sz w:val="24"/>
          <w:szCs w:val="24"/>
          <w:lang w:val="en-US" w:eastAsia="zh-CN"/>
        </w:rPr>
        <w:t>营运期监测计划详见下</w:t>
      </w:r>
      <w:r>
        <w:rPr>
          <w:rFonts w:hint="default" w:ascii="Times New Roman" w:hAnsi="Times New Roman" w:cs="Times New Roman"/>
          <w:color w:val="auto"/>
          <w:sz w:val="24"/>
          <w:szCs w:val="24"/>
        </w:rPr>
        <w:t>表。</w:t>
      </w:r>
    </w:p>
    <w:p w14:paraId="1D95B0A2">
      <w:pPr>
        <w:pStyle w:val="11"/>
        <w:bidi w:val="0"/>
        <w:rPr>
          <w:rFonts w:hint="default"/>
        </w:rPr>
      </w:pPr>
      <w:r>
        <w:rPr>
          <w:rFonts w:hint="default"/>
        </w:rPr>
        <w:t>表</w:t>
      </w:r>
      <w:r>
        <w:fldChar w:fldCharType="begin"/>
      </w:r>
      <w:r>
        <w:instrText xml:space="preserve"> STYLEREF 2 \s </w:instrText>
      </w:r>
      <w:r>
        <w:fldChar w:fldCharType="separate"/>
      </w:r>
      <w:r>
        <w:t>8.2</w:t>
      </w:r>
      <w:r>
        <w:fldChar w:fldCharType="end"/>
      </w:r>
      <w:r>
        <w:rPr>
          <w:rFonts w:hint="eastAsia"/>
          <w:lang w:eastAsia="zh-CN"/>
        </w:rPr>
        <w:t>-</w:t>
      </w:r>
      <w:r>
        <w:fldChar w:fldCharType="begin"/>
      </w:r>
      <w:r>
        <w:instrText xml:space="preserve"> SEQ 表 \* ARABIC \s 2 </w:instrText>
      </w:r>
      <w:r>
        <w:fldChar w:fldCharType="separate"/>
      </w:r>
      <w:r>
        <w:t>2</w:t>
      </w:r>
      <w:r>
        <w:fldChar w:fldCharType="end"/>
      </w:r>
      <w:r>
        <w:rPr>
          <w:rFonts w:hint="eastAsia"/>
          <w:lang w:val="en-US" w:eastAsia="zh-CN"/>
        </w:rPr>
        <w:t>运营期</w:t>
      </w:r>
      <w:r>
        <w:rPr>
          <w:rFonts w:hint="default"/>
        </w:rPr>
        <w:t>监测计划表</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
        <w:gridCol w:w="996"/>
        <w:gridCol w:w="2021"/>
        <w:gridCol w:w="1847"/>
        <w:gridCol w:w="3029"/>
      </w:tblGrid>
      <w:tr w14:paraId="3447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1" w:type="pct"/>
            <w:noWrap w:val="0"/>
            <w:vAlign w:val="center"/>
          </w:tcPr>
          <w:p w14:paraId="56EAACB6">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序号</w:t>
            </w:r>
          </w:p>
        </w:tc>
        <w:tc>
          <w:tcPr>
            <w:tcW w:w="585" w:type="pct"/>
            <w:noWrap w:val="0"/>
            <w:vAlign w:val="center"/>
          </w:tcPr>
          <w:p w14:paraId="5FFB5959">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监测内容</w:t>
            </w:r>
          </w:p>
        </w:tc>
        <w:tc>
          <w:tcPr>
            <w:tcW w:w="1187" w:type="pct"/>
            <w:noWrap w:val="0"/>
            <w:vAlign w:val="center"/>
          </w:tcPr>
          <w:p w14:paraId="07AC6BE2">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监测位置</w:t>
            </w:r>
          </w:p>
        </w:tc>
        <w:tc>
          <w:tcPr>
            <w:tcW w:w="1085" w:type="pct"/>
            <w:noWrap w:val="0"/>
            <w:vAlign w:val="center"/>
          </w:tcPr>
          <w:p w14:paraId="110489C3">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监测时间、频率</w:t>
            </w:r>
          </w:p>
        </w:tc>
        <w:tc>
          <w:tcPr>
            <w:tcW w:w="1779" w:type="pct"/>
            <w:noWrap w:val="0"/>
            <w:vAlign w:val="center"/>
          </w:tcPr>
          <w:p w14:paraId="0F3903E2">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监测项目</w:t>
            </w:r>
          </w:p>
        </w:tc>
      </w:tr>
      <w:tr w14:paraId="26D2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1" w:type="pct"/>
            <w:vMerge w:val="restart"/>
            <w:noWrap w:val="0"/>
            <w:vAlign w:val="center"/>
          </w:tcPr>
          <w:p w14:paraId="383BA79C">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cs="Times New Roman"/>
                <w:b w:val="0"/>
                <w:bCs w:val="0"/>
                <w:color w:val="auto"/>
                <w:sz w:val="21"/>
                <w:szCs w:val="21"/>
                <w:lang w:val="en-US" w:eastAsia="zh-CN"/>
              </w:rPr>
              <w:t>2</w:t>
            </w:r>
          </w:p>
        </w:tc>
        <w:tc>
          <w:tcPr>
            <w:tcW w:w="585" w:type="pct"/>
            <w:vMerge w:val="restart"/>
            <w:noWrap w:val="0"/>
            <w:vAlign w:val="center"/>
          </w:tcPr>
          <w:p w14:paraId="7F46C0A9">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生态</w:t>
            </w:r>
          </w:p>
        </w:tc>
        <w:tc>
          <w:tcPr>
            <w:tcW w:w="1187" w:type="pct"/>
            <w:noWrap w:val="0"/>
            <w:vAlign w:val="center"/>
          </w:tcPr>
          <w:p w14:paraId="58B6A939">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生态保护红线、杏花村省级湿地公园及秋浦仙境风景名胜区</w:t>
            </w:r>
          </w:p>
        </w:tc>
        <w:tc>
          <w:tcPr>
            <w:tcW w:w="1085" w:type="pct"/>
            <w:noWrap w:val="0"/>
            <w:vAlign w:val="center"/>
          </w:tcPr>
          <w:p w14:paraId="4AA280CC">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每年监测一次</w:t>
            </w:r>
          </w:p>
        </w:tc>
        <w:tc>
          <w:tcPr>
            <w:tcW w:w="1779" w:type="pct"/>
            <w:noWrap w:val="0"/>
            <w:vAlign w:val="center"/>
          </w:tcPr>
          <w:p w14:paraId="7194BEAE">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代表性植物、兽类、两爬类、鱼类等</w:t>
            </w:r>
            <w:r>
              <w:rPr>
                <w:rFonts w:hint="default" w:ascii="Times New Roman" w:hAnsi="Times New Roman" w:cs="Times New Roman"/>
                <w:b w:val="0"/>
                <w:bCs w:val="0"/>
                <w:color w:val="auto"/>
                <w:sz w:val="21"/>
                <w:szCs w:val="21"/>
              </w:rPr>
              <w:t>活动、分布、生境质量</w:t>
            </w:r>
            <w:r>
              <w:rPr>
                <w:rFonts w:hint="default" w:ascii="Times New Roman" w:hAnsi="Times New Roman" w:cs="Times New Roman"/>
                <w:b w:val="0"/>
                <w:bCs w:val="0"/>
                <w:color w:val="auto"/>
                <w:sz w:val="21"/>
                <w:szCs w:val="21"/>
                <w:lang w:val="en-US" w:eastAsia="zh-CN"/>
              </w:rPr>
              <w:t>实际影响</w:t>
            </w:r>
          </w:p>
        </w:tc>
      </w:tr>
      <w:tr w14:paraId="237B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1" w:type="pct"/>
            <w:vMerge w:val="continue"/>
            <w:noWrap w:val="0"/>
            <w:vAlign w:val="center"/>
          </w:tcPr>
          <w:p w14:paraId="1005CFFB">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p>
        </w:tc>
        <w:tc>
          <w:tcPr>
            <w:tcW w:w="585" w:type="pct"/>
            <w:vMerge w:val="continue"/>
            <w:noWrap w:val="0"/>
            <w:vAlign w:val="center"/>
          </w:tcPr>
          <w:p w14:paraId="73F6FB94">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p>
        </w:tc>
        <w:tc>
          <w:tcPr>
            <w:tcW w:w="1187" w:type="pct"/>
            <w:noWrap w:val="0"/>
            <w:vAlign w:val="center"/>
          </w:tcPr>
          <w:p w14:paraId="4D04F011">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施工区、临时道路、弃土区等</w:t>
            </w:r>
          </w:p>
        </w:tc>
        <w:tc>
          <w:tcPr>
            <w:tcW w:w="1085" w:type="pct"/>
            <w:noWrap w:val="0"/>
            <w:vAlign w:val="center"/>
          </w:tcPr>
          <w:p w14:paraId="2FD8DCB8">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每年监测一次</w:t>
            </w:r>
          </w:p>
        </w:tc>
        <w:tc>
          <w:tcPr>
            <w:tcW w:w="1779" w:type="pct"/>
            <w:noWrap w:val="0"/>
            <w:vAlign w:val="center"/>
          </w:tcPr>
          <w:p w14:paraId="3D946258">
            <w:pPr>
              <w:keepNext w:val="0"/>
              <w:keepLines w:val="0"/>
              <w:pageBreakBefore w:val="0"/>
              <w:widowControl w:val="0"/>
              <w:kinsoku/>
              <w:wordWrap/>
              <w:overflowPunct/>
              <w:topLinePunct/>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cs="Times New Roman"/>
                <w:b w:val="0"/>
                <w:bCs w:val="0"/>
                <w:color w:val="auto"/>
                <w:sz w:val="21"/>
                <w:szCs w:val="21"/>
              </w:rPr>
              <w:t>生态保护对策措施的有效性以及生态修复效果</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重要物种</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lang w:val="en-US" w:eastAsia="zh-CN"/>
              </w:rPr>
              <w:t>鸟类等</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活动、分布、生境质量</w:t>
            </w:r>
            <w:r>
              <w:rPr>
                <w:rFonts w:hint="default" w:ascii="Times New Roman" w:hAnsi="Times New Roman" w:cs="Times New Roman"/>
                <w:b w:val="0"/>
                <w:bCs w:val="0"/>
                <w:color w:val="auto"/>
                <w:sz w:val="21"/>
                <w:szCs w:val="21"/>
                <w:lang w:val="en-US" w:eastAsia="zh-CN"/>
              </w:rPr>
              <w:t>实际影响</w:t>
            </w:r>
          </w:p>
        </w:tc>
      </w:tr>
    </w:tbl>
    <w:p w14:paraId="142C828B">
      <w:pPr>
        <w:bidi w:val="0"/>
        <w:rPr>
          <w:rFonts w:hint="eastAsia"/>
          <w:color w:val="auto"/>
          <w:lang w:val="zh-CN" w:eastAsia="zh-CN"/>
        </w:rPr>
      </w:pPr>
    </w:p>
    <w:p w14:paraId="5CBF4841">
      <w:pPr>
        <w:bidi w:val="0"/>
        <w:rPr>
          <w:rFonts w:hint="eastAsia"/>
          <w:color w:val="auto"/>
          <w:lang w:val="zh-CN"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upperRoman"/>
          <w:cols w:space="0" w:num="1"/>
          <w:rtlGutter w:val="0"/>
          <w:docGrid w:type="lines" w:linePitch="332" w:charSpace="0"/>
        </w:sectPr>
      </w:pPr>
    </w:p>
    <w:p w14:paraId="61F638B1">
      <w:pPr>
        <w:pStyle w:val="2"/>
        <w:bidi w:val="0"/>
        <w:rPr>
          <w:rFonts w:hint="eastAsia"/>
          <w:color w:val="auto"/>
          <w:lang w:val="zh-CN" w:eastAsia="zh-CN"/>
        </w:rPr>
      </w:pPr>
      <w:bookmarkStart w:id="228" w:name="_Toc19230"/>
      <w:r>
        <w:rPr>
          <w:rFonts w:hint="eastAsia"/>
          <w:color w:val="auto"/>
          <w:lang w:val="zh-CN" w:eastAsia="zh-CN"/>
        </w:rPr>
        <w:t>环境影响评价结论</w:t>
      </w:r>
      <w:bookmarkEnd w:id="228"/>
    </w:p>
    <w:p w14:paraId="61E5050A">
      <w:pPr>
        <w:pStyle w:val="3"/>
        <w:bidi w:val="0"/>
        <w:ind w:left="480" w:leftChars="0" w:firstLineChars="0"/>
        <w:rPr>
          <w:rFonts w:hint="eastAsia"/>
          <w:color w:val="auto"/>
          <w:lang w:val="zh-CN" w:eastAsia="zh-CN"/>
        </w:rPr>
      </w:pPr>
      <w:bookmarkStart w:id="229" w:name="_Toc9550"/>
      <w:r>
        <w:rPr>
          <w:rFonts w:hint="eastAsia"/>
          <w:color w:val="auto"/>
          <w:lang w:val="zh-CN" w:eastAsia="zh-CN"/>
        </w:rPr>
        <w:t>项目建设概况</w:t>
      </w:r>
      <w:bookmarkEnd w:id="229"/>
    </w:p>
    <w:p w14:paraId="6206F94D">
      <w:pPr>
        <w:widowControl/>
        <w:ind w:firstLine="472"/>
        <w:jc w:val="left"/>
        <w:rPr>
          <w:rFonts w:hint="eastAsia" w:cs="Times New Roman"/>
          <w:color w:val="auto"/>
          <w:szCs w:val="24"/>
        </w:rPr>
      </w:pPr>
      <w:r>
        <w:rPr>
          <w:rFonts w:hint="eastAsia"/>
          <w:color w:val="auto"/>
          <w:szCs w:val="28"/>
        </w:rPr>
        <w:t>为响应《关于进一步规范安徽省自然保护区生态环境问题整改销号工作的通知》（安环委办[2024]34号）等相关文件要求。池州市贵池区交通运输局件</w:t>
      </w:r>
      <w:r>
        <w:rPr>
          <w:rFonts w:hint="eastAsia" w:cs="Times New Roman"/>
          <w:color w:val="auto"/>
          <w:szCs w:val="28"/>
        </w:rPr>
        <w:t>投</w:t>
      </w:r>
      <w:r>
        <w:rPr>
          <w:rFonts w:cs="Times New Roman"/>
          <w:color w:val="auto"/>
          <w:szCs w:val="28"/>
        </w:rPr>
        <w:t>资</w:t>
      </w:r>
      <w:r>
        <w:rPr>
          <w:rFonts w:hint="eastAsia" w:cs="Times New Roman"/>
          <w:color w:val="auto"/>
          <w:szCs w:val="28"/>
        </w:rPr>
        <w:t>3407.39万元</w:t>
      </w:r>
      <w:r>
        <w:rPr>
          <w:rFonts w:hint="eastAsia"/>
          <w:bCs/>
          <w:color w:val="auto"/>
        </w:rPr>
        <w:t>开展</w:t>
      </w:r>
      <w:r>
        <w:rPr>
          <w:rFonts w:hint="eastAsia"/>
          <w:color w:val="auto"/>
          <w:szCs w:val="28"/>
        </w:rPr>
        <w:t>“秋浦河航道整治工程5号、6号抛泥区抛泥清除恢复项目”</w:t>
      </w:r>
      <w:r>
        <w:rPr>
          <w:rFonts w:hint="eastAsia" w:hAnsi="宋体"/>
          <w:color w:val="auto"/>
          <w:szCs w:val="24"/>
        </w:rPr>
        <w:t>。</w:t>
      </w:r>
    </w:p>
    <w:p w14:paraId="272CE62D">
      <w:pPr>
        <w:wordWrap w:val="0"/>
        <w:ind w:firstLine="472"/>
        <w:rPr>
          <w:rFonts w:cs="Times New Roman"/>
          <w:color w:val="auto"/>
        </w:rPr>
      </w:pPr>
      <w:r>
        <w:rPr>
          <w:rFonts w:cs="Times New Roman"/>
          <w:color w:val="auto"/>
          <w:szCs w:val="28"/>
        </w:rPr>
        <w:t>本项目</w:t>
      </w:r>
      <w:r>
        <w:rPr>
          <w:rFonts w:cs="Times New Roman"/>
          <w:color w:val="auto"/>
        </w:rPr>
        <w:t>已于20</w:t>
      </w:r>
      <w:r>
        <w:rPr>
          <w:rFonts w:hint="eastAsia" w:cs="Times New Roman"/>
          <w:color w:val="auto"/>
        </w:rPr>
        <w:t>2</w:t>
      </w:r>
      <w:r>
        <w:rPr>
          <w:rFonts w:hint="eastAsia" w:cs="Times New Roman"/>
          <w:color w:val="auto"/>
          <w:lang w:val="en-US" w:eastAsia="zh-CN"/>
        </w:rPr>
        <w:t>4</w:t>
      </w:r>
      <w:r>
        <w:rPr>
          <w:rFonts w:cs="Times New Roman"/>
          <w:color w:val="auto"/>
        </w:rPr>
        <w:t>年</w:t>
      </w:r>
      <w:r>
        <w:rPr>
          <w:rFonts w:hint="eastAsia" w:cs="Times New Roman"/>
          <w:color w:val="auto"/>
        </w:rPr>
        <w:t>1</w:t>
      </w:r>
      <w:r>
        <w:rPr>
          <w:rFonts w:hint="eastAsia" w:cs="Times New Roman"/>
          <w:color w:val="auto"/>
          <w:lang w:val="en-US" w:eastAsia="zh-CN"/>
        </w:rPr>
        <w:t>2</w:t>
      </w:r>
      <w:r>
        <w:rPr>
          <w:rFonts w:cs="Times New Roman"/>
          <w:color w:val="auto"/>
        </w:rPr>
        <w:t>月</w:t>
      </w:r>
      <w:r>
        <w:rPr>
          <w:rFonts w:hint="eastAsia" w:cs="Times New Roman"/>
          <w:color w:val="auto"/>
          <w:lang w:val="en-US" w:eastAsia="zh-CN"/>
        </w:rPr>
        <w:t>13</w:t>
      </w:r>
      <w:r>
        <w:rPr>
          <w:rFonts w:cs="Times New Roman"/>
          <w:color w:val="auto"/>
        </w:rPr>
        <w:t>日通过</w:t>
      </w:r>
      <w:r>
        <w:rPr>
          <w:rFonts w:hint="eastAsia" w:cs="Times New Roman"/>
          <w:color w:val="auto"/>
        </w:rPr>
        <w:t>池州市贵池区发展</w:t>
      </w:r>
      <w:r>
        <w:rPr>
          <w:rFonts w:hint="eastAsia" w:cs="Times New Roman"/>
          <w:color w:val="auto"/>
          <w:lang w:val="en-US" w:eastAsia="zh-CN"/>
        </w:rPr>
        <w:t>和改革</w:t>
      </w:r>
      <w:r>
        <w:rPr>
          <w:rFonts w:hint="eastAsia" w:cs="Times New Roman"/>
          <w:color w:val="auto"/>
        </w:rPr>
        <w:t>委员会</w:t>
      </w:r>
      <w:r>
        <w:rPr>
          <w:rFonts w:cs="Times New Roman"/>
          <w:color w:val="auto"/>
        </w:rPr>
        <w:t>备案，项目编码为</w:t>
      </w:r>
      <w:r>
        <w:rPr>
          <w:rFonts w:hint="eastAsia" w:cs="Times New Roman"/>
          <w:color w:val="auto"/>
        </w:rPr>
        <w:t>：2412-341702-04-05-939258。</w:t>
      </w:r>
    </w:p>
    <w:p w14:paraId="03BFF822">
      <w:pPr>
        <w:bidi w:val="0"/>
        <w:rPr>
          <w:rFonts w:hint="default"/>
          <w:color w:val="auto"/>
          <w:highlight w:val="none"/>
          <w:lang w:val="en-US" w:eastAsia="zh-CN"/>
        </w:rPr>
      </w:pPr>
      <w:r>
        <w:rPr>
          <w:rFonts w:hint="eastAsia" w:cs="Times New Roman"/>
          <w:color w:val="auto"/>
        </w:rPr>
        <w:t>本项目</w:t>
      </w:r>
      <w:r>
        <w:rPr>
          <w:rFonts w:cs="Times New Roman"/>
          <w:color w:val="auto"/>
        </w:rPr>
        <w:t>主要建设内容为：</w:t>
      </w:r>
      <w:r>
        <w:rPr>
          <w:rFonts w:hint="eastAsia" w:cs="Times New Roman"/>
          <w:color w:val="auto"/>
        </w:rPr>
        <w:t>秋浦河航道整治工程5号、6号抛泥区抛泥清除恢复项目重点对现有抛泥区抛泥进行清除。5号抛泥区开挖清除土方765226m</w:t>
      </w:r>
      <w:r>
        <w:rPr>
          <w:rFonts w:hint="eastAsia" w:cs="Times New Roman"/>
          <w:color w:val="auto"/>
          <w:vertAlign w:val="superscript"/>
          <w:lang w:val="en-US" w:eastAsia="zh-CN"/>
        </w:rPr>
        <w:t>3</w:t>
      </w:r>
      <w:r>
        <w:rPr>
          <w:rFonts w:hint="eastAsia" w:cs="Times New Roman"/>
          <w:color w:val="auto"/>
        </w:rPr>
        <w:t>，6号抛泥区开挖清除士方20912m</w:t>
      </w:r>
      <w:r>
        <w:rPr>
          <w:rFonts w:hint="eastAsia" w:cs="Times New Roman"/>
          <w:color w:val="auto"/>
          <w:vertAlign w:val="superscript"/>
          <w:lang w:val="en-US" w:eastAsia="zh-CN"/>
        </w:rPr>
        <w:t>3</w:t>
      </w:r>
      <w:r>
        <w:rPr>
          <w:rFonts w:hint="eastAsia" w:cs="Times New Roman"/>
          <w:color w:val="auto"/>
          <w:vertAlign w:val="baseline"/>
          <w:lang w:val="en-US" w:eastAsia="zh-CN"/>
        </w:rPr>
        <w:t>；</w:t>
      </w:r>
      <w:r>
        <w:rPr>
          <w:rFonts w:hint="eastAsia" w:cs="Times New Roman"/>
          <w:color w:val="auto"/>
        </w:rPr>
        <w:t>重新处置合计弃土786138m</w:t>
      </w:r>
      <w:r>
        <w:rPr>
          <w:rFonts w:hint="eastAsia" w:cs="Times New Roman"/>
          <w:color w:val="auto"/>
          <w:vertAlign w:val="superscript"/>
          <w:lang w:val="en-US" w:eastAsia="zh-CN"/>
        </w:rPr>
        <w:t>3</w:t>
      </w:r>
      <w:r>
        <w:rPr>
          <w:rFonts w:hint="eastAsia" w:cs="Times New Roman"/>
          <w:color w:val="auto"/>
          <w:lang w:eastAsia="zh-CN"/>
        </w:rPr>
        <w:t>，</w:t>
      </w:r>
      <w:r>
        <w:rPr>
          <w:rFonts w:hint="eastAsia" w:cs="Times New Roman"/>
          <w:color w:val="auto"/>
        </w:rPr>
        <w:t>弃土区2处</w:t>
      </w:r>
      <w:r>
        <w:rPr>
          <w:rFonts w:hint="eastAsia" w:cs="Times New Roman"/>
          <w:color w:val="auto"/>
          <w:lang w:eastAsia="zh-CN"/>
        </w:rPr>
        <w:t>，</w:t>
      </w:r>
      <w:r>
        <w:rPr>
          <w:rFonts w:hint="eastAsia" w:cs="Times New Roman"/>
          <w:color w:val="auto"/>
        </w:rPr>
        <w:t>弃土区占地402.51亩</w:t>
      </w:r>
      <w:r>
        <w:rPr>
          <w:rFonts w:hint="eastAsia" w:cs="Times New Roman"/>
          <w:color w:val="auto"/>
          <w:lang w:eastAsia="zh-CN"/>
        </w:rPr>
        <w:t>；</w:t>
      </w:r>
      <w:r>
        <w:rPr>
          <w:rFonts w:hint="eastAsia" w:cs="Times New Roman"/>
          <w:color w:val="auto"/>
        </w:rPr>
        <w:t>修建进场道路约1.487km。在弃土完成后，撒播草籽，草籽面积295175m</w:t>
      </w:r>
      <w:r>
        <w:rPr>
          <w:rFonts w:hint="eastAsia" w:cs="Times New Roman"/>
          <w:color w:val="auto"/>
          <w:vertAlign w:val="superscript"/>
          <w:lang w:val="en-US" w:eastAsia="zh-CN"/>
        </w:rPr>
        <w:t>2</w:t>
      </w:r>
      <w:r>
        <w:rPr>
          <w:rFonts w:hint="eastAsia" w:cs="Times New Roman"/>
          <w:color w:val="auto"/>
          <w:lang w:eastAsia="zh-CN"/>
        </w:rPr>
        <w:t>；</w:t>
      </w:r>
      <w:r>
        <w:rPr>
          <w:rFonts w:hint="eastAsia" w:cs="Times New Roman"/>
          <w:color w:val="auto"/>
        </w:rPr>
        <w:t>为抛泥区及弃土区使用安全，在抛泥区及弃土区外缘设一圈钢丝防护网，高2m，</w:t>
      </w:r>
      <w:r>
        <w:rPr>
          <w:rFonts w:hint="eastAsia" w:cs="Times New Roman"/>
          <w:color w:val="auto"/>
          <w:lang w:val="en-US" w:eastAsia="zh-CN"/>
        </w:rPr>
        <w:t>面</w:t>
      </w:r>
      <w:r>
        <w:rPr>
          <w:rFonts w:hint="eastAsia" w:cs="Times New Roman"/>
          <w:color w:val="auto"/>
        </w:rPr>
        <w:t>积19418m</w:t>
      </w:r>
      <w:r>
        <w:rPr>
          <w:rFonts w:hint="eastAsia" w:cs="Times New Roman"/>
          <w:color w:val="auto"/>
          <w:vertAlign w:val="superscript"/>
        </w:rPr>
        <w:t>2</w:t>
      </w:r>
      <w:r>
        <w:rPr>
          <w:color w:val="auto"/>
          <w:kern w:val="0"/>
          <w:szCs w:val="28"/>
        </w:rPr>
        <w:t>。</w:t>
      </w:r>
    </w:p>
    <w:p w14:paraId="44140D2A">
      <w:pPr>
        <w:pStyle w:val="3"/>
        <w:bidi w:val="0"/>
        <w:ind w:left="480" w:leftChars="0" w:firstLineChars="0"/>
        <w:rPr>
          <w:rFonts w:hint="eastAsia"/>
          <w:color w:val="auto"/>
          <w:lang w:val="zh-CN" w:eastAsia="zh-CN"/>
        </w:rPr>
      </w:pPr>
      <w:bookmarkStart w:id="230" w:name="_Toc1012"/>
      <w:r>
        <w:rPr>
          <w:rFonts w:hint="eastAsia"/>
          <w:color w:val="auto"/>
          <w:lang w:val="zh-CN" w:eastAsia="zh-CN"/>
        </w:rPr>
        <w:t>产业政策符合性分析</w:t>
      </w:r>
      <w:bookmarkEnd w:id="230"/>
    </w:p>
    <w:p w14:paraId="2BCEC15A">
      <w:pPr>
        <w:bidi w:val="0"/>
        <w:rPr>
          <w:rFonts w:hint="eastAsia"/>
          <w:color w:val="auto"/>
          <w:lang w:val="zh-CN" w:eastAsia="zh-CN"/>
        </w:rPr>
      </w:pPr>
      <w:r>
        <w:rPr>
          <w:rFonts w:hint="eastAsia"/>
          <w:color w:val="auto"/>
          <w:lang w:val="zh-CN" w:eastAsia="zh-CN"/>
        </w:rPr>
        <w:t>（1）</w:t>
      </w:r>
      <w:r>
        <w:rPr>
          <w:rFonts w:hint="eastAsia" w:ascii="Times New Roman" w:hAnsi="Times New Roman"/>
          <w:bCs/>
          <w:snapToGrid w:val="0"/>
          <w:color w:val="auto"/>
          <w:sz w:val="24"/>
          <w:szCs w:val="24"/>
          <w:lang w:eastAsia="zh-CN"/>
        </w:rPr>
        <w:t>根据《产业结构调整指导目录》（20</w:t>
      </w:r>
      <w:r>
        <w:rPr>
          <w:rFonts w:hint="eastAsia"/>
          <w:bCs/>
          <w:snapToGrid w:val="0"/>
          <w:color w:val="auto"/>
          <w:sz w:val="24"/>
          <w:szCs w:val="24"/>
          <w:lang w:val="en-US" w:eastAsia="zh-CN"/>
        </w:rPr>
        <w:t>24</w:t>
      </w:r>
      <w:r>
        <w:rPr>
          <w:rFonts w:hint="eastAsia" w:ascii="Times New Roman" w:hAnsi="Times New Roman"/>
          <w:bCs/>
          <w:snapToGrid w:val="0"/>
          <w:color w:val="auto"/>
          <w:sz w:val="24"/>
          <w:szCs w:val="24"/>
          <w:lang w:eastAsia="zh-CN"/>
        </w:rPr>
        <w:t>年），本项目属于</w:t>
      </w:r>
      <w:r>
        <w:rPr>
          <w:rFonts w:hint="eastAsia"/>
          <w:color w:val="auto"/>
          <w:lang w:eastAsia="zh-CN"/>
        </w:rPr>
        <w:t>“</w:t>
      </w:r>
      <w:r>
        <w:rPr>
          <w:color w:val="auto"/>
        </w:rPr>
        <w:t>鼓励类</w:t>
      </w:r>
      <w:r>
        <w:rPr>
          <w:rFonts w:hint="eastAsia"/>
          <w:color w:val="auto"/>
          <w:lang w:eastAsia="zh-CN"/>
        </w:rPr>
        <w:t>：</w:t>
      </w:r>
      <w:r>
        <w:rPr>
          <w:rFonts w:hint="eastAsia"/>
          <w:color w:val="auto"/>
          <w:lang w:val="en-US" w:eastAsia="zh-CN"/>
        </w:rPr>
        <w:t>二</w:t>
      </w:r>
      <w:r>
        <w:rPr>
          <w:rFonts w:hint="eastAsia"/>
          <w:color w:val="auto"/>
          <w:lang w:eastAsia="zh-CN"/>
        </w:rPr>
        <w:t>、</w:t>
      </w:r>
      <w:r>
        <w:rPr>
          <w:rFonts w:hint="eastAsia"/>
          <w:color w:val="auto"/>
          <w:lang w:val="en-US" w:eastAsia="zh-CN"/>
        </w:rPr>
        <w:t>水利-江河湖海堤防建设及河道治理工程”</w:t>
      </w:r>
      <w:r>
        <w:rPr>
          <w:rFonts w:hint="eastAsia" w:ascii="Times New Roman" w:hAnsi="Times New Roman"/>
          <w:bCs/>
          <w:snapToGrid w:val="0"/>
          <w:color w:val="auto"/>
          <w:sz w:val="24"/>
          <w:szCs w:val="24"/>
          <w:lang w:eastAsia="zh-CN"/>
        </w:rPr>
        <w:t>项目。且本项目于2024年12月13日通过池州市贵池区发展有政革委员会备案，项目编码为：2412-341702-04-05-939258。因此，本次项目符合国家产业政策要求。</w:t>
      </w:r>
    </w:p>
    <w:p w14:paraId="61F05C70">
      <w:pPr>
        <w:bidi w:val="0"/>
        <w:rPr>
          <w:rFonts w:hint="default"/>
          <w:color w:val="auto"/>
          <w:lang w:val="en-US" w:eastAsia="zh-CN"/>
        </w:rPr>
      </w:pPr>
      <w:r>
        <w:rPr>
          <w:rFonts w:hint="eastAsia"/>
          <w:color w:val="auto"/>
          <w:lang w:val="en-US" w:eastAsia="zh-CN"/>
        </w:rPr>
        <w:t>（2）</w:t>
      </w:r>
      <w:r>
        <w:rPr>
          <w:rFonts w:hint="default"/>
          <w:color w:val="auto"/>
          <w:lang w:val="en-US" w:eastAsia="zh-CN"/>
        </w:rPr>
        <w:t>本项目位于安徽省池州市</w:t>
      </w:r>
      <w:r>
        <w:rPr>
          <w:rFonts w:hint="eastAsia"/>
          <w:color w:val="auto"/>
          <w:lang w:val="en-US" w:eastAsia="zh-CN"/>
        </w:rPr>
        <w:t>贵池区涓桥镇</w:t>
      </w:r>
      <w:r>
        <w:rPr>
          <w:rFonts w:hint="default"/>
          <w:color w:val="auto"/>
          <w:lang w:val="en-US" w:eastAsia="zh-CN"/>
        </w:rPr>
        <w:t>，项目建设符合《池州市国土空间总体规划（2021-2035年）》</w:t>
      </w:r>
      <w:r>
        <w:rPr>
          <w:rFonts w:hint="eastAsia"/>
          <w:color w:val="auto"/>
          <w:lang w:val="en-US" w:eastAsia="zh-CN"/>
        </w:rPr>
        <w:t>、</w:t>
      </w:r>
      <w:r>
        <w:rPr>
          <w:rFonts w:hint="default"/>
          <w:color w:val="auto"/>
          <w:lang w:val="en-US" w:eastAsia="zh-CN"/>
        </w:rPr>
        <w:t>《池州市“十四五”生态环境保护规划》</w:t>
      </w:r>
      <w:r>
        <w:rPr>
          <w:rFonts w:hint="eastAsia"/>
          <w:color w:val="auto"/>
          <w:lang w:val="en-US" w:eastAsia="zh-CN"/>
        </w:rPr>
        <w:t>、</w:t>
      </w:r>
      <w:r>
        <w:rPr>
          <w:rFonts w:hint="default"/>
          <w:color w:val="auto"/>
          <w:lang w:val="en-US" w:eastAsia="zh-CN"/>
        </w:rPr>
        <w:t>《池州市水利发展“十四五”规划》</w:t>
      </w:r>
      <w:r>
        <w:rPr>
          <w:rFonts w:hint="eastAsia"/>
          <w:color w:val="auto"/>
          <w:lang w:val="en-US" w:eastAsia="zh-CN"/>
        </w:rPr>
        <w:t>、</w:t>
      </w:r>
      <w:r>
        <w:rPr>
          <w:rFonts w:hint="default"/>
          <w:color w:val="auto"/>
          <w:lang w:val="en-US" w:eastAsia="zh-CN"/>
        </w:rPr>
        <w:t>《贵池区“十</w:t>
      </w:r>
      <w:r>
        <w:rPr>
          <w:rFonts w:hint="eastAsia"/>
          <w:color w:val="auto"/>
          <w:lang w:val="en-US" w:eastAsia="zh-CN"/>
        </w:rPr>
        <w:t>四</w:t>
      </w:r>
      <w:r>
        <w:rPr>
          <w:rFonts w:hint="default"/>
          <w:color w:val="auto"/>
          <w:lang w:val="en-US" w:eastAsia="zh-CN"/>
        </w:rPr>
        <w:t>五”生态环境保护规划》</w:t>
      </w:r>
      <w:r>
        <w:rPr>
          <w:rFonts w:hint="eastAsia"/>
          <w:color w:val="auto"/>
          <w:lang w:val="en-US" w:eastAsia="zh-CN"/>
        </w:rPr>
        <w:t>、</w:t>
      </w:r>
      <w:r>
        <w:rPr>
          <w:rFonts w:hint="default"/>
          <w:color w:val="auto"/>
          <w:lang w:val="en-US" w:eastAsia="zh-CN"/>
        </w:rPr>
        <w:t>《长江经济带生态环境保护规划》</w:t>
      </w:r>
      <w:r>
        <w:rPr>
          <w:rFonts w:hint="eastAsia"/>
          <w:color w:val="auto"/>
          <w:lang w:val="en-US" w:eastAsia="zh-CN"/>
        </w:rPr>
        <w:t>、</w:t>
      </w:r>
      <w:r>
        <w:rPr>
          <w:rFonts w:hint="default"/>
          <w:color w:val="auto"/>
          <w:lang w:val="en-US" w:eastAsia="zh-CN"/>
        </w:rPr>
        <w:t>《“十四五”重点流域水环境综合治理规划》</w:t>
      </w:r>
      <w:r>
        <w:rPr>
          <w:rFonts w:hint="eastAsia"/>
          <w:color w:val="auto"/>
          <w:lang w:val="en-US" w:eastAsia="zh-CN"/>
        </w:rPr>
        <w:t>、《安徽贵池杏花村省级湿地公园总体规划》、《秋浦仙境风景名胜区总体规划(2017-2030)》</w:t>
      </w:r>
      <w:r>
        <w:rPr>
          <w:rFonts w:hint="default"/>
          <w:color w:val="auto"/>
          <w:lang w:val="en-US" w:eastAsia="zh-CN"/>
        </w:rPr>
        <w:t>等相关规划要求。</w:t>
      </w:r>
    </w:p>
    <w:p w14:paraId="430D2B2E">
      <w:pPr>
        <w:bidi w:val="0"/>
        <w:rPr>
          <w:rFonts w:hint="default"/>
          <w:color w:val="auto"/>
          <w:lang w:val="en-US" w:eastAsia="zh-CN"/>
        </w:rPr>
      </w:pPr>
      <w:r>
        <w:rPr>
          <w:rFonts w:hint="eastAsia"/>
          <w:color w:val="auto"/>
          <w:lang w:val="en-US" w:eastAsia="zh-CN"/>
        </w:rPr>
        <w:t>（3）</w:t>
      </w:r>
      <w:r>
        <w:rPr>
          <w:rFonts w:hint="eastAsia" w:ascii="Times New Roman" w:hAnsi="Times New Roman"/>
          <w:bCs/>
          <w:snapToGrid w:val="0"/>
          <w:color w:val="auto"/>
          <w:sz w:val="24"/>
          <w:szCs w:val="24"/>
          <w:lang w:eastAsia="zh-CN"/>
        </w:rPr>
        <w:t>对照《中华人民共和国长江保护法》（2020年）、</w:t>
      </w:r>
      <w:r>
        <w:rPr>
          <w:rFonts w:hint="eastAsia"/>
          <w:color w:val="auto"/>
          <w:lang w:val="en-US" w:eastAsia="zh-CN"/>
        </w:rPr>
        <w:t>《风景名胜区条例》、《中华人民共和国湿地保护法》、</w:t>
      </w:r>
      <w:r>
        <w:rPr>
          <w:rFonts w:hint="eastAsia" w:ascii="Times New Roman" w:hAnsi="Times New Roman"/>
          <w:bCs/>
          <w:snapToGrid w:val="0"/>
          <w:color w:val="auto"/>
          <w:sz w:val="24"/>
          <w:szCs w:val="24"/>
          <w:lang w:eastAsia="zh-CN"/>
        </w:rPr>
        <w:t>《水利建设项目（河湖整治与防护除涝工程）环境影响评价文件审批原则（试行）》等相关政策要求，本项目均与上述文件相符。项目建设符合“</w:t>
      </w:r>
      <w:r>
        <w:rPr>
          <w:rFonts w:hint="eastAsia"/>
          <w:bCs/>
          <w:snapToGrid w:val="0"/>
          <w:color w:val="auto"/>
          <w:sz w:val="24"/>
          <w:szCs w:val="24"/>
          <w:lang w:val="en-US" w:eastAsia="zh-CN"/>
        </w:rPr>
        <w:t>池州市生态环境分区管控</w:t>
      </w:r>
      <w:r>
        <w:rPr>
          <w:rFonts w:hint="eastAsia" w:ascii="Times New Roman" w:hAnsi="Times New Roman"/>
          <w:bCs/>
          <w:snapToGrid w:val="0"/>
          <w:color w:val="auto"/>
          <w:sz w:val="24"/>
          <w:szCs w:val="24"/>
          <w:lang w:eastAsia="zh-CN"/>
        </w:rPr>
        <w:t>”要求。</w:t>
      </w:r>
    </w:p>
    <w:p w14:paraId="22B0C34C">
      <w:pPr>
        <w:pStyle w:val="3"/>
        <w:bidi w:val="0"/>
        <w:ind w:left="480" w:leftChars="0" w:firstLineChars="0"/>
        <w:rPr>
          <w:rFonts w:hint="eastAsia"/>
          <w:color w:val="auto"/>
          <w:lang w:val="zh-CN" w:eastAsia="zh-CN"/>
        </w:rPr>
      </w:pPr>
      <w:bookmarkStart w:id="231" w:name="_Toc10065"/>
      <w:r>
        <w:rPr>
          <w:rFonts w:hint="eastAsia"/>
          <w:color w:val="auto"/>
          <w:lang w:val="zh-CN" w:eastAsia="zh-CN"/>
        </w:rPr>
        <w:t>环境质量现状</w:t>
      </w:r>
      <w:bookmarkEnd w:id="231"/>
    </w:p>
    <w:p w14:paraId="79C7D544">
      <w:pPr>
        <w:bidi w:val="0"/>
        <w:rPr>
          <w:rFonts w:hint="eastAsia"/>
          <w:color w:val="auto"/>
          <w:lang w:val="zh-CN" w:eastAsia="zh-CN"/>
        </w:rPr>
      </w:pPr>
      <w:r>
        <w:rPr>
          <w:rFonts w:hint="eastAsia"/>
          <w:color w:val="auto"/>
          <w:lang w:val="zh-CN" w:eastAsia="zh-CN"/>
        </w:rPr>
        <w:t>1、大气环境质量现状评价：</w:t>
      </w:r>
      <w:r>
        <w:rPr>
          <w:rFonts w:hint="eastAsia"/>
          <w:color w:val="auto"/>
          <w:lang w:val="en-US" w:eastAsia="zh-CN"/>
        </w:rPr>
        <w:t>项目所在区域为达标区。</w:t>
      </w:r>
    </w:p>
    <w:p w14:paraId="06A4872D">
      <w:pPr>
        <w:bidi w:val="0"/>
        <w:rPr>
          <w:rFonts w:hint="eastAsia"/>
          <w:color w:val="auto"/>
          <w:lang w:val="zh-CN" w:eastAsia="zh-CN"/>
        </w:rPr>
      </w:pPr>
      <w:r>
        <w:rPr>
          <w:rFonts w:hint="eastAsia"/>
          <w:color w:val="auto"/>
          <w:lang w:val="zh-CN" w:eastAsia="zh-CN"/>
        </w:rPr>
        <w:t>2、地表水环境质量现状评价：区域地表水体水质</w:t>
      </w:r>
      <w:r>
        <w:rPr>
          <w:rFonts w:hint="eastAsia"/>
          <w:color w:val="auto"/>
          <w:lang w:val="en-US" w:eastAsia="zh-CN"/>
        </w:rPr>
        <w:t>均能</w:t>
      </w:r>
      <w:r>
        <w:rPr>
          <w:rFonts w:hint="eastAsia"/>
          <w:color w:val="auto"/>
          <w:lang w:val="zh-CN" w:eastAsia="zh-CN"/>
        </w:rPr>
        <w:t>满足《地表水环境质量标准》（GB3838-2002）中的</w:t>
      </w:r>
      <w:r>
        <w:rPr>
          <w:rFonts w:hint="eastAsia"/>
          <w:color w:val="auto"/>
          <w:lang w:val="en-US" w:eastAsia="zh-CN"/>
        </w:rPr>
        <w:t>Ⅱ</w:t>
      </w:r>
      <w:r>
        <w:rPr>
          <w:rFonts w:hint="eastAsia"/>
          <w:color w:val="auto"/>
          <w:lang w:val="zh-CN" w:eastAsia="zh-CN"/>
        </w:rPr>
        <w:t>类标准要求。</w:t>
      </w:r>
    </w:p>
    <w:p w14:paraId="2924FAC9">
      <w:pPr>
        <w:bidi w:val="0"/>
        <w:rPr>
          <w:rFonts w:hint="eastAsia"/>
          <w:color w:val="auto"/>
          <w:lang w:val="zh-CN" w:eastAsia="zh-CN"/>
        </w:rPr>
      </w:pPr>
      <w:r>
        <w:rPr>
          <w:rFonts w:hint="eastAsia"/>
          <w:color w:val="auto"/>
          <w:lang w:val="zh-CN" w:eastAsia="zh-CN"/>
        </w:rPr>
        <w:t>3、声环境质量现状评价：均</w:t>
      </w:r>
      <w:r>
        <w:rPr>
          <w:rFonts w:hint="eastAsia"/>
          <w:color w:val="auto"/>
          <w:lang w:val="en-US" w:eastAsia="zh-CN"/>
        </w:rPr>
        <w:t>安装部</w:t>
      </w:r>
      <w:r>
        <w:rPr>
          <w:rFonts w:hint="eastAsia"/>
          <w:color w:val="auto"/>
          <w:lang w:val="zh-CN" w:eastAsia="zh-CN"/>
        </w:rPr>
        <w:t>《声环境质量标准》（GB3096-2008）中</w:t>
      </w:r>
      <w:r>
        <w:rPr>
          <w:rFonts w:hint="eastAsia"/>
          <w:color w:val="auto"/>
          <w:lang w:val="en-US" w:eastAsia="zh-CN"/>
        </w:rPr>
        <w:t>2</w:t>
      </w:r>
      <w:r>
        <w:rPr>
          <w:rFonts w:hint="eastAsia"/>
          <w:color w:val="auto"/>
          <w:lang w:val="zh-CN" w:eastAsia="zh-CN"/>
        </w:rPr>
        <w:t>类声功能区环境噪声标准值，项目</w:t>
      </w:r>
      <w:r>
        <w:rPr>
          <w:rFonts w:hint="eastAsia"/>
          <w:color w:val="auto"/>
          <w:lang w:val="en-US" w:eastAsia="zh-CN"/>
        </w:rPr>
        <w:t>所在区域</w:t>
      </w:r>
      <w:r>
        <w:rPr>
          <w:rFonts w:hint="eastAsia"/>
          <w:color w:val="auto"/>
          <w:lang w:val="zh-CN" w:eastAsia="zh-CN"/>
        </w:rPr>
        <w:t>声环境质量较好。</w:t>
      </w:r>
    </w:p>
    <w:p w14:paraId="637D4B73">
      <w:pPr>
        <w:bidi w:val="0"/>
        <w:rPr>
          <w:rFonts w:hint="eastAsia"/>
          <w:color w:val="auto"/>
          <w:lang w:val="zh-CN" w:eastAsia="zh-CN"/>
        </w:rPr>
      </w:pPr>
      <w:r>
        <w:rPr>
          <w:rFonts w:hint="eastAsia"/>
          <w:color w:val="auto"/>
          <w:lang w:val="zh-CN" w:eastAsia="zh-CN"/>
        </w:rPr>
        <w:t>4、地下水环境质量现状评价：</w:t>
      </w:r>
      <w:r>
        <w:rPr>
          <w:rFonts w:hint="eastAsia"/>
          <w:color w:val="auto"/>
          <w:lang w:val="en-US" w:eastAsia="zh-CN"/>
        </w:rPr>
        <w:t>除D3监测点PH浓度、D9及D12监测点总大肠菌群浓度略有超标，其余均满足</w:t>
      </w:r>
      <w:r>
        <w:rPr>
          <w:rFonts w:hint="eastAsia"/>
          <w:color w:val="auto"/>
          <w:lang w:val="zh-CN" w:eastAsia="zh-CN"/>
        </w:rPr>
        <w:t>《地下水质量标准》（GB/T14848-2017）中的Ⅲ类标准要求。</w:t>
      </w:r>
    </w:p>
    <w:p w14:paraId="55958B30">
      <w:pPr>
        <w:pStyle w:val="3"/>
        <w:bidi w:val="0"/>
        <w:ind w:left="480" w:leftChars="0" w:firstLineChars="0"/>
        <w:rPr>
          <w:rFonts w:hint="eastAsia"/>
          <w:color w:val="auto"/>
          <w:lang w:val="zh-CN" w:eastAsia="zh-CN"/>
        </w:rPr>
      </w:pPr>
      <w:bookmarkStart w:id="232" w:name="_Toc10871"/>
      <w:r>
        <w:rPr>
          <w:rFonts w:hint="eastAsia"/>
          <w:color w:val="auto"/>
          <w:lang w:val="zh-CN" w:eastAsia="zh-CN"/>
        </w:rPr>
        <w:t>主要环境影响及环境保护措施</w:t>
      </w:r>
      <w:bookmarkEnd w:id="232"/>
    </w:p>
    <w:p w14:paraId="24419A27">
      <w:pPr>
        <w:pStyle w:val="4"/>
        <w:bidi w:val="0"/>
        <w:rPr>
          <w:rFonts w:hint="eastAsia"/>
          <w:color w:val="auto"/>
          <w:lang w:val="zh-CN" w:eastAsia="zh-CN"/>
        </w:rPr>
      </w:pPr>
      <w:bookmarkStart w:id="233" w:name="_Toc6080"/>
      <w:r>
        <w:rPr>
          <w:rFonts w:hint="eastAsia"/>
          <w:color w:val="auto"/>
          <w:lang w:val="zh-CN" w:eastAsia="zh-CN"/>
        </w:rPr>
        <w:t>地表水环境影响预测和评价</w:t>
      </w:r>
      <w:bookmarkEnd w:id="233"/>
    </w:p>
    <w:p w14:paraId="38F20A32">
      <w:pPr>
        <w:bidi w:val="0"/>
        <w:rPr>
          <w:rFonts w:hint="eastAsia"/>
          <w:color w:val="auto"/>
          <w:lang w:val="zh-CN" w:eastAsia="zh-CN"/>
        </w:rPr>
      </w:pPr>
      <w:r>
        <w:rPr>
          <w:rFonts w:hint="eastAsia"/>
          <w:color w:val="auto"/>
          <w:lang w:val="zh-CN" w:eastAsia="zh-CN"/>
        </w:rPr>
        <w:t>工程施工期对地表水环境的影响主要是施工废水及生活污水。本工程施工废水主要为施工车辆。生活污水主要来自工程施工期间施工人员日常生活产生的废水。</w:t>
      </w:r>
    </w:p>
    <w:p w14:paraId="4104E45E">
      <w:pPr>
        <w:bidi w:val="0"/>
        <w:rPr>
          <w:rFonts w:hint="eastAsia"/>
          <w:color w:val="auto"/>
          <w:lang w:val="zh-CN" w:eastAsia="zh-CN"/>
        </w:rPr>
      </w:pPr>
      <w:r>
        <w:rPr>
          <w:rFonts w:hint="eastAsia"/>
          <w:color w:val="auto"/>
          <w:lang w:val="zh-CN" w:eastAsia="zh-CN"/>
        </w:rPr>
        <w:t>施工机械集中清洗场所设置隔油池，使用油水分离器进行含油废水的处理，达标后回用，不外排。本项目施工人员住宿全部通过就近租住民宅解决，生活污水经租住的民宅内的化粪池或旱厕收集后用于农田灌溉，在此基础上生活污水不会对周边水环境造成不利影响。</w:t>
      </w:r>
    </w:p>
    <w:p w14:paraId="05047358">
      <w:pPr>
        <w:bidi w:val="0"/>
        <w:rPr>
          <w:rFonts w:hint="eastAsia"/>
          <w:color w:val="auto"/>
          <w:lang w:val="zh-CN" w:eastAsia="zh-CN"/>
        </w:rPr>
      </w:pPr>
      <w:r>
        <w:rPr>
          <w:rFonts w:hint="eastAsia"/>
          <w:color w:val="auto"/>
          <w:lang w:val="zh-CN" w:eastAsia="zh-CN"/>
        </w:rPr>
        <w:t>落实好施工期水污染防治措施，加强施工管理，施工污水经处理后回用不外排，对</w:t>
      </w:r>
      <w:r>
        <w:rPr>
          <w:rFonts w:hint="eastAsia"/>
          <w:color w:val="auto"/>
          <w:lang w:val="en-US" w:eastAsia="zh-CN"/>
        </w:rPr>
        <w:t>湿地公园</w:t>
      </w:r>
      <w:r>
        <w:rPr>
          <w:rFonts w:hint="eastAsia"/>
          <w:color w:val="auto"/>
          <w:lang w:val="zh-CN" w:eastAsia="zh-CN"/>
        </w:rPr>
        <w:t>水质影响较小。项目实施后，对</w:t>
      </w:r>
      <w:r>
        <w:rPr>
          <w:rFonts w:hint="eastAsia"/>
          <w:color w:val="auto"/>
          <w:lang w:val="en-US" w:eastAsia="zh-CN"/>
        </w:rPr>
        <w:t>湿地公园</w:t>
      </w:r>
      <w:r>
        <w:rPr>
          <w:rFonts w:hint="eastAsia"/>
          <w:color w:val="auto"/>
          <w:lang w:val="zh-CN" w:eastAsia="zh-CN"/>
        </w:rPr>
        <w:t>水质和水量均有重要的作用。因此工程的实施对水源地水质影响较小。</w:t>
      </w:r>
    </w:p>
    <w:p w14:paraId="43812067">
      <w:pPr>
        <w:bidi w:val="0"/>
        <w:rPr>
          <w:rFonts w:hint="eastAsia"/>
          <w:color w:val="auto"/>
          <w:highlight w:val="yellow"/>
          <w:lang w:val="zh-CN" w:eastAsia="zh-CN"/>
        </w:rPr>
      </w:pPr>
      <w:r>
        <w:rPr>
          <w:rFonts w:hint="eastAsia"/>
          <w:color w:val="auto"/>
        </w:rPr>
        <w:t>由于通过</w:t>
      </w:r>
      <w:r>
        <w:rPr>
          <w:rFonts w:hint="eastAsia"/>
          <w:color w:val="auto"/>
          <w:lang w:val="en-US" w:eastAsia="zh-CN"/>
        </w:rPr>
        <w:t>湿地公园内抛泥区底泥清理</w:t>
      </w:r>
      <w:r>
        <w:rPr>
          <w:rFonts w:hint="eastAsia"/>
          <w:color w:val="auto"/>
        </w:rPr>
        <w:t>等工程措施，项目运营后将提高</w:t>
      </w:r>
      <w:r>
        <w:rPr>
          <w:rFonts w:hint="eastAsia"/>
          <w:color w:val="auto"/>
          <w:lang w:val="en-US" w:eastAsia="zh-CN"/>
        </w:rPr>
        <w:t>杏花村省级湿地公园</w:t>
      </w:r>
      <w:r>
        <w:rPr>
          <w:rFonts w:hint="eastAsia"/>
          <w:color w:val="auto"/>
        </w:rPr>
        <w:t>的水体水质，营造良好的生态环境。</w:t>
      </w:r>
    </w:p>
    <w:p w14:paraId="6E30BF05">
      <w:pPr>
        <w:pStyle w:val="4"/>
        <w:bidi w:val="0"/>
        <w:rPr>
          <w:rFonts w:hint="eastAsia"/>
          <w:color w:val="auto"/>
          <w:lang w:val="zh-CN" w:eastAsia="zh-CN"/>
        </w:rPr>
      </w:pPr>
      <w:bookmarkStart w:id="234" w:name="_Toc28778"/>
      <w:r>
        <w:rPr>
          <w:rFonts w:hint="eastAsia"/>
          <w:color w:val="auto"/>
          <w:lang w:val="zh-CN" w:eastAsia="zh-CN"/>
        </w:rPr>
        <w:t>地下水环境影响预测和评价</w:t>
      </w:r>
      <w:bookmarkEnd w:id="234"/>
    </w:p>
    <w:p w14:paraId="2C39875E">
      <w:pPr>
        <w:bidi w:val="0"/>
        <w:rPr>
          <w:rFonts w:hint="eastAsia"/>
          <w:color w:val="auto"/>
          <w:lang w:val="zh-CN" w:eastAsia="zh-CN"/>
        </w:rPr>
      </w:pPr>
      <w:r>
        <w:rPr>
          <w:rFonts w:hint="eastAsia"/>
          <w:color w:val="auto"/>
          <w:lang w:val="zh-CN" w:eastAsia="zh-CN"/>
        </w:rPr>
        <w:t>工程本身并不产生地下水污染，其污染物均为外来物质进入河道引起。因此，防止污染源进入施工区域地表水体，从源头上控制其对治理河道的污染，从而避免河道整治对地下水的污染，将污染风险降到最低限度。</w:t>
      </w:r>
    </w:p>
    <w:p w14:paraId="216CE3C4">
      <w:pPr>
        <w:bidi w:val="0"/>
        <w:rPr>
          <w:rFonts w:hint="eastAsia"/>
          <w:color w:val="auto"/>
          <w:lang w:val="zh-CN" w:eastAsia="zh-CN"/>
        </w:rPr>
      </w:pPr>
      <w:r>
        <w:rPr>
          <w:rFonts w:hint="eastAsia"/>
          <w:color w:val="auto"/>
          <w:lang w:val="zh-CN" w:eastAsia="zh-CN"/>
        </w:rPr>
        <w:t>为了防止施工期产生的废水进入地下水环境中，对各类施工废水均进行收集处理，经隔油沉淀处理后回用，不直接外排，施工期不设置临时施工营地，施工人员采取租用民房居住，生活污水经租住的民房的生活污水处理系统处理后用于农田灌溉，不外排。隔油沉淀池应采取黏土铺底，水泥硬化防渗措施。工程施工区域建筑材料临时堆放场所应设置一定防渗区域，防止淋渗水对地下水环境影响。</w:t>
      </w:r>
    </w:p>
    <w:p w14:paraId="3B4D0F57">
      <w:pPr>
        <w:pStyle w:val="4"/>
        <w:bidi w:val="0"/>
        <w:rPr>
          <w:rFonts w:hint="eastAsia"/>
          <w:color w:val="auto"/>
          <w:lang w:val="zh-CN" w:eastAsia="zh-CN"/>
        </w:rPr>
      </w:pPr>
      <w:bookmarkStart w:id="235" w:name="_Toc14032"/>
      <w:r>
        <w:rPr>
          <w:rFonts w:hint="eastAsia"/>
          <w:color w:val="auto"/>
          <w:lang w:val="zh-CN" w:eastAsia="zh-CN"/>
        </w:rPr>
        <w:t>大气环境影响预测和评价</w:t>
      </w:r>
      <w:bookmarkEnd w:id="235"/>
    </w:p>
    <w:p w14:paraId="10329FDB">
      <w:pPr>
        <w:bidi w:val="0"/>
        <w:rPr>
          <w:rFonts w:hint="eastAsia"/>
          <w:color w:val="auto"/>
          <w:lang w:val="zh-CN" w:eastAsia="zh-CN"/>
        </w:rPr>
      </w:pPr>
      <w:r>
        <w:rPr>
          <w:rFonts w:hint="eastAsia"/>
          <w:color w:val="auto"/>
          <w:lang w:val="zh-CN" w:eastAsia="zh-CN"/>
        </w:rPr>
        <w:t>本工程施工活动对区域环境空气质量的影响主要源自施工过程中土方开挖、回填、堆放和车辆交通运输过程中产生的粉尘、扬尘；施工机械和运输车辆运行时排放的燃油机械废气、底泥</w:t>
      </w:r>
      <w:r>
        <w:rPr>
          <w:rFonts w:hint="eastAsia"/>
          <w:color w:val="auto"/>
          <w:lang w:val="en-US" w:eastAsia="zh-CN"/>
        </w:rPr>
        <w:t>清理</w:t>
      </w:r>
      <w:r>
        <w:rPr>
          <w:rFonts w:hint="eastAsia"/>
          <w:color w:val="auto"/>
          <w:lang w:val="zh-CN" w:eastAsia="zh-CN"/>
        </w:rPr>
        <w:t>产生的废气等，主要污染物为TSP、PM</w:t>
      </w:r>
      <w:r>
        <w:rPr>
          <w:rFonts w:hint="eastAsia"/>
          <w:color w:val="auto"/>
          <w:vertAlign w:val="subscript"/>
          <w:lang w:val="zh-CN" w:eastAsia="zh-CN"/>
        </w:rPr>
        <w:t>10</w:t>
      </w:r>
      <w:r>
        <w:rPr>
          <w:rFonts w:hint="eastAsia"/>
          <w:color w:val="auto"/>
          <w:lang w:val="zh-CN" w:eastAsia="zh-CN"/>
        </w:rPr>
        <w:t>、SO</w:t>
      </w:r>
      <w:r>
        <w:rPr>
          <w:rFonts w:hint="eastAsia"/>
          <w:color w:val="auto"/>
          <w:vertAlign w:val="subscript"/>
          <w:lang w:val="zh-CN" w:eastAsia="zh-CN"/>
        </w:rPr>
        <w:t>2</w:t>
      </w:r>
      <w:r>
        <w:rPr>
          <w:rFonts w:hint="eastAsia"/>
          <w:color w:val="auto"/>
          <w:lang w:val="zh-CN" w:eastAsia="zh-CN"/>
        </w:rPr>
        <w:t>、NOx等，在采取洒水、设置围挡等措施的情况下，不会对周围居民产生较大的影响；对于</w:t>
      </w:r>
      <w:r>
        <w:rPr>
          <w:rFonts w:hint="eastAsia"/>
          <w:color w:val="auto"/>
          <w:lang w:val="en-US" w:eastAsia="zh-CN"/>
        </w:rPr>
        <w:t>抛泥区清理</w:t>
      </w:r>
      <w:r>
        <w:rPr>
          <w:rFonts w:hint="eastAsia"/>
          <w:color w:val="auto"/>
          <w:lang w:val="zh-CN" w:eastAsia="zh-CN"/>
        </w:rPr>
        <w:t>过程中产生的恶臭，要求工程应选择在非汛期分段进行，清除出的底泥及时清运，做好底泥的综合</w:t>
      </w:r>
      <w:r>
        <w:rPr>
          <w:rFonts w:hint="eastAsia"/>
          <w:color w:val="auto"/>
          <w:lang w:val="en-US" w:eastAsia="zh-CN"/>
        </w:rPr>
        <w:t>处置</w:t>
      </w:r>
      <w:r>
        <w:rPr>
          <w:rFonts w:hint="eastAsia"/>
          <w:color w:val="auto"/>
          <w:lang w:val="zh-CN" w:eastAsia="zh-CN"/>
        </w:rPr>
        <w:t>工作，减少恶臭气体散发，避免对附近居民生活质量产生影响。</w:t>
      </w:r>
    </w:p>
    <w:p w14:paraId="521964DB">
      <w:pPr>
        <w:pStyle w:val="4"/>
        <w:bidi w:val="0"/>
        <w:rPr>
          <w:rFonts w:hint="eastAsia"/>
          <w:color w:val="auto"/>
          <w:lang w:val="zh-CN" w:eastAsia="zh-CN"/>
        </w:rPr>
      </w:pPr>
      <w:bookmarkStart w:id="236" w:name="_Toc7328"/>
      <w:r>
        <w:rPr>
          <w:rFonts w:hint="eastAsia"/>
          <w:color w:val="auto"/>
          <w:lang w:val="zh-CN" w:eastAsia="zh-CN"/>
        </w:rPr>
        <w:t>声环境影响预测和评价</w:t>
      </w:r>
      <w:bookmarkEnd w:id="236"/>
    </w:p>
    <w:p w14:paraId="0A660C1C">
      <w:pPr>
        <w:bidi w:val="0"/>
        <w:rPr>
          <w:rFonts w:hint="eastAsia"/>
          <w:color w:val="auto"/>
          <w:lang w:val="zh-CN" w:eastAsia="zh-CN"/>
        </w:rPr>
      </w:pPr>
      <w:r>
        <w:rPr>
          <w:rFonts w:hint="eastAsia"/>
          <w:color w:val="auto"/>
          <w:lang w:val="zh-CN" w:eastAsia="zh-CN"/>
        </w:rPr>
        <w:t>项目施工期噪声主要为土方开挖、清淤等工程施工产生的设备噪声和交通噪声。项目施工区域四周分布有多处敏感点，部分敏感点距离工程施工场界很近。施工噪声将严重影响敏感点所有居民的生活，为减少项目施工对敏感点的影响，必须采取必要的保护措施。因此本评价要求施工时应合理安排施工时间，禁止夜间（22:00-6:00）施工；对施工机械采取消声减振措施。</w:t>
      </w:r>
    </w:p>
    <w:p w14:paraId="2B53FA21">
      <w:pPr>
        <w:bidi w:val="0"/>
        <w:rPr>
          <w:rFonts w:hint="eastAsia"/>
          <w:color w:val="auto"/>
          <w:lang w:val="zh-CN" w:eastAsia="zh-CN"/>
        </w:rPr>
      </w:pPr>
      <w:r>
        <w:rPr>
          <w:rFonts w:hint="eastAsia"/>
          <w:color w:val="auto"/>
          <w:lang w:val="zh-CN" w:eastAsia="zh-CN"/>
        </w:rPr>
        <w:t>考虑到建设期施工噪声影响是短期的、暂时的，而且具有局部路段特性。作为建设施工单位为保护沿线居民的正常生活和休息，应采取必要的噪声控制措施，在施工中做到定点定时的监测，夜间禁止施工，降低施工噪声对环境的影响。随着施工的结束，施工噪声对敏感点的影响也将消失。</w:t>
      </w:r>
    </w:p>
    <w:p w14:paraId="34222772">
      <w:pPr>
        <w:pStyle w:val="4"/>
        <w:bidi w:val="0"/>
        <w:rPr>
          <w:rFonts w:hint="eastAsia"/>
          <w:color w:val="auto"/>
          <w:lang w:val="zh-CN" w:eastAsia="zh-CN"/>
        </w:rPr>
      </w:pPr>
      <w:bookmarkStart w:id="237" w:name="_Toc410"/>
      <w:r>
        <w:rPr>
          <w:rFonts w:hint="eastAsia"/>
          <w:color w:val="auto"/>
          <w:lang w:val="zh-CN" w:eastAsia="zh-CN"/>
        </w:rPr>
        <w:t>固废影响评价</w:t>
      </w:r>
      <w:bookmarkEnd w:id="237"/>
    </w:p>
    <w:p w14:paraId="4AE9F797">
      <w:pPr>
        <w:bidi w:val="0"/>
        <w:rPr>
          <w:rFonts w:hint="eastAsia"/>
          <w:color w:val="auto"/>
          <w:lang w:val="zh-CN" w:eastAsia="zh-CN"/>
        </w:rPr>
      </w:pPr>
      <w:r>
        <w:rPr>
          <w:rFonts w:hint="eastAsia"/>
          <w:color w:val="auto"/>
          <w:lang w:val="zh-CN" w:eastAsia="zh-CN"/>
        </w:rPr>
        <w:t>本工程施工产生的固体废弃物包括施工建筑垃圾、废弃土石方、施工人员生活垃圾、沉淀池污泥和隔油池浮油。施工期产生的建筑垃圾具有回收利用价值的应尽可能回用，既可变废为宝，又减少了建筑垃圾的量；不能回收利用的垃圾应运至</w:t>
      </w:r>
      <w:r>
        <w:rPr>
          <w:rFonts w:hint="eastAsia"/>
          <w:color w:val="auto"/>
          <w:lang w:val="en-US" w:eastAsia="zh-CN"/>
        </w:rPr>
        <w:t>贵池区</w:t>
      </w:r>
      <w:r>
        <w:rPr>
          <w:rFonts w:hint="eastAsia"/>
          <w:color w:val="auto"/>
          <w:lang w:val="zh-CN" w:eastAsia="zh-CN"/>
        </w:rPr>
        <w:t>建筑垃圾消纳场处理，严禁乱丢乱弃，对外环境影响较小。弃土方及时运至临时弃土场。</w:t>
      </w:r>
    </w:p>
    <w:p w14:paraId="5E8FE01E">
      <w:pPr>
        <w:bidi w:val="0"/>
        <w:rPr>
          <w:rFonts w:hint="eastAsia"/>
          <w:color w:val="auto"/>
          <w:lang w:val="zh-CN" w:eastAsia="zh-CN"/>
        </w:rPr>
      </w:pPr>
      <w:r>
        <w:rPr>
          <w:rFonts w:hint="eastAsia"/>
          <w:color w:val="auto"/>
          <w:lang w:val="zh-CN" w:eastAsia="zh-CN"/>
        </w:rPr>
        <w:t>施工人员施工生活通过租用附近民房，施工期间工作人员大部分生活垃圾可直接进入当地卫生处理系统，由环卫部门统一处理，对环境影响较小。对于施工现场产生的生活垃圾，应在施工现场附近设置垃圾桶，对垃圾进行集中收集后由当地环卫部门统一处理。施工机械含油废水经沉淀池产生一定量的污泥，污泥经干化处理后定期外送综合利用。隔油池产生的浮油应委托有资质的单位处理。</w:t>
      </w:r>
    </w:p>
    <w:p w14:paraId="739711E8">
      <w:pPr>
        <w:bidi w:val="0"/>
        <w:rPr>
          <w:rFonts w:hint="eastAsia"/>
          <w:color w:val="auto"/>
          <w:lang w:val="zh-CN" w:eastAsia="zh-CN"/>
        </w:rPr>
      </w:pPr>
      <w:r>
        <w:rPr>
          <w:rFonts w:hint="eastAsia"/>
          <w:color w:val="auto"/>
          <w:lang w:val="zh-CN" w:eastAsia="zh-CN"/>
        </w:rPr>
        <w:t>综上，项目施工期产生的固废均能妥善处置，不会产生二次污染。</w:t>
      </w:r>
    </w:p>
    <w:p w14:paraId="1B00D895">
      <w:pPr>
        <w:pStyle w:val="4"/>
        <w:bidi w:val="0"/>
        <w:rPr>
          <w:rFonts w:hint="eastAsia"/>
          <w:color w:val="auto"/>
          <w:lang w:val="zh-CN" w:eastAsia="zh-CN"/>
        </w:rPr>
      </w:pPr>
      <w:bookmarkStart w:id="238" w:name="_Toc2843"/>
      <w:r>
        <w:rPr>
          <w:rFonts w:hint="eastAsia"/>
          <w:color w:val="auto"/>
          <w:lang w:val="zh-CN" w:eastAsia="zh-CN"/>
        </w:rPr>
        <w:t>生态环境影响评价</w:t>
      </w:r>
      <w:bookmarkEnd w:id="238"/>
    </w:p>
    <w:p w14:paraId="174EB9CB">
      <w:pPr>
        <w:bidi w:val="0"/>
        <w:rPr>
          <w:rFonts w:hint="default"/>
          <w:color w:val="auto"/>
          <w:lang w:val="en-US" w:eastAsia="zh-CN"/>
        </w:rPr>
      </w:pPr>
      <w:r>
        <w:rPr>
          <w:rFonts w:hint="eastAsia"/>
          <w:color w:val="auto"/>
          <w:lang w:val="zh-CN" w:eastAsia="zh-CN"/>
        </w:rPr>
        <w:t>施工期对生态环境的影响主要表现为工程</w:t>
      </w:r>
      <w:r>
        <w:rPr>
          <w:rFonts w:hint="eastAsia"/>
          <w:color w:val="auto"/>
          <w:lang w:val="en-US" w:eastAsia="zh-CN"/>
        </w:rPr>
        <w:t>占地</w:t>
      </w:r>
      <w:r>
        <w:rPr>
          <w:rFonts w:hint="eastAsia"/>
          <w:color w:val="auto"/>
          <w:lang w:val="zh-CN" w:eastAsia="zh-CN"/>
        </w:rPr>
        <w:t>和弃土对陆域生态境影响。项目区陆生植物主要为工程沿线地带现有植被将受到破坏。经调查，</w:t>
      </w:r>
      <w:r>
        <w:rPr>
          <w:rFonts w:hint="eastAsia"/>
          <w:color w:val="auto"/>
          <w:lang w:val="en-US" w:eastAsia="zh-CN"/>
        </w:rPr>
        <w:t>工程范围内</w:t>
      </w:r>
      <w:r>
        <w:rPr>
          <w:rFonts w:hint="eastAsia"/>
          <w:color w:val="auto"/>
          <w:lang w:val="zh-CN" w:eastAsia="zh-CN"/>
        </w:rPr>
        <w:t>的现有植被主要为一些野生</w:t>
      </w:r>
      <w:r>
        <w:rPr>
          <w:rFonts w:hint="eastAsia"/>
          <w:color w:val="auto"/>
          <w:lang w:val="en-US" w:eastAsia="zh-CN"/>
        </w:rPr>
        <w:t>草本及灌丛</w:t>
      </w:r>
      <w:r>
        <w:rPr>
          <w:rFonts w:hint="eastAsia"/>
          <w:color w:val="auto"/>
          <w:lang w:val="zh-CN" w:eastAsia="zh-CN"/>
        </w:rPr>
        <w:t>等，在评价范围内没有古树名木。因此本工程建设不会对沿线植被产生长远的破坏性影响。施工结束后，</w:t>
      </w:r>
      <w:r>
        <w:rPr>
          <w:rFonts w:hint="eastAsia"/>
          <w:color w:val="auto"/>
          <w:lang w:val="en-US" w:eastAsia="zh-CN"/>
        </w:rPr>
        <w:t>及时进行生态恢复。</w:t>
      </w:r>
    </w:p>
    <w:p w14:paraId="64E527E6">
      <w:pPr>
        <w:pStyle w:val="4"/>
        <w:bidi w:val="0"/>
        <w:rPr>
          <w:rFonts w:hint="eastAsia"/>
          <w:color w:val="auto"/>
          <w:lang w:val="zh-CN" w:eastAsia="zh-CN"/>
        </w:rPr>
      </w:pPr>
      <w:bookmarkStart w:id="239" w:name="_Toc4669"/>
      <w:r>
        <w:rPr>
          <w:rFonts w:hint="eastAsia"/>
          <w:color w:val="auto"/>
          <w:lang w:val="zh-CN" w:eastAsia="zh-CN"/>
        </w:rPr>
        <w:t>水土流失影响</w:t>
      </w:r>
      <w:bookmarkEnd w:id="239"/>
    </w:p>
    <w:p w14:paraId="50D5DD98">
      <w:pPr>
        <w:bidi w:val="0"/>
        <w:rPr>
          <w:rFonts w:hint="eastAsia"/>
          <w:color w:val="auto"/>
          <w:lang w:val="zh-CN" w:eastAsia="zh-CN"/>
        </w:rPr>
      </w:pPr>
      <w:r>
        <w:rPr>
          <w:rFonts w:hint="eastAsia"/>
          <w:color w:val="auto"/>
          <w:lang w:val="zh-CN" w:eastAsia="zh-CN"/>
        </w:rPr>
        <w:t>项目</w:t>
      </w:r>
      <w:r>
        <w:rPr>
          <w:rFonts w:hint="eastAsia"/>
          <w:color w:val="auto"/>
          <w:lang w:val="en-US" w:eastAsia="zh-CN"/>
        </w:rPr>
        <w:t>施工期</w:t>
      </w:r>
      <w:r>
        <w:rPr>
          <w:rFonts w:hint="eastAsia"/>
          <w:color w:val="auto"/>
          <w:lang w:val="zh-CN" w:eastAsia="zh-CN"/>
        </w:rPr>
        <w:t>扰动现有地貌，使大量表土裸露呈松散状态，抗蚀能力减弱，致使土壤侵蚀模数增大，加剧区域内水土流失趋势。同时，施工中大量散状物如砂石、水泥堆积产生的扬尘，产生新的水土流失。建设单位尽量缩小开挖面积，降低开挖面坡度，尽量做到随挖、随整、随填、随夯、随运，减少松土储量，争取各工程区挖填方充分利用，充分利用弃方，避免弃方外运造成新的水土流失。在采取本次评价提出的措施后，施工期的水土流失影响将得到有效控制，此外，施工场地的水土流失大多发生在施工前期，随着施工期的进展，水土流失将大大减小，其影响也将逐渐减弱。</w:t>
      </w:r>
    </w:p>
    <w:p w14:paraId="5F1813F7">
      <w:pPr>
        <w:pStyle w:val="3"/>
        <w:bidi w:val="0"/>
        <w:rPr>
          <w:rFonts w:hint="eastAsia"/>
          <w:color w:val="auto"/>
          <w:lang w:val="zh-CN"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upperRoman"/>
          <w:cols w:space="0" w:num="1"/>
          <w:rtlGutter w:val="0"/>
          <w:docGrid w:type="lines" w:linePitch="332" w:charSpace="0"/>
        </w:sectPr>
      </w:pPr>
    </w:p>
    <w:p w14:paraId="754F175A">
      <w:pPr>
        <w:pStyle w:val="3"/>
        <w:bidi w:val="0"/>
        <w:ind w:left="480" w:leftChars="0" w:firstLineChars="0"/>
        <w:rPr>
          <w:rFonts w:hint="eastAsia"/>
          <w:color w:val="auto"/>
          <w:lang w:val="zh-CN" w:eastAsia="zh-CN"/>
        </w:rPr>
      </w:pPr>
      <w:bookmarkStart w:id="240" w:name="_Toc18993"/>
      <w:r>
        <w:rPr>
          <w:rFonts w:hint="eastAsia"/>
          <w:color w:val="auto"/>
          <w:lang w:val="zh-CN" w:eastAsia="zh-CN"/>
        </w:rPr>
        <w:t>环境保护竣工验收</w:t>
      </w:r>
      <w:bookmarkEnd w:id="240"/>
    </w:p>
    <w:p w14:paraId="2EA20737">
      <w:pPr>
        <w:bidi w:val="0"/>
        <w:rPr>
          <w:rFonts w:hint="eastAsia"/>
          <w:color w:val="auto"/>
          <w:lang w:val="zh-CN" w:eastAsia="zh-CN"/>
        </w:rPr>
      </w:pPr>
      <w:r>
        <w:rPr>
          <w:rFonts w:hint="eastAsia"/>
          <w:color w:val="auto"/>
          <w:lang w:val="zh-CN" w:eastAsia="zh-CN"/>
        </w:rPr>
        <w:t>根据工程建设环境影响以及相应的环境保护措施，建议项目“三同时”验收一览表见</w:t>
      </w:r>
      <w:r>
        <w:rPr>
          <w:rFonts w:hint="eastAsia"/>
          <w:color w:val="auto"/>
          <w:lang w:val="en-US" w:eastAsia="zh-CN"/>
        </w:rPr>
        <w:t>下表</w:t>
      </w:r>
      <w:r>
        <w:rPr>
          <w:rFonts w:hint="eastAsia"/>
          <w:color w:val="auto"/>
          <w:lang w:val="zh-CN" w:eastAsia="zh-CN"/>
        </w:rPr>
        <w:t>。</w:t>
      </w:r>
    </w:p>
    <w:p w14:paraId="25B9AFFD">
      <w:pPr>
        <w:pStyle w:val="11"/>
        <w:bidi w:val="0"/>
      </w:pPr>
      <w:r>
        <w:t>表</w:t>
      </w:r>
      <w:r>
        <w:fldChar w:fldCharType="begin"/>
      </w:r>
      <w:r>
        <w:instrText xml:space="preserve"> STYLEREF 2 \s </w:instrText>
      </w:r>
      <w:r>
        <w:fldChar w:fldCharType="separate"/>
      </w:r>
      <w:r>
        <w:t>9.7</w:t>
      </w:r>
      <w:r>
        <w:fldChar w:fldCharType="end"/>
      </w:r>
      <w:r>
        <w:rPr>
          <w:rFonts w:hint="eastAsia"/>
          <w:lang w:eastAsia="zh-CN"/>
        </w:rPr>
        <w:t>-</w:t>
      </w:r>
      <w:r>
        <w:fldChar w:fldCharType="begin"/>
      </w:r>
      <w:r>
        <w:instrText xml:space="preserve"> SEQ 表 \* ARABIC \s 2 </w:instrText>
      </w:r>
      <w:r>
        <w:fldChar w:fldCharType="separate"/>
      </w:r>
      <w:r>
        <w:t>1</w:t>
      </w:r>
      <w:r>
        <w:fldChar w:fldCharType="end"/>
      </w:r>
      <w:r>
        <w:rPr>
          <w:rFonts w:hint="eastAsia"/>
          <w:lang w:val="zh-CN" w:eastAsia="zh-CN"/>
        </w:rPr>
        <w:t>项目环保措施“三同时”验收一览表</w:t>
      </w:r>
    </w:p>
    <w:tbl>
      <w:tblPr>
        <w:tblStyle w:val="33"/>
        <w:tblW w:w="50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3"/>
        <w:gridCol w:w="1004"/>
        <w:gridCol w:w="1770"/>
        <w:gridCol w:w="7238"/>
        <w:gridCol w:w="2460"/>
        <w:gridCol w:w="806"/>
      </w:tblGrid>
      <w:tr w14:paraId="2BAF9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Align w:val="center"/>
          </w:tcPr>
          <w:p w14:paraId="5C1C0260">
            <w:pPr>
              <w:pStyle w:val="31"/>
              <w:widowControl w:val="0"/>
              <w:bidi w:val="0"/>
              <w:rPr>
                <w:color w:val="auto"/>
                <w:lang w:eastAsia="en-US"/>
              </w:rPr>
            </w:pPr>
            <w:r>
              <w:rPr>
                <w:color w:val="auto"/>
                <w:lang w:eastAsia="en-US"/>
              </w:rPr>
              <w:t>工期</w:t>
            </w:r>
          </w:p>
        </w:tc>
        <w:tc>
          <w:tcPr>
            <w:tcW w:w="358" w:type="pct"/>
            <w:vAlign w:val="center"/>
          </w:tcPr>
          <w:p w14:paraId="56E58B62">
            <w:pPr>
              <w:pStyle w:val="31"/>
              <w:widowControl w:val="0"/>
              <w:bidi w:val="0"/>
              <w:rPr>
                <w:color w:val="auto"/>
                <w:lang w:eastAsia="en-US"/>
              </w:rPr>
            </w:pPr>
            <w:r>
              <w:rPr>
                <w:color w:val="auto"/>
                <w:lang w:eastAsia="en-US"/>
              </w:rPr>
              <w:t>污染源</w:t>
            </w:r>
          </w:p>
        </w:tc>
        <w:tc>
          <w:tcPr>
            <w:tcW w:w="631" w:type="pct"/>
            <w:vAlign w:val="center"/>
          </w:tcPr>
          <w:p w14:paraId="00BB04EA">
            <w:pPr>
              <w:pStyle w:val="31"/>
              <w:widowControl w:val="0"/>
              <w:bidi w:val="0"/>
              <w:rPr>
                <w:color w:val="auto"/>
                <w:lang w:eastAsia="en-US"/>
              </w:rPr>
            </w:pPr>
            <w:r>
              <w:rPr>
                <w:color w:val="auto"/>
                <w:lang w:eastAsia="en-US"/>
              </w:rPr>
              <w:t>治理对象</w:t>
            </w:r>
          </w:p>
        </w:tc>
        <w:tc>
          <w:tcPr>
            <w:tcW w:w="2580" w:type="pct"/>
            <w:vAlign w:val="center"/>
          </w:tcPr>
          <w:p w14:paraId="577DF6AB">
            <w:pPr>
              <w:pStyle w:val="31"/>
              <w:widowControl w:val="0"/>
              <w:bidi w:val="0"/>
              <w:rPr>
                <w:color w:val="auto"/>
                <w:lang w:eastAsia="en-US"/>
              </w:rPr>
            </w:pPr>
            <w:r>
              <w:rPr>
                <w:color w:val="auto"/>
                <w:lang w:eastAsia="en-US"/>
              </w:rPr>
              <w:t>处理措施</w:t>
            </w:r>
          </w:p>
        </w:tc>
        <w:tc>
          <w:tcPr>
            <w:tcW w:w="877" w:type="pct"/>
            <w:vAlign w:val="center"/>
          </w:tcPr>
          <w:p w14:paraId="508CF7ED">
            <w:pPr>
              <w:pStyle w:val="31"/>
              <w:widowControl w:val="0"/>
              <w:bidi w:val="0"/>
              <w:rPr>
                <w:rFonts w:hint="default" w:eastAsia="宋体"/>
                <w:color w:val="auto"/>
                <w:lang w:val="en-US" w:eastAsia="zh-CN"/>
              </w:rPr>
            </w:pPr>
            <w:r>
              <w:rPr>
                <w:rFonts w:hint="eastAsia"/>
                <w:color w:val="auto"/>
                <w:lang w:val="en-US" w:eastAsia="zh-CN"/>
              </w:rPr>
              <w:t>达到效果</w:t>
            </w:r>
          </w:p>
        </w:tc>
        <w:tc>
          <w:tcPr>
            <w:tcW w:w="287" w:type="pct"/>
            <w:vAlign w:val="center"/>
          </w:tcPr>
          <w:p w14:paraId="6023BABC">
            <w:pPr>
              <w:pStyle w:val="31"/>
              <w:widowControl w:val="0"/>
              <w:bidi w:val="0"/>
              <w:rPr>
                <w:color w:val="auto"/>
                <w:lang w:eastAsia="en-US"/>
              </w:rPr>
            </w:pPr>
            <w:r>
              <w:rPr>
                <w:color w:val="auto"/>
                <w:lang w:eastAsia="en-US"/>
              </w:rPr>
              <w:t>进度</w:t>
            </w:r>
          </w:p>
        </w:tc>
      </w:tr>
      <w:tr w14:paraId="2E2DE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restart"/>
            <w:vAlign w:val="center"/>
          </w:tcPr>
          <w:p w14:paraId="4F16F3E7">
            <w:pPr>
              <w:pStyle w:val="31"/>
              <w:widowControl w:val="0"/>
              <w:bidi w:val="0"/>
              <w:rPr>
                <w:color w:val="auto"/>
                <w:lang w:eastAsia="en-US"/>
              </w:rPr>
            </w:pPr>
            <w:r>
              <w:rPr>
                <w:color w:val="auto"/>
                <w:lang w:eastAsia="en-US"/>
              </w:rPr>
              <w:t>施</w:t>
            </w:r>
          </w:p>
          <w:p w14:paraId="1C9FD048">
            <w:pPr>
              <w:pStyle w:val="31"/>
              <w:widowControl w:val="0"/>
              <w:bidi w:val="0"/>
              <w:rPr>
                <w:color w:val="auto"/>
                <w:lang w:eastAsia="en-US"/>
              </w:rPr>
            </w:pPr>
            <w:r>
              <w:rPr>
                <w:color w:val="auto"/>
                <w:lang w:eastAsia="en-US"/>
              </w:rPr>
              <w:t>工</w:t>
            </w:r>
          </w:p>
          <w:p w14:paraId="68E675CE">
            <w:pPr>
              <w:pStyle w:val="31"/>
              <w:widowControl w:val="0"/>
              <w:bidi w:val="0"/>
              <w:rPr>
                <w:color w:val="auto"/>
                <w:lang w:eastAsia="en-US"/>
              </w:rPr>
            </w:pPr>
            <w:r>
              <w:rPr>
                <w:color w:val="auto"/>
                <w:lang w:eastAsia="en-US"/>
              </w:rPr>
              <w:t>期</w:t>
            </w:r>
          </w:p>
        </w:tc>
        <w:tc>
          <w:tcPr>
            <w:tcW w:w="358" w:type="pct"/>
            <w:vMerge w:val="restart"/>
            <w:vAlign w:val="center"/>
          </w:tcPr>
          <w:p w14:paraId="734BD8AC">
            <w:pPr>
              <w:pStyle w:val="31"/>
              <w:widowControl w:val="0"/>
              <w:bidi w:val="0"/>
              <w:rPr>
                <w:color w:val="auto"/>
                <w:lang w:eastAsia="en-US"/>
              </w:rPr>
            </w:pPr>
            <w:r>
              <w:rPr>
                <w:color w:val="auto"/>
                <w:lang w:eastAsia="en-US"/>
              </w:rPr>
              <w:t>废水</w:t>
            </w:r>
          </w:p>
        </w:tc>
        <w:tc>
          <w:tcPr>
            <w:tcW w:w="631" w:type="pct"/>
            <w:vAlign w:val="center"/>
          </w:tcPr>
          <w:p w14:paraId="255EFA74">
            <w:pPr>
              <w:pStyle w:val="31"/>
              <w:widowControl w:val="0"/>
              <w:bidi w:val="0"/>
              <w:rPr>
                <w:color w:val="auto"/>
                <w:lang w:eastAsia="en-US"/>
              </w:rPr>
            </w:pPr>
            <w:r>
              <w:rPr>
                <w:color w:val="auto"/>
                <w:lang w:eastAsia="en-US"/>
              </w:rPr>
              <w:t>施工生活污水</w:t>
            </w:r>
          </w:p>
        </w:tc>
        <w:tc>
          <w:tcPr>
            <w:tcW w:w="2580" w:type="pct"/>
            <w:vAlign w:val="center"/>
          </w:tcPr>
          <w:p w14:paraId="48618F9A">
            <w:pPr>
              <w:pStyle w:val="31"/>
              <w:widowControl w:val="0"/>
              <w:bidi w:val="0"/>
              <w:rPr>
                <w:color w:val="auto"/>
                <w:lang w:eastAsia="zh-CN"/>
              </w:rPr>
            </w:pPr>
            <w:r>
              <w:rPr>
                <w:color w:val="auto"/>
                <w:highlight w:val="none"/>
                <w:lang w:eastAsia="zh-CN"/>
              </w:rPr>
              <w:t>项目不设置施工营地，施工人员食宿就近租用民房，施工人员生活污水经民房污水处理系统处理后用于农田施肥和灌溉，不外排</w:t>
            </w:r>
          </w:p>
        </w:tc>
        <w:tc>
          <w:tcPr>
            <w:tcW w:w="877" w:type="pct"/>
            <w:vAlign w:val="center"/>
          </w:tcPr>
          <w:p w14:paraId="64DD1E54">
            <w:pPr>
              <w:pStyle w:val="31"/>
              <w:widowControl w:val="0"/>
              <w:bidi w:val="0"/>
              <w:ind w:firstLine="0" w:firstLineChars="0"/>
              <w:rPr>
                <w:rFonts w:ascii="Times New Roman" w:hAnsi="Times New Roman" w:eastAsia="宋体" w:cs="Times New Roman"/>
                <w:bCs/>
                <w:color w:val="auto"/>
                <w:sz w:val="21"/>
                <w:szCs w:val="21"/>
                <w:lang w:eastAsia="zh-CN"/>
              </w:rPr>
            </w:pPr>
            <w:r>
              <w:rPr>
                <w:color w:val="auto"/>
                <w:lang w:eastAsia="zh-CN"/>
              </w:rPr>
              <w:t>施工人员生活污水经民房污水处理系统处理后用于农田施肥和灌溉，不外排</w:t>
            </w:r>
          </w:p>
        </w:tc>
        <w:tc>
          <w:tcPr>
            <w:tcW w:w="287" w:type="pct"/>
            <w:vMerge w:val="restart"/>
            <w:vAlign w:val="center"/>
          </w:tcPr>
          <w:p w14:paraId="40134D9B">
            <w:pPr>
              <w:pStyle w:val="31"/>
              <w:widowControl w:val="0"/>
              <w:bidi w:val="0"/>
              <w:rPr>
                <w:color w:val="auto"/>
                <w:lang w:eastAsia="en-US"/>
              </w:rPr>
            </w:pPr>
            <w:r>
              <w:rPr>
                <w:color w:val="auto"/>
                <w:lang w:eastAsia="zh-CN"/>
              </w:rPr>
              <w:t>与主体工程同时设计，同时</w:t>
            </w:r>
            <w:r>
              <w:rPr>
                <w:color w:val="auto"/>
                <w:lang w:eastAsia="en-US"/>
              </w:rPr>
              <w:t>施工，同时投产使用</w:t>
            </w:r>
          </w:p>
        </w:tc>
      </w:tr>
      <w:tr w14:paraId="4380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36A19D8B">
            <w:pPr>
              <w:pStyle w:val="31"/>
              <w:widowControl w:val="0"/>
              <w:bidi w:val="0"/>
              <w:rPr>
                <w:color w:val="auto"/>
                <w:lang w:eastAsia="en-US"/>
              </w:rPr>
            </w:pPr>
          </w:p>
        </w:tc>
        <w:tc>
          <w:tcPr>
            <w:tcW w:w="358" w:type="pct"/>
            <w:vMerge w:val="continue"/>
            <w:vAlign w:val="center"/>
          </w:tcPr>
          <w:p w14:paraId="53B8F7AD">
            <w:pPr>
              <w:pStyle w:val="31"/>
              <w:widowControl w:val="0"/>
              <w:bidi w:val="0"/>
              <w:rPr>
                <w:color w:val="auto"/>
                <w:lang w:eastAsia="en-US"/>
              </w:rPr>
            </w:pPr>
          </w:p>
        </w:tc>
        <w:tc>
          <w:tcPr>
            <w:tcW w:w="631" w:type="pct"/>
            <w:vAlign w:val="center"/>
          </w:tcPr>
          <w:p w14:paraId="0C44E2D7">
            <w:pPr>
              <w:pStyle w:val="31"/>
              <w:widowControl w:val="0"/>
              <w:bidi w:val="0"/>
              <w:rPr>
                <w:color w:val="auto"/>
                <w:lang w:eastAsia="zh-CN"/>
              </w:rPr>
            </w:pPr>
            <w:r>
              <w:rPr>
                <w:color w:val="auto"/>
                <w:lang w:eastAsia="zh-CN"/>
              </w:rPr>
              <w:t>施工车辆、设备冲洗废水</w:t>
            </w:r>
          </w:p>
        </w:tc>
        <w:tc>
          <w:tcPr>
            <w:tcW w:w="2580" w:type="pct"/>
            <w:vAlign w:val="center"/>
          </w:tcPr>
          <w:p w14:paraId="34F395BE">
            <w:pPr>
              <w:pStyle w:val="31"/>
              <w:widowControl w:val="0"/>
              <w:bidi w:val="0"/>
              <w:rPr>
                <w:rFonts w:hint="default"/>
                <w:color w:val="auto"/>
                <w:lang w:val="en-US" w:eastAsia="zh-CN"/>
              </w:rPr>
            </w:pPr>
            <w:r>
              <w:rPr>
                <w:color w:val="auto"/>
                <w:lang w:eastAsia="zh-CN"/>
              </w:rPr>
              <w:t>建设隔油沉淀处理系统处理达标后回用，废油交由有资质的相关单位进行收集转运</w:t>
            </w:r>
            <w:r>
              <w:rPr>
                <w:rFonts w:hint="eastAsia"/>
                <w:color w:val="auto"/>
                <w:lang w:eastAsia="zh-CN"/>
              </w:rPr>
              <w:t>，</w:t>
            </w:r>
            <w:r>
              <w:rPr>
                <w:rFonts w:hint="eastAsia"/>
                <w:color w:val="auto"/>
                <w:lang w:val="en-US" w:eastAsia="zh-CN"/>
              </w:rPr>
              <w:t>不在厂区暂存</w:t>
            </w:r>
          </w:p>
        </w:tc>
        <w:tc>
          <w:tcPr>
            <w:tcW w:w="877" w:type="pct"/>
            <w:vAlign w:val="center"/>
          </w:tcPr>
          <w:p w14:paraId="35A97E4F">
            <w:pPr>
              <w:pStyle w:val="31"/>
              <w:widowControl w:val="0"/>
              <w:bidi w:val="0"/>
              <w:ind w:firstLine="0" w:firstLineChars="0"/>
              <w:rPr>
                <w:rFonts w:ascii="Times New Roman" w:hAnsi="Times New Roman" w:eastAsia="宋体" w:cs="Times New Roman"/>
                <w:bCs/>
                <w:color w:val="auto"/>
                <w:sz w:val="21"/>
                <w:szCs w:val="21"/>
                <w:lang w:eastAsia="zh-CN"/>
              </w:rPr>
            </w:pPr>
            <w:r>
              <w:rPr>
                <w:rFonts w:hint="eastAsia"/>
                <w:color w:val="auto"/>
                <w:lang w:eastAsia="zh-CN"/>
              </w:rPr>
              <w:t>隔油沉淀处理</w:t>
            </w:r>
            <w:r>
              <w:rPr>
                <w:rFonts w:hint="eastAsia"/>
                <w:color w:val="auto"/>
                <w:lang w:val="en-US" w:eastAsia="zh-CN"/>
              </w:rPr>
              <w:t>后</w:t>
            </w:r>
            <w:r>
              <w:rPr>
                <w:color w:val="auto"/>
                <w:lang w:eastAsia="zh-CN"/>
              </w:rPr>
              <w:t>，废油全部回收交由资质单位收集，废水回用于洒水降尘，不外排</w:t>
            </w:r>
          </w:p>
        </w:tc>
        <w:tc>
          <w:tcPr>
            <w:tcW w:w="287" w:type="pct"/>
            <w:vMerge w:val="continue"/>
            <w:vAlign w:val="center"/>
          </w:tcPr>
          <w:p w14:paraId="7F3ED71B">
            <w:pPr>
              <w:pStyle w:val="31"/>
              <w:widowControl w:val="0"/>
              <w:bidi w:val="0"/>
              <w:rPr>
                <w:color w:val="auto"/>
                <w:lang w:eastAsia="zh-CN"/>
              </w:rPr>
            </w:pPr>
          </w:p>
        </w:tc>
      </w:tr>
      <w:tr w14:paraId="383D7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2F2980BD">
            <w:pPr>
              <w:pStyle w:val="31"/>
              <w:widowControl w:val="0"/>
              <w:bidi w:val="0"/>
              <w:rPr>
                <w:color w:val="auto"/>
                <w:lang w:eastAsia="zh-CN"/>
              </w:rPr>
            </w:pPr>
          </w:p>
        </w:tc>
        <w:tc>
          <w:tcPr>
            <w:tcW w:w="358" w:type="pct"/>
            <w:vMerge w:val="continue"/>
            <w:vAlign w:val="center"/>
          </w:tcPr>
          <w:p w14:paraId="59D08E06">
            <w:pPr>
              <w:pStyle w:val="31"/>
              <w:widowControl w:val="0"/>
              <w:bidi w:val="0"/>
              <w:rPr>
                <w:color w:val="auto"/>
                <w:lang w:eastAsia="zh-CN"/>
              </w:rPr>
            </w:pPr>
          </w:p>
        </w:tc>
        <w:tc>
          <w:tcPr>
            <w:tcW w:w="631" w:type="pct"/>
            <w:vAlign w:val="center"/>
          </w:tcPr>
          <w:p w14:paraId="16F48ADC">
            <w:pPr>
              <w:pStyle w:val="31"/>
              <w:widowControl w:val="0"/>
              <w:bidi w:val="0"/>
              <w:rPr>
                <w:color w:val="auto"/>
                <w:lang w:eastAsia="zh-CN"/>
              </w:rPr>
            </w:pPr>
            <w:r>
              <w:rPr>
                <w:color w:val="auto"/>
                <w:lang w:eastAsia="zh-CN"/>
              </w:rPr>
              <w:t>土方开挖</w:t>
            </w:r>
          </w:p>
        </w:tc>
        <w:tc>
          <w:tcPr>
            <w:tcW w:w="2580" w:type="pct"/>
            <w:vAlign w:val="center"/>
          </w:tcPr>
          <w:p w14:paraId="06CE2043">
            <w:pPr>
              <w:pStyle w:val="31"/>
              <w:widowControl w:val="0"/>
              <w:bidi w:val="0"/>
              <w:rPr>
                <w:color w:val="auto"/>
                <w:lang w:eastAsia="zh-CN"/>
              </w:rPr>
            </w:pPr>
            <w:r>
              <w:rPr>
                <w:color w:val="auto"/>
                <w:lang w:eastAsia="zh-CN"/>
              </w:rPr>
              <w:t>施工阶段避开雨季和洪期，遇见临时性大雨可根据情况施工或停工，缩短工程时间</w:t>
            </w:r>
          </w:p>
        </w:tc>
        <w:tc>
          <w:tcPr>
            <w:tcW w:w="877" w:type="pct"/>
            <w:vAlign w:val="center"/>
          </w:tcPr>
          <w:p w14:paraId="6AD29415">
            <w:pPr>
              <w:pStyle w:val="31"/>
              <w:widowControl w:val="0"/>
              <w:bidi w:val="0"/>
              <w:ind w:firstLine="0" w:firstLineChars="0"/>
              <w:rPr>
                <w:rFonts w:ascii="Times New Roman" w:hAnsi="Times New Roman" w:eastAsia="宋体" w:cs="Times New Roman"/>
                <w:bCs/>
                <w:color w:val="auto"/>
                <w:sz w:val="21"/>
                <w:szCs w:val="21"/>
                <w:lang w:eastAsia="en-US"/>
              </w:rPr>
            </w:pPr>
            <w:r>
              <w:rPr>
                <w:color w:val="auto"/>
                <w:lang w:eastAsia="zh-CN"/>
              </w:rPr>
              <w:t>不对地表水环境产生明显影响</w:t>
            </w:r>
          </w:p>
        </w:tc>
        <w:tc>
          <w:tcPr>
            <w:tcW w:w="287" w:type="pct"/>
            <w:vMerge w:val="continue"/>
            <w:vAlign w:val="center"/>
          </w:tcPr>
          <w:p w14:paraId="46EE0A18">
            <w:pPr>
              <w:pStyle w:val="31"/>
              <w:widowControl w:val="0"/>
              <w:bidi w:val="0"/>
              <w:rPr>
                <w:color w:val="auto"/>
                <w:lang w:eastAsia="zh-CN"/>
              </w:rPr>
            </w:pPr>
          </w:p>
        </w:tc>
      </w:tr>
      <w:tr w14:paraId="3F40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3472F362">
            <w:pPr>
              <w:pStyle w:val="31"/>
              <w:widowControl w:val="0"/>
              <w:bidi w:val="0"/>
              <w:rPr>
                <w:color w:val="auto"/>
                <w:lang w:eastAsia="zh-CN"/>
              </w:rPr>
            </w:pPr>
          </w:p>
        </w:tc>
        <w:tc>
          <w:tcPr>
            <w:tcW w:w="989" w:type="pct"/>
            <w:gridSpan w:val="2"/>
            <w:vAlign w:val="center"/>
          </w:tcPr>
          <w:p w14:paraId="255296B5">
            <w:pPr>
              <w:pStyle w:val="31"/>
              <w:widowControl w:val="0"/>
              <w:bidi w:val="0"/>
              <w:rPr>
                <w:color w:val="auto"/>
                <w:lang w:eastAsia="en-US"/>
              </w:rPr>
            </w:pPr>
            <w:r>
              <w:rPr>
                <w:color w:val="auto"/>
                <w:lang w:eastAsia="en-US"/>
              </w:rPr>
              <w:t>地下水保护</w:t>
            </w:r>
          </w:p>
        </w:tc>
        <w:tc>
          <w:tcPr>
            <w:tcW w:w="2580" w:type="pct"/>
            <w:vAlign w:val="center"/>
          </w:tcPr>
          <w:p w14:paraId="29307822">
            <w:pPr>
              <w:pStyle w:val="31"/>
              <w:widowControl w:val="0"/>
              <w:bidi w:val="0"/>
              <w:rPr>
                <w:color w:val="auto"/>
                <w:lang w:eastAsia="zh-CN"/>
              </w:rPr>
            </w:pPr>
            <w:r>
              <w:rPr>
                <w:color w:val="auto"/>
                <w:lang w:eastAsia="zh-CN"/>
              </w:rPr>
              <w:t>施工废水均进行收集处理，经隔油沉淀处理后回用，不直接外排，施工期生活污水经租住的民房的生活污水处理系统处理后用于农田灌溉，不外排。隔油沉淀池应采取黏土铺底，水泥硬化防渗措施。施工区域建筑材料临时堆放场所设置一定防渗区域，防止淋渗水对地下水环境影响。</w:t>
            </w:r>
          </w:p>
        </w:tc>
        <w:tc>
          <w:tcPr>
            <w:tcW w:w="877" w:type="pct"/>
            <w:vAlign w:val="center"/>
          </w:tcPr>
          <w:p w14:paraId="1D287B13">
            <w:pPr>
              <w:pStyle w:val="31"/>
              <w:widowControl w:val="0"/>
              <w:bidi w:val="0"/>
              <w:rPr>
                <w:rFonts w:hint="eastAsia" w:eastAsia="宋体"/>
                <w:color w:val="auto"/>
                <w:lang w:val="en-US" w:eastAsia="zh-CN"/>
              </w:rPr>
            </w:pPr>
            <w:r>
              <w:rPr>
                <w:rFonts w:hint="eastAsia"/>
                <w:color w:val="auto"/>
                <w:lang w:val="en-US" w:eastAsia="zh-CN"/>
              </w:rPr>
              <w:t>不外排</w:t>
            </w:r>
          </w:p>
        </w:tc>
        <w:tc>
          <w:tcPr>
            <w:tcW w:w="287" w:type="pct"/>
            <w:vMerge w:val="continue"/>
            <w:vAlign w:val="center"/>
          </w:tcPr>
          <w:p w14:paraId="0200964E">
            <w:pPr>
              <w:pStyle w:val="31"/>
              <w:widowControl w:val="0"/>
              <w:bidi w:val="0"/>
              <w:rPr>
                <w:color w:val="auto"/>
                <w:lang w:eastAsia="zh-CN"/>
              </w:rPr>
            </w:pPr>
          </w:p>
        </w:tc>
      </w:tr>
      <w:tr w14:paraId="2563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110356F4">
            <w:pPr>
              <w:pStyle w:val="31"/>
              <w:widowControl w:val="0"/>
              <w:bidi w:val="0"/>
              <w:rPr>
                <w:color w:val="auto"/>
                <w:lang w:eastAsia="zh-CN"/>
              </w:rPr>
            </w:pPr>
          </w:p>
        </w:tc>
        <w:tc>
          <w:tcPr>
            <w:tcW w:w="358" w:type="pct"/>
            <w:vMerge w:val="restart"/>
            <w:vAlign w:val="center"/>
          </w:tcPr>
          <w:p w14:paraId="5EA6200D">
            <w:pPr>
              <w:pStyle w:val="31"/>
              <w:widowControl w:val="0"/>
              <w:bidi w:val="0"/>
              <w:rPr>
                <w:color w:val="auto"/>
                <w:lang w:eastAsia="en-US"/>
              </w:rPr>
            </w:pPr>
            <w:r>
              <w:rPr>
                <w:color w:val="auto"/>
                <w:lang w:eastAsia="en-US"/>
              </w:rPr>
              <w:t>废气</w:t>
            </w:r>
          </w:p>
        </w:tc>
        <w:tc>
          <w:tcPr>
            <w:tcW w:w="631" w:type="pct"/>
            <w:vAlign w:val="center"/>
          </w:tcPr>
          <w:p w14:paraId="4EBF54C3">
            <w:pPr>
              <w:pStyle w:val="31"/>
              <w:widowControl w:val="0"/>
              <w:bidi w:val="0"/>
              <w:rPr>
                <w:color w:val="auto"/>
                <w:lang w:eastAsia="en-US"/>
              </w:rPr>
            </w:pPr>
            <w:r>
              <w:rPr>
                <w:color w:val="auto"/>
                <w:lang w:eastAsia="en-US"/>
              </w:rPr>
              <w:t>施工机械燃油废气</w:t>
            </w:r>
          </w:p>
        </w:tc>
        <w:tc>
          <w:tcPr>
            <w:tcW w:w="2580" w:type="pct"/>
            <w:vAlign w:val="center"/>
          </w:tcPr>
          <w:p w14:paraId="00E8208F">
            <w:pPr>
              <w:pStyle w:val="31"/>
              <w:widowControl w:val="0"/>
              <w:bidi w:val="0"/>
              <w:rPr>
                <w:color w:val="auto"/>
                <w:lang w:eastAsia="zh-CN"/>
              </w:rPr>
            </w:pPr>
            <w:r>
              <w:rPr>
                <w:color w:val="auto"/>
                <w:lang w:eastAsia="zh-CN"/>
              </w:rPr>
              <w:t>选用环保型施工机械、车辆；加强施工机械、车辆维修保养；作好周边道路交通组织；敏感点附近减少燃油设备的使用，并采取分散设置方式等</w:t>
            </w:r>
          </w:p>
        </w:tc>
        <w:tc>
          <w:tcPr>
            <w:tcW w:w="877" w:type="pct"/>
            <w:vMerge w:val="restart"/>
            <w:vAlign w:val="center"/>
          </w:tcPr>
          <w:p w14:paraId="7B298958">
            <w:pPr>
              <w:pStyle w:val="31"/>
              <w:widowControl w:val="0"/>
              <w:bidi w:val="0"/>
              <w:ind w:firstLine="0" w:firstLineChars="0"/>
              <w:rPr>
                <w:rFonts w:ascii="Times New Roman" w:hAnsi="Times New Roman" w:eastAsia="宋体" w:cs="Times New Roman"/>
                <w:bCs/>
                <w:color w:val="auto"/>
                <w:sz w:val="21"/>
                <w:szCs w:val="21"/>
                <w:lang w:eastAsia="en-US"/>
              </w:rPr>
            </w:pPr>
            <w:r>
              <w:rPr>
                <w:rFonts w:hint="eastAsia"/>
                <w:color w:val="auto"/>
                <w:lang w:eastAsia="en-US"/>
              </w:rPr>
              <w:t>执行《大气污染物综合排放标准》（GB16297-1996）中无组织排放监控浓度限值</w:t>
            </w:r>
          </w:p>
        </w:tc>
        <w:tc>
          <w:tcPr>
            <w:tcW w:w="287" w:type="pct"/>
            <w:vMerge w:val="continue"/>
            <w:vAlign w:val="center"/>
          </w:tcPr>
          <w:p w14:paraId="319251F4">
            <w:pPr>
              <w:pStyle w:val="31"/>
              <w:widowControl w:val="0"/>
              <w:bidi w:val="0"/>
              <w:rPr>
                <w:color w:val="auto"/>
                <w:lang w:eastAsia="zh-CN"/>
              </w:rPr>
            </w:pPr>
          </w:p>
        </w:tc>
      </w:tr>
      <w:tr w14:paraId="74A4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108FFC2A">
            <w:pPr>
              <w:pStyle w:val="31"/>
              <w:widowControl w:val="0"/>
              <w:bidi w:val="0"/>
              <w:rPr>
                <w:color w:val="auto"/>
                <w:lang w:eastAsia="zh-CN"/>
              </w:rPr>
            </w:pPr>
          </w:p>
        </w:tc>
        <w:tc>
          <w:tcPr>
            <w:tcW w:w="358" w:type="pct"/>
            <w:vMerge w:val="continue"/>
            <w:vAlign w:val="center"/>
          </w:tcPr>
          <w:p w14:paraId="4BC9DBDB">
            <w:pPr>
              <w:pStyle w:val="31"/>
              <w:widowControl w:val="0"/>
              <w:bidi w:val="0"/>
              <w:rPr>
                <w:color w:val="auto"/>
                <w:lang w:eastAsia="zh-CN"/>
              </w:rPr>
            </w:pPr>
          </w:p>
        </w:tc>
        <w:tc>
          <w:tcPr>
            <w:tcW w:w="631" w:type="pct"/>
            <w:vAlign w:val="center"/>
          </w:tcPr>
          <w:p w14:paraId="770ADDC8">
            <w:pPr>
              <w:pStyle w:val="31"/>
              <w:widowControl w:val="0"/>
              <w:bidi w:val="0"/>
              <w:rPr>
                <w:color w:val="auto"/>
                <w:lang w:eastAsia="en-US"/>
              </w:rPr>
            </w:pPr>
            <w:r>
              <w:rPr>
                <w:color w:val="auto"/>
                <w:lang w:eastAsia="en-US"/>
              </w:rPr>
              <w:t>施工扬尘控制措施</w:t>
            </w:r>
          </w:p>
        </w:tc>
        <w:tc>
          <w:tcPr>
            <w:tcW w:w="2580" w:type="pct"/>
            <w:vAlign w:val="center"/>
          </w:tcPr>
          <w:p w14:paraId="4498FF03">
            <w:pPr>
              <w:pStyle w:val="31"/>
              <w:widowControl w:val="0"/>
              <w:bidi w:val="0"/>
              <w:rPr>
                <w:color w:val="auto"/>
                <w:lang w:eastAsia="zh-CN"/>
              </w:rPr>
            </w:pPr>
            <w:r>
              <w:rPr>
                <w:color w:val="auto"/>
                <w:lang w:eastAsia="zh-CN"/>
              </w:rPr>
              <w:t>避免大风天气土料开挖；洒水降尘；物料集中堆放，采取围挡、遮盖等措施；敏感点附近避免大风天气施工、增加非雨日洒水降尘次数等</w:t>
            </w:r>
          </w:p>
        </w:tc>
        <w:tc>
          <w:tcPr>
            <w:tcW w:w="877" w:type="pct"/>
            <w:vMerge w:val="continue"/>
            <w:vAlign w:val="center"/>
          </w:tcPr>
          <w:p w14:paraId="7884DB85">
            <w:pPr>
              <w:pStyle w:val="31"/>
              <w:widowControl w:val="0"/>
              <w:bidi w:val="0"/>
              <w:ind w:firstLine="0" w:firstLineChars="0"/>
              <w:rPr>
                <w:rFonts w:ascii="Times New Roman" w:hAnsi="Times New Roman" w:eastAsia="宋体" w:cs="Times New Roman"/>
                <w:bCs/>
                <w:color w:val="auto"/>
                <w:sz w:val="21"/>
                <w:szCs w:val="21"/>
                <w:lang w:eastAsia="en-US"/>
              </w:rPr>
            </w:pPr>
          </w:p>
        </w:tc>
        <w:tc>
          <w:tcPr>
            <w:tcW w:w="287" w:type="pct"/>
            <w:vMerge w:val="continue"/>
            <w:vAlign w:val="center"/>
          </w:tcPr>
          <w:p w14:paraId="003DB1FC">
            <w:pPr>
              <w:pStyle w:val="31"/>
              <w:widowControl w:val="0"/>
              <w:bidi w:val="0"/>
              <w:rPr>
                <w:color w:val="auto"/>
                <w:lang w:eastAsia="en-US"/>
              </w:rPr>
            </w:pPr>
          </w:p>
        </w:tc>
      </w:tr>
      <w:tr w14:paraId="136E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trPr>
        <w:tc>
          <w:tcPr>
            <w:tcW w:w="265" w:type="pct"/>
            <w:vMerge w:val="continue"/>
            <w:vAlign w:val="center"/>
          </w:tcPr>
          <w:p w14:paraId="0BE2F59A">
            <w:pPr>
              <w:pStyle w:val="31"/>
              <w:widowControl w:val="0"/>
              <w:bidi w:val="0"/>
              <w:rPr>
                <w:color w:val="auto"/>
                <w:lang w:eastAsia="en-US"/>
              </w:rPr>
            </w:pPr>
          </w:p>
        </w:tc>
        <w:tc>
          <w:tcPr>
            <w:tcW w:w="358" w:type="pct"/>
            <w:vMerge w:val="continue"/>
            <w:vAlign w:val="center"/>
          </w:tcPr>
          <w:p w14:paraId="03EAF1C6">
            <w:pPr>
              <w:pStyle w:val="31"/>
              <w:widowControl w:val="0"/>
              <w:bidi w:val="0"/>
              <w:rPr>
                <w:color w:val="auto"/>
                <w:lang w:eastAsia="en-US"/>
              </w:rPr>
            </w:pPr>
          </w:p>
        </w:tc>
        <w:tc>
          <w:tcPr>
            <w:tcW w:w="631" w:type="pct"/>
            <w:vAlign w:val="center"/>
          </w:tcPr>
          <w:p w14:paraId="3A6840BC">
            <w:pPr>
              <w:pStyle w:val="31"/>
              <w:widowControl w:val="0"/>
              <w:bidi w:val="0"/>
              <w:rPr>
                <w:color w:val="auto"/>
                <w:lang w:eastAsia="en-US"/>
              </w:rPr>
            </w:pPr>
            <w:r>
              <w:rPr>
                <w:color w:val="auto"/>
                <w:lang w:eastAsia="en-US"/>
              </w:rPr>
              <w:t>交通扬尘控制措施</w:t>
            </w:r>
          </w:p>
        </w:tc>
        <w:tc>
          <w:tcPr>
            <w:tcW w:w="2580" w:type="pct"/>
            <w:vAlign w:val="center"/>
          </w:tcPr>
          <w:p w14:paraId="1BFF1EA9">
            <w:pPr>
              <w:pStyle w:val="31"/>
              <w:widowControl w:val="0"/>
              <w:bidi w:val="0"/>
              <w:rPr>
                <w:color w:val="auto"/>
                <w:lang w:eastAsia="zh-CN"/>
              </w:rPr>
            </w:pPr>
            <w:r>
              <w:rPr>
                <w:color w:val="auto"/>
                <w:lang w:eastAsia="zh-CN"/>
              </w:rPr>
              <w:t>对施工道路区进行洒水降尘；保持车辆出入路面清洁、限速；</w:t>
            </w:r>
          </w:p>
          <w:p w14:paraId="7C26096F">
            <w:pPr>
              <w:pStyle w:val="31"/>
              <w:widowControl w:val="0"/>
              <w:bidi w:val="0"/>
              <w:rPr>
                <w:color w:val="auto"/>
                <w:lang w:eastAsia="zh-CN"/>
              </w:rPr>
            </w:pPr>
            <w:r>
              <w:rPr>
                <w:color w:val="auto"/>
                <w:lang w:eastAsia="zh-CN"/>
              </w:rPr>
              <w:t>物料运输进行防护，进行遮盖；尽量避开居民集中区；工作及运输车辆要保持密闭性；敏感点附近减速慢行、保持车辆</w:t>
            </w:r>
          </w:p>
          <w:p w14:paraId="18534001">
            <w:pPr>
              <w:pStyle w:val="31"/>
              <w:widowControl w:val="0"/>
              <w:bidi w:val="0"/>
              <w:rPr>
                <w:color w:val="auto"/>
                <w:lang w:eastAsia="en-US"/>
              </w:rPr>
            </w:pPr>
            <w:r>
              <w:rPr>
                <w:color w:val="auto"/>
                <w:lang w:eastAsia="en-US"/>
              </w:rPr>
              <w:t>轮胎的冲洗</w:t>
            </w:r>
          </w:p>
        </w:tc>
        <w:tc>
          <w:tcPr>
            <w:tcW w:w="877" w:type="pct"/>
            <w:vMerge w:val="continue"/>
            <w:vAlign w:val="center"/>
          </w:tcPr>
          <w:p w14:paraId="1B2844BA">
            <w:pPr>
              <w:pStyle w:val="31"/>
              <w:widowControl w:val="0"/>
              <w:bidi w:val="0"/>
              <w:ind w:firstLine="0" w:firstLineChars="0"/>
              <w:rPr>
                <w:rFonts w:ascii="Times New Roman" w:hAnsi="Times New Roman" w:eastAsia="宋体" w:cs="Times New Roman"/>
                <w:bCs/>
                <w:color w:val="auto"/>
                <w:sz w:val="21"/>
                <w:szCs w:val="21"/>
                <w:lang w:eastAsia="en-US"/>
              </w:rPr>
            </w:pPr>
          </w:p>
        </w:tc>
        <w:tc>
          <w:tcPr>
            <w:tcW w:w="287" w:type="pct"/>
            <w:vMerge w:val="continue"/>
            <w:vAlign w:val="center"/>
          </w:tcPr>
          <w:p w14:paraId="06286002">
            <w:pPr>
              <w:pStyle w:val="31"/>
              <w:widowControl w:val="0"/>
              <w:bidi w:val="0"/>
              <w:rPr>
                <w:color w:val="auto"/>
                <w:lang w:eastAsia="en-US"/>
              </w:rPr>
            </w:pPr>
          </w:p>
        </w:tc>
      </w:tr>
      <w:tr w14:paraId="027C8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15D2D188">
            <w:pPr>
              <w:pStyle w:val="31"/>
              <w:widowControl w:val="0"/>
              <w:bidi w:val="0"/>
              <w:rPr>
                <w:color w:val="auto"/>
                <w:lang w:eastAsia="en-US"/>
              </w:rPr>
            </w:pPr>
          </w:p>
        </w:tc>
        <w:tc>
          <w:tcPr>
            <w:tcW w:w="358" w:type="pct"/>
            <w:vMerge w:val="continue"/>
            <w:vAlign w:val="center"/>
          </w:tcPr>
          <w:p w14:paraId="6654D30C">
            <w:pPr>
              <w:pStyle w:val="31"/>
              <w:widowControl w:val="0"/>
              <w:bidi w:val="0"/>
              <w:rPr>
                <w:color w:val="auto"/>
                <w:lang w:eastAsia="en-US"/>
              </w:rPr>
            </w:pPr>
          </w:p>
        </w:tc>
        <w:tc>
          <w:tcPr>
            <w:tcW w:w="631" w:type="pct"/>
            <w:vAlign w:val="center"/>
          </w:tcPr>
          <w:p w14:paraId="4493E0F0">
            <w:pPr>
              <w:pStyle w:val="31"/>
              <w:widowControl w:val="0"/>
              <w:bidi w:val="0"/>
              <w:rPr>
                <w:color w:val="auto"/>
                <w:lang w:eastAsia="zh-CN"/>
              </w:rPr>
            </w:pPr>
            <w:r>
              <w:rPr>
                <w:color w:val="auto"/>
                <w:lang w:eastAsia="zh-CN"/>
              </w:rPr>
              <w:t>底泥清淤恶臭控制措施</w:t>
            </w:r>
          </w:p>
        </w:tc>
        <w:tc>
          <w:tcPr>
            <w:tcW w:w="2580" w:type="pct"/>
            <w:vAlign w:val="center"/>
          </w:tcPr>
          <w:p w14:paraId="5C3D958F">
            <w:pPr>
              <w:pStyle w:val="31"/>
              <w:widowControl w:val="0"/>
              <w:bidi w:val="0"/>
              <w:rPr>
                <w:color w:val="auto"/>
                <w:lang w:eastAsia="zh-CN"/>
              </w:rPr>
            </w:pPr>
            <w:r>
              <w:rPr>
                <w:color w:val="auto"/>
                <w:lang w:eastAsia="zh-CN"/>
              </w:rPr>
              <w:t>工程选择在</w:t>
            </w:r>
            <w:r>
              <w:rPr>
                <w:rFonts w:hint="eastAsia"/>
                <w:color w:val="auto"/>
                <w:lang w:eastAsia="zh-CN"/>
              </w:rPr>
              <w:t>非汛期</w:t>
            </w:r>
            <w:r>
              <w:rPr>
                <w:color w:val="auto"/>
                <w:lang w:eastAsia="zh-CN"/>
              </w:rPr>
              <w:t>进行，做好底泥的综合</w:t>
            </w:r>
            <w:r>
              <w:rPr>
                <w:rFonts w:hint="eastAsia"/>
                <w:color w:val="auto"/>
                <w:lang w:val="en-US" w:eastAsia="zh-CN"/>
              </w:rPr>
              <w:t>处置</w:t>
            </w:r>
            <w:r>
              <w:rPr>
                <w:color w:val="auto"/>
                <w:lang w:eastAsia="zh-CN"/>
              </w:rPr>
              <w:t>工作；底泥应</w:t>
            </w:r>
            <w:r>
              <w:rPr>
                <w:rFonts w:hint="eastAsia"/>
                <w:color w:val="auto"/>
                <w:lang w:val="en-US" w:eastAsia="zh-CN"/>
              </w:rPr>
              <w:t>封闭</w:t>
            </w:r>
            <w:r>
              <w:rPr>
                <w:color w:val="auto"/>
                <w:lang w:eastAsia="zh-CN"/>
              </w:rPr>
              <w:t>运输，以防止沿途散落，影响城市景观</w:t>
            </w:r>
          </w:p>
        </w:tc>
        <w:tc>
          <w:tcPr>
            <w:tcW w:w="877" w:type="pct"/>
            <w:vAlign w:val="center"/>
          </w:tcPr>
          <w:p w14:paraId="61F24EF2">
            <w:pPr>
              <w:pStyle w:val="31"/>
              <w:widowControl w:val="0"/>
              <w:bidi w:val="0"/>
              <w:ind w:firstLine="0" w:firstLineChars="0"/>
              <w:rPr>
                <w:rFonts w:ascii="Times New Roman" w:hAnsi="Times New Roman" w:eastAsia="宋体" w:cs="Times New Roman"/>
                <w:bCs/>
                <w:color w:val="auto"/>
                <w:sz w:val="21"/>
                <w:szCs w:val="21"/>
                <w:lang w:eastAsia="en-US"/>
              </w:rPr>
            </w:pPr>
            <w:r>
              <w:rPr>
                <w:rFonts w:hint="eastAsia"/>
                <w:color w:val="auto"/>
                <w:lang w:eastAsia="en-US"/>
              </w:rPr>
              <w:t>执行《恶臭污染物排放标准》（GB14554-93）二级标准</w:t>
            </w:r>
          </w:p>
        </w:tc>
        <w:tc>
          <w:tcPr>
            <w:tcW w:w="287" w:type="pct"/>
            <w:vMerge w:val="continue"/>
            <w:vAlign w:val="center"/>
          </w:tcPr>
          <w:p w14:paraId="35CB60BA">
            <w:pPr>
              <w:pStyle w:val="31"/>
              <w:widowControl w:val="0"/>
              <w:bidi w:val="0"/>
              <w:rPr>
                <w:color w:val="auto"/>
                <w:lang w:eastAsia="en-US"/>
              </w:rPr>
            </w:pPr>
          </w:p>
        </w:tc>
      </w:tr>
      <w:tr w14:paraId="7C50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253F08E3">
            <w:pPr>
              <w:pStyle w:val="31"/>
              <w:widowControl w:val="0"/>
              <w:bidi w:val="0"/>
              <w:rPr>
                <w:color w:val="auto"/>
                <w:lang w:eastAsia="en-US"/>
              </w:rPr>
            </w:pPr>
          </w:p>
        </w:tc>
        <w:tc>
          <w:tcPr>
            <w:tcW w:w="358" w:type="pct"/>
            <w:vMerge w:val="restart"/>
            <w:vAlign w:val="center"/>
          </w:tcPr>
          <w:p w14:paraId="51BC61CE">
            <w:pPr>
              <w:pStyle w:val="31"/>
              <w:widowControl w:val="0"/>
              <w:bidi w:val="0"/>
              <w:rPr>
                <w:color w:val="auto"/>
                <w:lang w:eastAsia="en-US"/>
              </w:rPr>
            </w:pPr>
            <w:r>
              <w:rPr>
                <w:color w:val="auto"/>
                <w:lang w:eastAsia="en-US"/>
              </w:rPr>
              <w:t>噪声</w:t>
            </w:r>
          </w:p>
        </w:tc>
        <w:tc>
          <w:tcPr>
            <w:tcW w:w="631" w:type="pct"/>
            <w:vAlign w:val="center"/>
          </w:tcPr>
          <w:p w14:paraId="5C2C3CD1">
            <w:pPr>
              <w:pStyle w:val="31"/>
              <w:widowControl w:val="0"/>
              <w:bidi w:val="0"/>
              <w:rPr>
                <w:color w:val="auto"/>
                <w:lang w:eastAsia="en-US"/>
              </w:rPr>
            </w:pPr>
            <w:r>
              <w:rPr>
                <w:color w:val="auto"/>
                <w:lang w:eastAsia="en-US"/>
              </w:rPr>
              <w:t>施工噪声控制措施</w:t>
            </w:r>
          </w:p>
        </w:tc>
        <w:tc>
          <w:tcPr>
            <w:tcW w:w="2580" w:type="pct"/>
            <w:vAlign w:val="center"/>
          </w:tcPr>
          <w:p w14:paraId="53F604B9">
            <w:pPr>
              <w:pStyle w:val="31"/>
              <w:widowControl w:val="0"/>
              <w:bidi w:val="0"/>
              <w:rPr>
                <w:color w:val="auto"/>
                <w:lang w:eastAsia="zh-CN"/>
              </w:rPr>
            </w:pPr>
            <w:r>
              <w:rPr>
                <w:color w:val="auto"/>
                <w:lang w:eastAsia="zh-CN"/>
              </w:rPr>
              <w:t>敏感点附近禁止夜间施工；选用低噪声设备；加强设备保养；距离敏感点较近部分区域设隔声屏</w:t>
            </w:r>
          </w:p>
        </w:tc>
        <w:tc>
          <w:tcPr>
            <w:tcW w:w="877" w:type="pct"/>
            <w:vMerge w:val="restart"/>
            <w:vAlign w:val="center"/>
          </w:tcPr>
          <w:p w14:paraId="62BCB76C">
            <w:pPr>
              <w:pStyle w:val="31"/>
              <w:widowControl w:val="0"/>
              <w:bidi w:val="0"/>
              <w:ind w:firstLine="0" w:firstLineChars="0"/>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eastAsia="en-US"/>
              </w:rPr>
              <w:t>执行《建筑施工场界环境噪声排放标准》</w:t>
            </w:r>
            <w:r>
              <w:rPr>
                <w:rFonts w:hint="eastAsia" w:cs="Times New Roman"/>
                <w:bCs/>
                <w:color w:val="auto"/>
                <w:sz w:val="21"/>
                <w:szCs w:val="21"/>
                <w:lang w:eastAsia="zh-CN"/>
              </w:rPr>
              <w:t>（</w:t>
            </w:r>
            <w:r>
              <w:rPr>
                <w:rFonts w:hint="eastAsia" w:ascii="Times New Roman" w:hAnsi="Times New Roman" w:eastAsia="宋体" w:cs="Times New Roman"/>
                <w:bCs/>
                <w:color w:val="auto"/>
                <w:sz w:val="21"/>
                <w:szCs w:val="21"/>
                <w:lang w:eastAsia="en-US"/>
              </w:rPr>
              <w:t>GB12523-2011</w:t>
            </w:r>
            <w:r>
              <w:rPr>
                <w:rFonts w:hint="eastAsia" w:cs="Times New Roman"/>
                <w:bCs/>
                <w:color w:val="auto"/>
                <w:sz w:val="21"/>
                <w:szCs w:val="21"/>
                <w:lang w:eastAsia="zh-CN"/>
              </w:rPr>
              <w:t>）</w:t>
            </w:r>
            <w:r>
              <w:rPr>
                <w:rFonts w:hint="eastAsia" w:cs="Times New Roman"/>
                <w:bCs/>
                <w:color w:val="auto"/>
                <w:sz w:val="21"/>
                <w:szCs w:val="21"/>
                <w:lang w:val="en-US" w:eastAsia="zh-CN"/>
              </w:rPr>
              <w:t>中相关要求</w:t>
            </w:r>
          </w:p>
        </w:tc>
        <w:tc>
          <w:tcPr>
            <w:tcW w:w="287" w:type="pct"/>
            <w:vMerge w:val="continue"/>
            <w:vAlign w:val="center"/>
          </w:tcPr>
          <w:p w14:paraId="1C660262">
            <w:pPr>
              <w:pStyle w:val="31"/>
              <w:widowControl w:val="0"/>
              <w:bidi w:val="0"/>
              <w:rPr>
                <w:color w:val="auto"/>
                <w:lang w:eastAsia="zh-CN"/>
              </w:rPr>
            </w:pPr>
          </w:p>
        </w:tc>
      </w:tr>
      <w:tr w14:paraId="3760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3700402A">
            <w:pPr>
              <w:pStyle w:val="31"/>
              <w:widowControl w:val="0"/>
              <w:bidi w:val="0"/>
              <w:rPr>
                <w:color w:val="auto"/>
                <w:lang w:eastAsia="zh-CN"/>
              </w:rPr>
            </w:pPr>
          </w:p>
        </w:tc>
        <w:tc>
          <w:tcPr>
            <w:tcW w:w="358" w:type="pct"/>
            <w:vMerge w:val="continue"/>
            <w:vAlign w:val="center"/>
          </w:tcPr>
          <w:p w14:paraId="7308B8E0">
            <w:pPr>
              <w:pStyle w:val="31"/>
              <w:widowControl w:val="0"/>
              <w:bidi w:val="0"/>
              <w:rPr>
                <w:color w:val="auto"/>
                <w:lang w:eastAsia="zh-CN"/>
              </w:rPr>
            </w:pPr>
          </w:p>
        </w:tc>
        <w:tc>
          <w:tcPr>
            <w:tcW w:w="631" w:type="pct"/>
            <w:vAlign w:val="center"/>
          </w:tcPr>
          <w:p w14:paraId="26491FD7">
            <w:pPr>
              <w:pStyle w:val="31"/>
              <w:widowControl w:val="0"/>
              <w:bidi w:val="0"/>
              <w:rPr>
                <w:color w:val="auto"/>
                <w:lang w:eastAsia="en-US"/>
              </w:rPr>
            </w:pPr>
            <w:r>
              <w:rPr>
                <w:color w:val="auto"/>
                <w:lang w:eastAsia="en-US"/>
              </w:rPr>
              <w:t>交通噪声控制措施</w:t>
            </w:r>
          </w:p>
        </w:tc>
        <w:tc>
          <w:tcPr>
            <w:tcW w:w="2580" w:type="pct"/>
            <w:vAlign w:val="center"/>
          </w:tcPr>
          <w:p w14:paraId="70F79F68">
            <w:pPr>
              <w:pStyle w:val="31"/>
              <w:widowControl w:val="0"/>
              <w:bidi w:val="0"/>
              <w:rPr>
                <w:color w:val="auto"/>
                <w:lang w:eastAsia="zh-CN"/>
              </w:rPr>
            </w:pPr>
            <w:r>
              <w:rPr>
                <w:color w:val="auto"/>
                <w:lang w:eastAsia="zh-CN"/>
              </w:rPr>
              <w:t>交通管制措施，设警示牌和限速；道路养护和车辆维护；敏感点附近减速慢行，禁止鸣笛，减少出车频率，夜间禁止施工</w:t>
            </w:r>
          </w:p>
        </w:tc>
        <w:tc>
          <w:tcPr>
            <w:tcW w:w="877" w:type="pct"/>
            <w:vMerge w:val="continue"/>
            <w:vAlign w:val="center"/>
          </w:tcPr>
          <w:p w14:paraId="78E15357">
            <w:pPr>
              <w:pStyle w:val="31"/>
              <w:widowControl w:val="0"/>
              <w:bidi w:val="0"/>
              <w:ind w:firstLine="0" w:firstLineChars="0"/>
              <w:rPr>
                <w:rFonts w:ascii="Times New Roman" w:hAnsi="Times New Roman" w:eastAsia="宋体" w:cs="Times New Roman"/>
                <w:bCs/>
                <w:color w:val="auto"/>
                <w:sz w:val="21"/>
                <w:szCs w:val="21"/>
                <w:lang w:eastAsia="en-US"/>
              </w:rPr>
            </w:pPr>
          </w:p>
        </w:tc>
        <w:tc>
          <w:tcPr>
            <w:tcW w:w="287" w:type="pct"/>
            <w:vMerge w:val="continue"/>
            <w:vAlign w:val="center"/>
          </w:tcPr>
          <w:p w14:paraId="79117F0E">
            <w:pPr>
              <w:pStyle w:val="31"/>
              <w:widowControl w:val="0"/>
              <w:bidi w:val="0"/>
              <w:rPr>
                <w:color w:val="auto"/>
                <w:lang w:eastAsia="en-US"/>
              </w:rPr>
            </w:pPr>
          </w:p>
        </w:tc>
      </w:tr>
      <w:tr w14:paraId="4570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138D64E3">
            <w:pPr>
              <w:pStyle w:val="31"/>
              <w:widowControl w:val="0"/>
              <w:bidi w:val="0"/>
              <w:rPr>
                <w:color w:val="auto"/>
                <w:lang w:eastAsia="en-US"/>
              </w:rPr>
            </w:pPr>
          </w:p>
        </w:tc>
        <w:tc>
          <w:tcPr>
            <w:tcW w:w="358" w:type="pct"/>
            <w:vMerge w:val="restart"/>
            <w:vAlign w:val="center"/>
          </w:tcPr>
          <w:p w14:paraId="72381342">
            <w:pPr>
              <w:pStyle w:val="31"/>
              <w:widowControl w:val="0"/>
              <w:bidi w:val="0"/>
              <w:rPr>
                <w:color w:val="auto"/>
                <w:lang w:eastAsia="en-US"/>
              </w:rPr>
            </w:pPr>
            <w:r>
              <w:rPr>
                <w:color w:val="auto"/>
                <w:lang w:eastAsia="en-US"/>
              </w:rPr>
              <w:t>固废</w:t>
            </w:r>
          </w:p>
        </w:tc>
        <w:tc>
          <w:tcPr>
            <w:tcW w:w="631" w:type="pct"/>
            <w:vAlign w:val="center"/>
          </w:tcPr>
          <w:p w14:paraId="35040E83">
            <w:pPr>
              <w:pStyle w:val="31"/>
              <w:widowControl w:val="0"/>
              <w:bidi w:val="0"/>
              <w:rPr>
                <w:color w:val="auto"/>
                <w:lang w:eastAsia="en-US"/>
              </w:rPr>
            </w:pPr>
            <w:r>
              <w:rPr>
                <w:color w:val="auto"/>
                <w:lang w:eastAsia="en-US"/>
              </w:rPr>
              <w:t>工程弃（渣）土处理</w:t>
            </w:r>
          </w:p>
        </w:tc>
        <w:tc>
          <w:tcPr>
            <w:tcW w:w="2580" w:type="pct"/>
            <w:vAlign w:val="center"/>
          </w:tcPr>
          <w:p w14:paraId="413788A9">
            <w:pPr>
              <w:pStyle w:val="31"/>
              <w:widowControl w:val="0"/>
              <w:bidi w:val="0"/>
              <w:rPr>
                <w:color w:val="auto"/>
                <w:lang w:eastAsia="zh-CN"/>
              </w:rPr>
            </w:pPr>
            <w:r>
              <w:rPr>
                <w:color w:val="auto"/>
                <w:lang w:eastAsia="zh-CN"/>
              </w:rPr>
              <w:t>开挖的弃土石方及时运至弃土场，并进行翻晒后</w:t>
            </w:r>
            <w:r>
              <w:rPr>
                <w:rFonts w:hint="eastAsia"/>
                <w:color w:val="auto"/>
                <w:lang w:val="en-US" w:eastAsia="zh-CN"/>
              </w:rPr>
              <w:t>填埋绿化</w:t>
            </w:r>
            <w:r>
              <w:rPr>
                <w:color w:val="auto"/>
                <w:lang w:eastAsia="zh-CN"/>
              </w:rPr>
              <w:t>；建筑垃圾（废铁、废钢筋等进行人工分离，资源回收</w:t>
            </w:r>
          </w:p>
        </w:tc>
        <w:tc>
          <w:tcPr>
            <w:tcW w:w="877" w:type="pct"/>
            <w:vMerge w:val="restart"/>
            <w:vAlign w:val="center"/>
          </w:tcPr>
          <w:p w14:paraId="06673F70">
            <w:pPr>
              <w:pStyle w:val="31"/>
              <w:widowControl w:val="0"/>
              <w:bidi w:val="0"/>
              <w:rPr>
                <w:rFonts w:ascii="Times New Roman" w:hAnsi="Times New Roman" w:eastAsia="宋体" w:cs="Times New Roman"/>
                <w:bCs/>
                <w:color w:val="auto"/>
                <w:sz w:val="21"/>
                <w:szCs w:val="21"/>
                <w:lang w:eastAsia="zh-CN"/>
              </w:rPr>
            </w:pPr>
            <w:r>
              <w:rPr>
                <w:rFonts w:hint="eastAsia" w:ascii="Times New Roman" w:hAnsi="Times New Roman" w:eastAsia="宋体" w:cs="Times New Roman"/>
                <w:bCs/>
                <w:color w:val="auto"/>
                <w:sz w:val="21"/>
                <w:szCs w:val="21"/>
                <w:lang w:eastAsia="zh-CN"/>
              </w:rPr>
              <w:t>执行《一般工业固体废物贮存、处置的污染控制标准》（GB18599-2001）及2013年修改单要求</w:t>
            </w:r>
          </w:p>
        </w:tc>
        <w:tc>
          <w:tcPr>
            <w:tcW w:w="287" w:type="pct"/>
            <w:vMerge w:val="continue"/>
            <w:vAlign w:val="center"/>
          </w:tcPr>
          <w:p w14:paraId="37F04E01">
            <w:pPr>
              <w:pStyle w:val="31"/>
              <w:widowControl w:val="0"/>
              <w:bidi w:val="0"/>
              <w:rPr>
                <w:color w:val="auto"/>
                <w:lang w:eastAsia="zh-CN"/>
              </w:rPr>
            </w:pPr>
          </w:p>
        </w:tc>
      </w:tr>
      <w:tr w14:paraId="0571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265" w:type="pct"/>
            <w:vMerge w:val="continue"/>
            <w:vAlign w:val="center"/>
          </w:tcPr>
          <w:p w14:paraId="311D25F7">
            <w:pPr>
              <w:pStyle w:val="31"/>
              <w:widowControl w:val="0"/>
              <w:bidi w:val="0"/>
              <w:rPr>
                <w:color w:val="auto"/>
                <w:lang w:eastAsia="zh-CN"/>
              </w:rPr>
            </w:pPr>
          </w:p>
        </w:tc>
        <w:tc>
          <w:tcPr>
            <w:tcW w:w="358" w:type="pct"/>
            <w:vMerge w:val="continue"/>
            <w:vAlign w:val="center"/>
          </w:tcPr>
          <w:p w14:paraId="7E03FBDF">
            <w:pPr>
              <w:pStyle w:val="31"/>
              <w:widowControl w:val="0"/>
              <w:bidi w:val="0"/>
              <w:rPr>
                <w:color w:val="auto"/>
                <w:lang w:eastAsia="zh-CN"/>
              </w:rPr>
            </w:pPr>
          </w:p>
        </w:tc>
        <w:tc>
          <w:tcPr>
            <w:tcW w:w="631" w:type="pct"/>
            <w:vAlign w:val="center"/>
          </w:tcPr>
          <w:p w14:paraId="71C3505C">
            <w:pPr>
              <w:pStyle w:val="31"/>
              <w:widowControl w:val="0"/>
              <w:bidi w:val="0"/>
              <w:rPr>
                <w:color w:val="auto"/>
                <w:lang w:eastAsia="en-US"/>
              </w:rPr>
            </w:pPr>
            <w:r>
              <w:rPr>
                <w:color w:val="auto"/>
                <w:lang w:eastAsia="en-US"/>
              </w:rPr>
              <w:t>施工期生活垃</w:t>
            </w:r>
          </w:p>
          <w:p w14:paraId="1AA78A8E">
            <w:pPr>
              <w:pStyle w:val="31"/>
              <w:widowControl w:val="0"/>
              <w:bidi w:val="0"/>
              <w:rPr>
                <w:color w:val="auto"/>
                <w:lang w:eastAsia="en-US"/>
              </w:rPr>
            </w:pPr>
            <w:r>
              <w:rPr>
                <w:color w:val="auto"/>
                <w:lang w:eastAsia="en-US"/>
              </w:rPr>
              <w:t>圾处理</w:t>
            </w:r>
          </w:p>
        </w:tc>
        <w:tc>
          <w:tcPr>
            <w:tcW w:w="2580" w:type="pct"/>
            <w:vAlign w:val="center"/>
          </w:tcPr>
          <w:p w14:paraId="36CD5A8C">
            <w:pPr>
              <w:pStyle w:val="31"/>
              <w:widowControl w:val="0"/>
              <w:bidi w:val="0"/>
              <w:rPr>
                <w:color w:val="auto"/>
                <w:lang w:eastAsia="zh-CN"/>
              </w:rPr>
            </w:pPr>
            <w:r>
              <w:rPr>
                <w:color w:val="auto"/>
                <w:lang w:eastAsia="zh-CN"/>
              </w:rPr>
              <w:t>生活垃圾委托环卫部门统一清运；施工区设置垃圾桶，并经</w:t>
            </w:r>
          </w:p>
          <w:p w14:paraId="75096B24">
            <w:pPr>
              <w:pStyle w:val="31"/>
              <w:widowControl w:val="0"/>
              <w:bidi w:val="0"/>
              <w:rPr>
                <w:color w:val="auto"/>
                <w:lang w:eastAsia="en-US"/>
              </w:rPr>
            </w:pPr>
            <w:r>
              <w:rPr>
                <w:color w:val="auto"/>
                <w:lang w:eastAsia="en-US"/>
              </w:rPr>
              <w:t>常喷洒消毒药水</w:t>
            </w:r>
          </w:p>
        </w:tc>
        <w:tc>
          <w:tcPr>
            <w:tcW w:w="877" w:type="pct"/>
            <w:vMerge w:val="continue"/>
            <w:vAlign w:val="center"/>
          </w:tcPr>
          <w:p w14:paraId="3EB7ECB0">
            <w:pPr>
              <w:pStyle w:val="31"/>
              <w:widowControl w:val="0"/>
              <w:bidi w:val="0"/>
              <w:rPr>
                <w:rFonts w:ascii="Times New Roman" w:hAnsi="Times New Roman" w:eastAsia="宋体" w:cs="Times New Roman"/>
                <w:bCs/>
                <w:color w:val="auto"/>
                <w:sz w:val="21"/>
                <w:szCs w:val="21"/>
                <w:lang w:eastAsia="zh-CN"/>
              </w:rPr>
            </w:pPr>
          </w:p>
        </w:tc>
        <w:tc>
          <w:tcPr>
            <w:tcW w:w="287" w:type="pct"/>
            <w:vMerge w:val="continue"/>
            <w:vAlign w:val="center"/>
          </w:tcPr>
          <w:p w14:paraId="7E95BE29">
            <w:pPr>
              <w:pStyle w:val="31"/>
              <w:widowControl w:val="0"/>
              <w:bidi w:val="0"/>
              <w:rPr>
                <w:color w:val="auto"/>
                <w:lang w:eastAsia="zh-CN"/>
              </w:rPr>
            </w:pPr>
          </w:p>
        </w:tc>
      </w:tr>
      <w:tr w14:paraId="364D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3500DAFF">
            <w:pPr>
              <w:pStyle w:val="31"/>
              <w:widowControl w:val="0"/>
              <w:bidi w:val="0"/>
              <w:rPr>
                <w:color w:val="auto"/>
                <w:lang w:eastAsia="en-US"/>
              </w:rPr>
            </w:pPr>
          </w:p>
        </w:tc>
        <w:tc>
          <w:tcPr>
            <w:tcW w:w="989" w:type="pct"/>
            <w:gridSpan w:val="2"/>
            <w:vAlign w:val="center"/>
          </w:tcPr>
          <w:p w14:paraId="3757D76D">
            <w:pPr>
              <w:pStyle w:val="31"/>
              <w:widowControl w:val="0"/>
              <w:bidi w:val="0"/>
              <w:rPr>
                <w:color w:val="auto"/>
                <w:lang w:eastAsia="en-US"/>
              </w:rPr>
            </w:pPr>
            <w:r>
              <w:rPr>
                <w:color w:val="auto"/>
                <w:lang w:eastAsia="en-US"/>
              </w:rPr>
              <w:t>风险防范</w:t>
            </w:r>
          </w:p>
        </w:tc>
        <w:tc>
          <w:tcPr>
            <w:tcW w:w="2580" w:type="pct"/>
            <w:vAlign w:val="center"/>
          </w:tcPr>
          <w:p w14:paraId="5F3BF885">
            <w:pPr>
              <w:pStyle w:val="31"/>
              <w:widowControl w:val="0"/>
              <w:bidi w:val="0"/>
              <w:rPr>
                <w:color w:val="auto"/>
                <w:lang w:eastAsia="zh-CN"/>
              </w:rPr>
            </w:pPr>
            <w:r>
              <w:rPr>
                <w:color w:val="auto"/>
                <w:lang w:eastAsia="zh-CN"/>
              </w:rPr>
              <w:t>加强燃油施工机械的保养，对施工人员进行操作培训；油污水收集后经油污水处理设施处理后回用，禁止外排。</w:t>
            </w:r>
          </w:p>
        </w:tc>
        <w:tc>
          <w:tcPr>
            <w:tcW w:w="877" w:type="pct"/>
            <w:vAlign w:val="center"/>
          </w:tcPr>
          <w:p w14:paraId="650C0C11">
            <w:pPr>
              <w:pStyle w:val="31"/>
              <w:widowControl w:val="0"/>
              <w:bidi w:val="0"/>
              <w:rPr>
                <w:rFonts w:hint="eastAsia" w:eastAsia="宋体"/>
                <w:color w:val="auto"/>
                <w:lang w:val="en-US" w:eastAsia="zh-CN"/>
              </w:rPr>
            </w:pPr>
            <w:r>
              <w:rPr>
                <w:rFonts w:hint="eastAsia"/>
                <w:color w:val="auto"/>
                <w:lang w:val="en-US" w:eastAsia="zh-CN"/>
              </w:rPr>
              <w:t>/</w:t>
            </w:r>
          </w:p>
        </w:tc>
        <w:tc>
          <w:tcPr>
            <w:tcW w:w="287" w:type="pct"/>
            <w:vMerge w:val="continue"/>
            <w:vAlign w:val="center"/>
          </w:tcPr>
          <w:p w14:paraId="69BB0927">
            <w:pPr>
              <w:pStyle w:val="31"/>
              <w:widowControl w:val="0"/>
              <w:bidi w:val="0"/>
              <w:rPr>
                <w:color w:val="auto"/>
                <w:lang w:eastAsia="zh-CN"/>
              </w:rPr>
            </w:pPr>
          </w:p>
        </w:tc>
      </w:tr>
      <w:tr w14:paraId="3D7E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4D389819">
            <w:pPr>
              <w:pStyle w:val="31"/>
              <w:widowControl w:val="0"/>
              <w:bidi w:val="0"/>
              <w:rPr>
                <w:color w:val="auto"/>
                <w:lang w:eastAsia="zh-CN"/>
              </w:rPr>
            </w:pPr>
          </w:p>
        </w:tc>
        <w:tc>
          <w:tcPr>
            <w:tcW w:w="358" w:type="pct"/>
            <w:vMerge w:val="restart"/>
            <w:vAlign w:val="center"/>
          </w:tcPr>
          <w:p w14:paraId="4B1E7923">
            <w:pPr>
              <w:pStyle w:val="31"/>
              <w:widowControl w:val="0"/>
              <w:bidi w:val="0"/>
              <w:rPr>
                <w:color w:val="auto"/>
                <w:lang w:eastAsia="en-US"/>
              </w:rPr>
            </w:pPr>
            <w:r>
              <w:rPr>
                <w:color w:val="auto"/>
                <w:lang w:eastAsia="en-US"/>
              </w:rPr>
              <w:t>生态</w:t>
            </w:r>
          </w:p>
        </w:tc>
        <w:tc>
          <w:tcPr>
            <w:tcW w:w="631" w:type="pct"/>
            <w:vAlign w:val="center"/>
          </w:tcPr>
          <w:p w14:paraId="006BF9C2">
            <w:pPr>
              <w:pStyle w:val="31"/>
              <w:widowControl w:val="0"/>
              <w:bidi w:val="0"/>
              <w:rPr>
                <w:color w:val="auto"/>
                <w:lang w:eastAsia="en-US"/>
              </w:rPr>
            </w:pPr>
            <w:r>
              <w:rPr>
                <w:color w:val="auto"/>
                <w:lang w:eastAsia="en-US"/>
              </w:rPr>
              <w:t>陆生生态</w:t>
            </w:r>
          </w:p>
        </w:tc>
        <w:tc>
          <w:tcPr>
            <w:tcW w:w="2580" w:type="pct"/>
            <w:vAlign w:val="center"/>
          </w:tcPr>
          <w:p w14:paraId="208C93A1">
            <w:pPr>
              <w:pStyle w:val="31"/>
              <w:widowControl w:val="0"/>
              <w:bidi w:val="0"/>
              <w:rPr>
                <w:color w:val="auto"/>
                <w:lang w:eastAsia="zh-CN"/>
              </w:rPr>
            </w:pPr>
            <w:r>
              <w:rPr>
                <w:color w:val="auto"/>
                <w:lang w:eastAsia="zh-CN"/>
              </w:rPr>
              <w:t>施工过程中，各工程区域进行临时保护措施；工程完工后，进行恢复措施和补偿措施</w:t>
            </w:r>
          </w:p>
        </w:tc>
        <w:tc>
          <w:tcPr>
            <w:tcW w:w="877" w:type="pct"/>
            <w:vAlign w:val="center"/>
          </w:tcPr>
          <w:p w14:paraId="74D30B33">
            <w:pPr>
              <w:pStyle w:val="31"/>
              <w:widowControl w:val="0"/>
              <w:bidi w:val="0"/>
              <w:ind w:firstLine="0" w:firstLineChars="0"/>
              <w:rPr>
                <w:rFonts w:ascii="Times New Roman" w:hAnsi="Times New Roman" w:eastAsia="宋体" w:cs="Times New Roman"/>
                <w:bCs/>
                <w:color w:val="auto"/>
                <w:sz w:val="21"/>
                <w:szCs w:val="21"/>
                <w:lang w:eastAsia="zh-CN"/>
              </w:rPr>
            </w:pPr>
            <w:r>
              <w:rPr>
                <w:color w:val="auto"/>
                <w:lang w:eastAsia="zh-CN"/>
              </w:rPr>
              <w:t>临时保护措施建设，植被恢复正常有效</w:t>
            </w:r>
          </w:p>
        </w:tc>
        <w:tc>
          <w:tcPr>
            <w:tcW w:w="287" w:type="pct"/>
            <w:vMerge w:val="continue"/>
            <w:vAlign w:val="center"/>
          </w:tcPr>
          <w:p w14:paraId="5AF60D4D">
            <w:pPr>
              <w:pStyle w:val="31"/>
              <w:widowControl w:val="0"/>
              <w:bidi w:val="0"/>
              <w:rPr>
                <w:color w:val="auto"/>
                <w:lang w:eastAsia="en-US"/>
              </w:rPr>
            </w:pPr>
          </w:p>
        </w:tc>
      </w:tr>
      <w:tr w14:paraId="38A8B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265" w:type="pct"/>
            <w:vMerge w:val="continue"/>
            <w:vAlign w:val="center"/>
          </w:tcPr>
          <w:p w14:paraId="597E8136">
            <w:pPr>
              <w:pStyle w:val="31"/>
              <w:widowControl w:val="0"/>
              <w:bidi w:val="0"/>
              <w:rPr>
                <w:color w:val="auto"/>
                <w:lang w:eastAsia="en-US"/>
              </w:rPr>
            </w:pPr>
          </w:p>
        </w:tc>
        <w:tc>
          <w:tcPr>
            <w:tcW w:w="358" w:type="pct"/>
            <w:vMerge w:val="continue"/>
            <w:vAlign w:val="center"/>
          </w:tcPr>
          <w:p w14:paraId="6E3DA21C">
            <w:pPr>
              <w:pStyle w:val="31"/>
              <w:widowControl w:val="0"/>
              <w:bidi w:val="0"/>
              <w:rPr>
                <w:color w:val="auto"/>
                <w:lang w:eastAsia="en-US"/>
              </w:rPr>
            </w:pPr>
          </w:p>
        </w:tc>
        <w:tc>
          <w:tcPr>
            <w:tcW w:w="631" w:type="pct"/>
            <w:vAlign w:val="center"/>
          </w:tcPr>
          <w:p w14:paraId="76C87162">
            <w:pPr>
              <w:pStyle w:val="31"/>
              <w:widowControl w:val="0"/>
              <w:bidi w:val="0"/>
              <w:rPr>
                <w:color w:val="auto"/>
                <w:lang w:eastAsia="en-US"/>
              </w:rPr>
            </w:pPr>
            <w:r>
              <w:rPr>
                <w:color w:val="auto"/>
                <w:lang w:eastAsia="en-US"/>
              </w:rPr>
              <w:t>水生生态</w:t>
            </w:r>
          </w:p>
        </w:tc>
        <w:tc>
          <w:tcPr>
            <w:tcW w:w="2580" w:type="pct"/>
            <w:vAlign w:val="center"/>
          </w:tcPr>
          <w:p w14:paraId="3E942CB0">
            <w:pPr>
              <w:pStyle w:val="31"/>
              <w:widowControl w:val="0"/>
              <w:bidi w:val="0"/>
              <w:rPr>
                <w:color w:val="auto"/>
                <w:lang w:eastAsia="zh-CN"/>
              </w:rPr>
            </w:pPr>
            <w:r>
              <w:rPr>
                <w:color w:val="auto"/>
                <w:lang w:eastAsia="zh-CN"/>
              </w:rPr>
              <w:t>施工用料及土方的堆放应远离水体，堆放场四周挖明沟、设挡墙，各类材料应备有防雨遮雨设施；施工期间加强管理，做好工程完工后生态环境恢复工作，以尽量减少植被破坏及对水土流失、水质和水生生物的不利影响；合理安排施工时间，尽量选择枯水期施工，减少对水生生态的影响</w:t>
            </w:r>
          </w:p>
        </w:tc>
        <w:tc>
          <w:tcPr>
            <w:tcW w:w="877" w:type="pct"/>
            <w:vAlign w:val="center"/>
          </w:tcPr>
          <w:p w14:paraId="5C59E7EC">
            <w:pPr>
              <w:pStyle w:val="31"/>
              <w:widowControl w:val="0"/>
              <w:bidi w:val="0"/>
              <w:ind w:firstLine="0" w:firstLineChars="0"/>
              <w:rPr>
                <w:rFonts w:ascii="Times New Roman" w:hAnsi="Times New Roman" w:eastAsia="宋体" w:cs="Times New Roman"/>
                <w:bCs/>
                <w:color w:val="auto"/>
                <w:sz w:val="21"/>
                <w:szCs w:val="21"/>
                <w:lang w:eastAsia="en-US"/>
              </w:rPr>
            </w:pPr>
            <w:r>
              <w:rPr>
                <w:color w:val="auto"/>
                <w:lang w:eastAsia="en-US"/>
              </w:rPr>
              <w:t>根据调查进行评价</w:t>
            </w:r>
          </w:p>
        </w:tc>
        <w:tc>
          <w:tcPr>
            <w:tcW w:w="287" w:type="pct"/>
            <w:vMerge w:val="continue"/>
            <w:vAlign w:val="center"/>
          </w:tcPr>
          <w:p w14:paraId="07B0A044">
            <w:pPr>
              <w:pStyle w:val="31"/>
              <w:widowControl w:val="0"/>
              <w:bidi w:val="0"/>
              <w:rPr>
                <w:color w:val="auto"/>
                <w:lang w:eastAsia="en-US"/>
              </w:rPr>
            </w:pPr>
          </w:p>
        </w:tc>
      </w:tr>
    </w:tbl>
    <w:p w14:paraId="4E2E6B0E">
      <w:pPr>
        <w:bidi w:val="0"/>
        <w:rPr>
          <w:rFonts w:hint="eastAsia"/>
          <w:color w:val="auto"/>
          <w:lang w:val="zh-CN" w:eastAsia="zh-CN"/>
        </w:rPr>
        <w:sectPr>
          <w:pgSz w:w="16838" w:h="11906" w:orient="landscape"/>
          <w:pgMar w:top="1083" w:right="1440" w:bottom="1083" w:left="1440" w:header="851" w:footer="992" w:gutter="0"/>
          <w:pgBorders>
            <w:top w:val="none" w:sz="0" w:space="0"/>
            <w:left w:val="none" w:sz="0" w:space="0"/>
            <w:bottom w:val="none" w:sz="0" w:space="0"/>
            <w:right w:val="none" w:sz="0" w:space="0"/>
          </w:pgBorders>
          <w:pgNumType w:fmt="upperRoman"/>
          <w:cols w:space="0" w:num="1"/>
          <w:rtlGutter w:val="0"/>
          <w:docGrid w:type="lines" w:linePitch="335" w:charSpace="0"/>
        </w:sectPr>
      </w:pPr>
    </w:p>
    <w:p w14:paraId="251B01BF">
      <w:pPr>
        <w:pStyle w:val="3"/>
        <w:bidi w:val="0"/>
        <w:ind w:left="480" w:leftChars="0" w:firstLineChars="0"/>
        <w:rPr>
          <w:rFonts w:hint="eastAsia"/>
          <w:color w:val="auto"/>
          <w:lang w:val="zh-CN" w:eastAsia="zh-CN"/>
        </w:rPr>
      </w:pPr>
      <w:bookmarkStart w:id="241" w:name="_Toc4763"/>
      <w:r>
        <w:rPr>
          <w:rFonts w:hint="eastAsia"/>
          <w:color w:val="auto"/>
          <w:lang w:val="zh-CN" w:eastAsia="zh-CN"/>
        </w:rPr>
        <w:t>结论</w:t>
      </w:r>
      <w:bookmarkEnd w:id="241"/>
    </w:p>
    <w:p w14:paraId="138C3596">
      <w:pPr>
        <w:bidi w:val="0"/>
        <w:rPr>
          <w:rFonts w:hint="default"/>
          <w:color w:val="auto"/>
          <w:lang w:val="en-US" w:eastAsia="zh-CN"/>
        </w:rPr>
      </w:pPr>
      <w:r>
        <w:rPr>
          <w:rFonts w:hint="eastAsia"/>
          <w:color w:val="auto"/>
          <w:sz w:val="24"/>
          <w:lang w:val="en-US" w:eastAsia="zh-CN"/>
        </w:rPr>
        <w:t>项目</w:t>
      </w:r>
      <w:r>
        <w:rPr>
          <w:rFonts w:ascii="Times New Roman" w:hAnsi="Times New Roman"/>
          <w:color w:val="auto"/>
          <w:sz w:val="24"/>
        </w:rPr>
        <w:t>符合国家和地方</w:t>
      </w:r>
      <w:r>
        <w:rPr>
          <w:rFonts w:hint="eastAsia"/>
          <w:color w:val="auto"/>
          <w:sz w:val="24"/>
          <w:lang w:val="en-US" w:eastAsia="zh-CN"/>
        </w:rPr>
        <w:t>相关</w:t>
      </w:r>
      <w:r>
        <w:rPr>
          <w:rFonts w:ascii="Times New Roman" w:hAnsi="Times New Roman"/>
          <w:color w:val="auto"/>
          <w:sz w:val="24"/>
        </w:rPr>
        <w:t>政策</w:t>
      </w:r>
      <w:r>
        <w:rPr>
          <w:rFonts w:hint="eastAsia"/>
          <w:color w:val="auto"/>
          <w:sz w:val="24"/>
          <w:lang w:eastAsia="zh-CN"/>
        </w:rPr>
        <w:t>、</w:t>
      </w:r>
      <w:r>
        <w:rPr>
          <w:rFonts w:hint="eastAsia"/>
          <w:color w:val="auto"/>
          <w:sz w:val="24"/>
          <w:lang w:val="en-US" w:eastAsia="zh-CN"/>
        </w:rPr>
        <w:t>规划要求</w:t>
      </w:r>
      <w:r>
        <w:rPr>
          <w:rFonts w:ascii="Times New Roman" w:hAnsi="Times New Roman"/>
          <w:color w:val="auto"/>
          <w:sz w:val="24"/>
        </w:rPr>
        <w:t>，项目建设满足</w:t>
      </w:r>
      <w:r>
        <w:rPr>
          <w:rFonts w:hint="eastAsia"/>
          <w:color w:val="auto"/>
          <w:sz w:val="24"/>
          <w:lang w:val="en-US" w:eastAsia="zh-CN"/>
        </w:rPr>
        <w:t>生态环境分区管控</w:t>
      </w:r>
      <w:r>
        <w:rPr>
          <w:rFonts w:ascii="Times New Roman" w:hAnsi="Times New Roman"/>
          <w:color w:val="auto"/>
          <w:sz w:val="24"/>
          <w:szCs w:val="24"/>
        </w:rPr>
        <w:t>相关要求；该项目的建设能够对该</w:t>
      </w:r>
      <w:r>
        <w:rPr>
          <w:rFonts w:hint="eastAsia"/>
          <w:color w:val="auto"/>
          <w:sz w:val="24"/>
          <w:szCs w:val="24"/>
          <w:lang w:val="en-US" w:eastAsia="zh-CN"/>
        </w:rPr>
        <w:t>可有效推动</w:t>
      </w:r>
      <w:r>
        <w:rPr>
          <w:rFonts w:hint="eastAsia" w:ascii="Times New Roman" w:hAnsi="Times New Roman"/>
          <w:color w:val="auto"/>
          <w:sz w:val="24"/>
        </w:rPr>
        <w:t>杏花村省级湿地公园</w:t>
      </w:r>
      <w:r>
        <w:rPr>
          <w:rFonts w:hint="eastAsia"/>
          <w:color w:val="auto"/>
          <w:sz w:val="24"/>
          <w:lang w:val="en-US" w:eastAsia="zh-CN"/>
        </w:rPr>
        <w:t>生态环境问题整治和生态恢复工作</w:t>
      </w:r>
      <w:r>
        <w:rPr>
          <w:rFonts w:ascii="Times New Roman" w:hAnsi="Times New Roman"/>
          <w:color w:val="auto"/>
          <w:sz w:val="24"/>
          <w:szCs w:val="24"/>
        </w:rPr>
        <w:t>，避免生态环境污染以及对改善区</w:t>
      </w:r>
      <w:r>
        <w:rPr>
          <w:rFonts w:ascii="Times New Roman" w:hAnsi="Times New Roman"/>
          <w:color w:val="auto"/>
          <w:sz w:val="24"/>
        </w:rPr>
        <w:t>域环境质量等，具有显著的环境效益和社会经济效益。</w:t>
      </w:r>
      <w:r>
        <w:rPr>
          <w:rFonts w:hint="eastAsia"/>
          <w:color w:val="auto"/>
          <w:sz w:val="24"/>
          <w:lang w:val="en-US" w:eastAsia="zh-CN"/>
        </w:rPr>
        <w:t>在</w:t>
      </w:r>
      <w:r>
        <w:rPr>
          <w:rFonts w:ascii="Times New Roman" w:hAnsi="Times New Roman"/>
          <w:color w:val="auto"/>
          <w:sz w:val="24"/>
        </w:rPr>
        <w:t>严格落实本报告书中提出的各项</w:t>
      </w:r>
      <w:r>
        <w:rPr>
          <w:rFonts w:hint="eastAsia"/>
          <w:color w:val="auto"/>
          <w:sz w:val="24"/>
          <w:lang w:val="en-US" w:eastAsia="zh-CN"/>
        </w:rPr>
        <w:t>生态环境保护</w:t>
      </w:r>
      <w:r>
        <w:rPr>
          <w:rFonts w:ascii="Times New Roman" w:hAnsi="Times New Roman"/>
          <w:color w:val="auto"/>
          <w:sz w:val="24"/>
        </w:rPr>
        <w:t>措施、加强环境管理，严格执行</w:t>
      </w:r>
      <w:r>
        <w:rPr>
          <w:rFonts w:hint="eastAsia" w:ascii="Times New Roman" w:hAnsi="Times New Roman"/>
          <w:color w:val="auto"/>
          <w:sz w:val="24"/>
          <w:lang w:eastAsia="zh-CN"/>
        </w:rPr>
        <w:t>“</w:t>
      </w:r>
      <w:r>
        <w:rPr>
          <w:rFonts w:ascii="Times New Roman" w:hAnsi="Times New Roman"/>
          <w:color w:val="auto"/>
          <w:sz w:val="24"/>
        </w:rPr>
        <w:t>三同时</w:t>
      </w:r>
      <w:r>
        <w:rPr>
          <w:rFonts w:hint="eastAsia" w:ascii="Times New Roman" w:hAnsi="Times New Roman"/>
          <w:color w:val="auto"/>
          <w:sz w:val="24"/>
          <w:lang w:eastAsia="zh-CN"/>
        </w:rPr>
        <w:t>”</w:t>
      </w:r>
      <w:r>
        <w:rPr>
          <w:rFonts w:hint="eastAsia"/>
          <w:color w:val="auto"/>
          <w:sz w:val="24"/>
          <w:lang w:val="en-US" w:eastAsia="zh-CN"/>
        </w:rPr>
        <w:t>制度</w:t>
      </w:r>
      <w:r>
        <w:rPr>
          <w:rFonts w:ascii="Times New Roman" w:hAnsi="Times New Roman"/>
          <w:color w:val="auto"/>
          <w:sz w:val="24"/>
        </w:rPr>
        <w:t>，项目建设对环境的不利影响将可以得到减轻或消除，各项污染物均能做到达标排放，本工程的环境影响可接受。因此，从环境影响的角度分析，本项目的建设是可行的</w:t>
      </w:r>
      <w:r>
        <w:rPr>
          <w:rFonts w:hint="eastAsia"/>
          <w:color w:val="auto"/>
          <w:lang w:val="zh-CN" w:eastAsia="zh-CN"/>
        </w:rPr>
        <w:t>。</w:t>
      </w:r>
    </w:p>
    <w:sectPr>
      <w:pgSz w:w="11906" w:h="16838"/>
      <w:pgMar w:top="1440" w:right="1803" w:bottom="1440" w:left="1803" w:header="851" w:footer="992" w:gutter="0"/>
      <w:pgBorders>
        <w:top w:val="none" w:sz="0" w:space="0"/>
        <w:left w:val="none" w:sz="0" w:space="0"/>
        <w:bottom w:val="none" w:sz="0" w:space="0"/>
        <w:right w:val="none" w:sz="0" w:space="0"/>
      </w:pgBorders>
      <w:pgNumType w:fmt="upperRoman"/>
      <w:cols w:space="0" w:num="1"/>
      <w:rtlGutter w:val="0"/>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E4749">
    <w:pPr>
      <w:tabs>
        <w:tab w:val="center" w:pos="4153"/>
        <w:tab w:val="right" w:pos="8306"/>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B56E2">
    <w:pPr>
      <w:tabs>
        <w:tab w:val="center" w:pos="4153"/>
        <w:tab w:val="right" w:pos="8306"/>
      </w:tabs>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95908905"/>
                          </w:sdtPr>
                          <w:sdtContent>
                            <w:p w14:paraId="5EF2F45F">
                              <w:pPr>
                                <w:tabs>
                                  <w:tab w:val="center" w:pos="4153"/>
                                  <w:tab w:val="right" w:pos="8306"/>
                                </w:tabs>
                                <w:jc w:val="center"/>
                              </w:pPr>
                              <w:r>
                                <w:fldChar w:fldCharType="begin"/>
                              </w:r>
                              <w:r>
                                <w:instrText xml:space="preserve">PAGE   \* MERGEFORMAT</w:instrText>
                              </w:r>
                              <w:r>
                                <w:fldChar w:fldCharType="separate"/>
                              </w:r>
                              <w:r>
                                <w:rPr>
                                  <w:lang w:val="zh-CN"/>
                                </w:rPr>
                                <w:t>42</w:t>
                              </w:r>
                              <w:r>
                                <w:fldChar w:fldCharType="end"/>
                              </w:r>
                            </w:p>
                          </w:sdtContent>
                        </w:sdt>
                        <w:p w14:paraId="5C47BF0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cMlI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DJSNAIAAGUEAAAOAAAAAAAAAAEAIAAAAB8BAABkcnMvZTJvRG9jLnhtbFBL&#10;BQYAAAAABgAGAFkBAADFBQAAAAA=&#10;">
              <v:fill on="f" focussize="0,0"/>
              <v:stroke on="f" weight="0.5pt"/>
              <v:imagedata o:title=""/>
              <o:lock v:ext="edit" aspectratio="f"/>
              <v:textbox inset="0mm,0mm,0mm,0mm" style="mso-fit-shape-to-text:t;">
                <w:txbxContent>
                  <w:sdt>
                    <w:sdtPr>
                      <w:id w:val="1495908905"/>
                    </w:sdtPr>
                    <w:sdtContent>
                      <w:p w14:paraId="5EF2F45F">
                        <w:pPr>
                          <w:tabs>
                            <w:tab w:val="center" w:pos="4153"/>
                            <w:tab w:val="right" w:pos="8306"/>
                          </w:tabs>
                          <w:jc w:val="center"/>
                        </w:pPr>
                        <w:r>
                          <w:fldChar w:fldCharType="begin"/>
                        </w:r>
                        <w:r>
                          <w:instrText xml:space="preserve">PAGE   \* MERGEFORMAT</w:instrText>
                        </w:r>
                        <w:r>
                          <w:fldChar w:fldCharType="separate"/>
                        </w:r>
                        <w:r>
                          <w:rPr>
                            <w:lang w:val="zh-CN"/>
                          </w:rPr>
                          <w:t>42</w:t>
                        </w:r>
                        <w:r>
                          <w:fldChar w:fldCharType="end"/>
                        </w:r>
                      </w:p>
                    </w:sdtContent>
                  </w:sdt>
                  <w:p w14:paraId="5C47BF09"/>
                </w:txbxContent>
              </v:textbox>
            </v:shape>
          </w:pict>
        </mc:Fallback>
      </mc:AlternateContent>
    </w:r>
  </w:p>
  <w:p w14:paraId="3A9E1809">
    <w:pPr>
      <w:tabs>
        <w:tab w:val="center" w:pos="4153"/>
        <w:tab w:val="right" w:pos="8306"/>
      </w:tabs>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006E3">
    <w:pPr>
      <w:tabs>
        <w:tab w:val="center" w:pos="4153"/>
        <w:tab w:val="right" w:pos="8306"/>
      </w:tabs>
      <w:jc w:val="cente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4" name="文本框 2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9537"/>
                          </w:sdtPr>
                          <w:sdtContent>
                            <w:p w14:paraId="5C0B72C4">
                              <w:pPr>
                                <w:tabs>
                                  <w:tab w:val="center" w:pos="4153"/>
                                  <w:tab w:val="right" w:pos="8306"/>
                                </w:tabs>
                                <w:jc w:val="center"/>
                              </w:pPr>
                              <w:r>
                                <w:fldChar w:fldCharType="begin"/>
                              </w:r>
                              <w:r>
                                <w:instrText xml:space="preserve">PAGE   \* MERGEFORMAT</w:instrText>
                              </w:r>
                              <w:r>
                                <w:fldChar w:fldCharType="separate"/>
                              </w:r>
                              <w:r>
                                <w:rPr>
                                  <w:lang w:val="zh-CN"/>
                                </w:rPr>
                                <w:t>42</w:t>
                              </w:r>
                              <w:r>
                                <w:fldChar w:fldCharType="end"/>
                              </w:r>
                            </w:p>
                          </w:sdtContent>
                        </w:sdt>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lCTM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Q4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tJQkzNAIAAGUEAAAOAAAAAAAAAAEAIAAAAB8BAABkcnMvZTJvRG9jLnhtbFBL&#10;BQYAAAAABgAGAFkBAADFBQAAAAA=&#10;">
              <v:fill on="f" focussize="0,0"/>
              <v:stroke on="f" weight="0.5pt"/>
              <v:imagedata o:title=""/>
              <o:lock v:ext="edit" aspectratio="f"/>
              <v:textbox inset="0mm,0mm,0mm,0mm" style="mso-fit-shape-to-text:t;">
                <w:txbxContent>
                  <w:sdt>
                    <w:sdtPr>
                      <w:id w:val="147469537"/>
                    </w:sdtPr>
                    <w:sdtContent>
                      <w:p w14:paraId="5C0B72C4">
                        <w:pPr>
                          <w:tabs>
                            <w:tab w:val="center" w:pos="4153"/>
                            <w:tab w:val="right" w:pos="8306"/>
                          </w:tabs>
                          <w:jc w:val="center"/>
                        </w:pPr>
                        <w:r>
                          <w:fldChar w:fldCharType="begin"/>
                        </w:r>
                        <w:r>
                          <w:instrText xml:space="preserve">PAGE   \* MERGEFORMAT</w:instrText>
                        </w:r>
                        <w:r>
                          <w:fldChar w:fldCharType="separate"/>
                        </w:r>
                        <w:r>
                          <w:rPr>
                            <w:lang w:val="zh-CN"/>
                          </w:rPr>
                          <w:t>42</w:t>
                        </w:r>
                        <w:r>
                          <w:fldChar w:fldCharType="end"/>
                        </w:r>
                      </w:p>
                    </w:sdtContent>
                  </w:sdt>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3FF01">
    <w:pPr>
      <w:tabs>
        <w:tab w:val="center" w:pos="4153"/>
        <w:tab w:val="right" w:pos="8306"/>
      </w:tabs>
      <w:jc w:val="cente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4535"/>
                          </w:sdtPr>
                          <w:sdtContent>
                            <w:p w14:paraId="5F636924">
                              <w:pPr>
                                <w:tabs>
                                  <w:tab w:val="center" w:pos="4153"/>
                                  <w:tab w:val="right" w:pos="8306"/>
                                </w:tabs>
                                <w:jc w:val="center"/>
                              </w:pPr>
                              <w:r>
                                <w:fldChar w:fldCharType="begin"/>
                              </w:r>
                              <w:r>
                                <w:instrText xml:space="preserve">PAGE   \* MERGEFORMAT</w:instrText>
                              </w:r>
                              <w:r>
                                <w:fldChar w:fldCharType="separate"/>
                              </w:r>
                              <w:r>
                                <w:rPr>
                                  <w:lang w:val="zh-CN"/>
                                </w:rPr>
                                <w:t>42</w:t>
                              </w:r>
                              <w:r>
                                <w:fldChar w:fldCharType="end"/>
                              </w:r>
                            </w:p>
                          </w:sdtContent>
                        </w:sdt>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sdt>
                    <w:sdtPr>
                      <w:id w:val="147464535"/>
                    </w:sdtPr>
                    <w:sdtContent>
                      <w:p w14:paraId="5F636924">
                        <w:pPr>
                          <w:tabs>
                            <w:tab w:val="center" w:pos="4153"/>
                            <w:tab w:val="right" w:pos="8306"/>
                          </w:tabs>
                          <w:jc w:val="center"/>
                        </w:pPr>
                        <w:r>
                          <w:fldChar w:fldCharType="begin"/>
                        </w:r>
                        <w:r>
                          <w:instrText xml:space="preserve">PAGE   \* MERGEFORMAT</w:instrText>
                        </w:r>
                        <w:r>
                          <w:fldChar w:fldCharType="separate"/>
                        </w:r>
                        <w:r>
                          <w:rPr>
                            <w:lang w:val="zh-CN"/>
                          </w:rPr>
                          <w:t>42</w:t>
                        </w:r>
                        <w:r>
                          <w:fldChar w:fldCharType="end"/>
                        </w:r>
                      </w:p>
                    </w:sdtContent>
                  </w:sdt>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9C3D8">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EF176">
                          <w:pPr>
                            <w:pStyle w:val="18"/>
                          </w:pPr>
                          <w:r>
                            <w:fldChar w:fldCharType="begin"/>
                          </w:r>
                          <w:r>
                            <w:instrText xml:space="preserve"> PAGE  \* MERGEFORMAT </w:instrText>
                          </w:r>
                          <w:r>
                            <w:fldChar w:fldCharType="separate"/>
                          </w:r>
                          <w:r>
                            <w:t>- 51 -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315EF176">
                    <w:pPr>
                      <w:pStyle w:val="18"/>
                    </w:pPr>
                    <w:r>
                      <w:fldChar w:fldCharType="begin"/>
                    </w:r>
                    <w:r>
                      <w:instrText xml:space="preserve"> PAGE  \* MERGEFORMAT </w:instrText>
                    </w:r>
                    <w:r>
                      <w:fldChar w:fldCharType="separate"/>
                    </w:r>
                    <w:r>
                      <w:t>- 51 -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843BD">
    <w:pPr>
      <w:tabs>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C48DD">
    <w:pPr>
      <w:pStyle w:val="19"/>
      <w:pBdr>
        <w:bottom w:val="none" w:color="auto" w:sz="0" w:space="1"/>
      </w:pBdr>
    </w:pPr>
    <w:r>
      <w:rPr>
        <w:rFonts w:hint="eastAsia" w:ascii="楷体" w:hAnsi="楷体" w:eastAsia="楷体" w:cs="楷体"/>
        <w:sz w:val="21"/>
        <w:szCs w:val="21"/>
        <w:lang w:eastAsia="zh-CN"/>
      </w:rPr>
      <w:t>秋浦河航道整治工程5号、6号抛泥区抛泥清除恢复项目</w:t>
    </w:r>
    <w:r>
      <w:rPr>
        <w:rFonts w:hint="eastAsia" w:ascii="楷体" w:hAnsi="楷体" w:eastAsia="楷体" w:cs="楷体"/>
        <w:sz w:val="21"/>
        <w:szCs w:val="21"/>
      </w:rPr>
      <w:t>环境影响报告书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A6B0">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宋体"/>
        <w:sz w:val="18"/>
        <w:szCs w:val="18"/>
        <w:lang w:eastAsia="zh-CN"/>
      </w:rPr>
    </w:pPr>
    <w:r>
      <w:rPr>
        <w:rFonts w:hint="eastAsia" w:ascii="宋体" w:hAnsi="宋体" w:cs="宋体"/>
        <w:spacing w:val="-1"/>
        <w:sz w:val="18"/>
        <w:szCs w:val="18"/>
        <w:lang w:eastAsia="zh-CN"/>
      </w:rPr>
      <w:t>秋浦河航道整治工程5号、6号抛泥区抛泥清除恢复项目环境影响报告书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304F6E"/>
    <w:multiLevelType w:val="multilevel"/>
    <w:tmpl w:val="BA304F6E"/>
    <w:lvl w:ilvl="0" w:tentative="0">
      <w:start w:val="1"/>
      <w:numFmt w:val="decimal"/>
      <w:pStyle w:val="2"/>
      <w:lvlText w:val="%1"/>
      <w:lvlJc w:val="left"/>
      <w:pPr>
        <w:ind w:left="432" w:hanging="432"/>
      </w:pPr>
      <w:rPr>
        <w:rFonts w:cs="Times New Roman"/>
      </w:rPr>
    </w:lvl>
    <w:lvl w:ilvl="1" w:tentative="0">
      <w:start w:val="1"/>
      <w:numFmt w:val="decimal"/>
      <w:pStyle w:val="3"/>
      <w:lvlText w:val="%1.%2"/>
      <w:lvlJc w:val="left"/>
      <w:pPr>
        <w:ind w:left="1678" w:hanging="576"/>
      </w:pPr>
      <w:rPr>
        <w:rFonts w:cs="Times New Roman"/>
      </w:rPr>
    </w:lvl>
    <w:lvl w:ilvl="2" w:tentative="0">
      <w:start w:val="1"/>
      <w:numFmt w:val="decimal"/>
      <w:pStyle w:val="4"/>
      <w:lvlText w:val="%1.%2.%3"/>
      <w:lvlJc w:val="left"/>
      <w:pPr>
        <w:ind w:left="960" w:hanging="720"/>
      </w:pPr>
      <w:rPr>
        <w:rFonts w:hint="default" w:cs="Times New Roman"/>
        <w:color w:val="auto"/>
      </w:rPr>
    </w:lvl>
    <w:lvl w:ilvl="3" w:tentative="0">
      <w:start w:val="1"/>
      <w:numFmt w:val="decimal"/>
      <w:pStyle w:val="5"/>
      <w:lvlText w:val="%1.%2.%3.%4"/>
      <w:lvlJc w:val="left"/>
      <w:pPr>
        <w:ind w:left="864" w:hanging="864"/>
      </w:pPr>
      <w:rPr>
        <w:rFonts w:hint="default" w:cs="Times New Roman"/>
        <w:b/>
        <w:bCs/>
        <w:sz w:val="24"/>
        <w:szCs w:val="24"/>
      </w:rPr>
    </w:lvl>
    <w:lvl w:ilvl="4" w:tentative="0">
      <w:start w:val="1"/>
      <w:numFmt w:val="decimal"/>
      <w:pStyle w:val="6"/>
      <w:lvlText w:val="%1.%2.%3.%4.%5"/>
      <w:lvlJc w:val="left"/>
      <w:pPr>
        <w:ind w:left="1008" w:hanging="1008"/>
      </w:pPr>
      <w:rPr>
        <w:rFonts w:cs="Times New Roman"/>
      </w:rPr>
    </w:lvl>
    <w:lvl w:ilvl="5" w:tentative="0">
      <w:start w:val="1"/>
      <w:numFmt w:val="decimal"/>
      <w:pStyle w:val="7"/>
      <w:lvlText w:val="%1.%2.%3.%4.%5.%6"/>
      <w:lvlJc w:val="left"/>
      <w:pPr>
        <w:ind w:left="1152" w:hanging="1152"/>
      </w:pPr>
      <w:rPr>
        <w:rFonts w:cs="Times New Roman"/>
      </w:rPr>
    </w:lvl>
    <w:lvl w:ilvl="6" w:tentative="0">
      <w:start w:val="1"/>
      <w:numFmt w:val="decimal"/>
      <w:pStyle w:val="8"/>
      <w:lvlText w:val="%1.%2.%3.%4.%5.%6.%7"/>
      <w:lvlJc w:val="left"/>
      <w:pPr>
        <w:ind w:left="1296" w:hanging="1296"/>
      </w:pPr>
      <w:rPr>
        <w:rFonts w:cs="Times New Roman"/>
      </w:rPr>
    </w:lvl>
    <w:lvl w:ilvl="7" w:tentative="0">
      <w:start w:val="1"/>
      <w:numFmt w:val="decimal"/>
      <w:pStyle w:val="9"/>
      <w:lvlText w:val="%1.%2.%3.%4.%5.%6.%7.%8"/>
      <w:lvlJc w:val="left"/>
      <w:pPr>
        <w:ind w:left="1440" w:hanging="1440"/>
      </w:pPr>
      <w:rPr>
        <w:rFonts w:cs="Times New Roman"/>
      </w:rPr>
    </w:lvl>
    <w:lvl w:ilvl="8" w:tentative="0">
      <w:start w:val="1"/>
      <w:numFmt w:val="decimal"/>
      <w:pStyle w:val="10"/>
      <w:lvlText w:val="%1.%2.%3.%4.%5.%6.%7.%8.%9"/>
      <w:lvlJc w:val="left"/>
      <w:pPr>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0"/>
  <w:drawingGridHorizontalSpacing w:val="240"/>
  <w:drawingGridVerticalSpacing w:val="16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3NjA2NzRjMjdlMTY2NGY3NTU3OTU4M2I0MDQzZGQifQ=="/>
  </w:docVars>
  <w:rsids>
    <w:rsidRoot w:val="00172A27"/>
    <w:rsid w:val="00AF77D8"/>
    <w:rsid w:val="01161F86"/>
    <w:rsid w:val="014511F9"/>
    <w:rsid w:val="018373B3"/>
    <w:rsid w:val="019F664F"/>
    <w:rsid w:val="01E20E29"/>
    <w:rsid w:val="020E2CC9"/>
    <w:rsid w:val="02583957"/>
    <w:rsid w:val="03C6614B"/>
    <w:rsid w:val="041F040C"/>
    <w:rsid w:val="04720A3D"/>
    <w:rsid w:val="04FE63B4"/>
    <w:rsid w:val="0632208A"/>
    <w:rsid w:val="066B789C"/>
    <w:rsid w:val="06BF75C9"/>
    <w:rsid w:val="06CF60AD"/>
    <w:rsid w:val="06FE63B1"/>
    <w:rsid w:val="07155634"/>
    <w:rsid w:val="093B4C7D"/>
    <w:rsid w:val="09A07C6D"/>
    <w:rsid w:val="09AC1CCA"/>
    <w:rsid w:val="09EB009A"/>
    <w:rsid w:val="0A533E44"/>
    <w:rsid w:val="0A687CD1"/>
    <w:rsid w:val="0A995B81"/>
    <w:rsid w:val="0C647FC6"/>
    <w:rsid w:val="0D646FD0"/>
    <w:rsid w:val="0DD26630"/>
    <w:rsid w:val="0E345375"/>
    <w:rsid w:val="0F114F36"/>
    <w:rsid w:val="0FD66B9D"/>
    <w:rsid w:val="10A457BF"/>
    <w:rsid w:val="12C30C3D"/>
    <w:rsid w:val="144813FA"/>
    <w:rsid w:val="14ED6E5E"/>
    <w:rsid w:val="15A00AAE"/>
    <w:rsid w:val="15D120A5"/>
    <w:rsid w:val="160301E2"/>
    <w:rsid w:val="16881042"/>
    <w:rsid w:val="17337DBB"/>
    <w:rsid w:val="175C23BD"/>
    <w:rsid w:val="179002D1"/>
    <w:rsid w:val="17E52E6C"/>
    <w:rsid w:val="181141F9"/>
    <w:rsid w:val="182A7068"/>
    <w:rsid w:val="184719C8"/>
    <w:rsid w:val="1AF25EDE"/>
    <w:rsid w:val="1B155DAE"/>
    <w:rsid w:val="1B5C3FC7"/>
    <w:rsid w:val="1BBC3EB2"/>
    <w:rsid w:val="1CA01291"/>
    <w:rsid w:val="1D6B1AC9"/>
    <w:rsid w:val="1D70376F"/>
    <w:rsid w:val="1DBB54BF"/>
    <w:rsid w:val="1E130C3A"/>
    <w:rsid w:val="1E6929A7"/>
    <w:rsid w:val="1E9336E5"/>
    <w:rsid w:val="1EAA750C"/>
    <w:rsid w:val="1F136AA8"/>
    <w:rsid w:val="1FB937E9"/>
    <w:rsid w:val="1FBF453A"/>
    <w:rsid w:val="225C5EA6"/>
    <w:rsid w:val="22761828"/>
    <w:rsid w:val="228D7A88"/>
    <w:rsid w:val="231C36FC"/>
    <w:rsid w:val="236238F0"/>
    <w:rsid w:val="23CF430C"/>
    <w:rsid w:val="24340CFD"/>
    <w:rsid w:val="246C72F2"/>
    <w:rsid w:val="24BA1DD5"/>
    <w:rsid w:val="24CD5517"/>
    <w:rsid w:val="252C08C4"/>
    <w:rsid w:val="258403D3"/>
    <w:rsid w:val="266F1F3E"/>
    <w:rsid w:val="27D720CD"/>
    <w:rsid w:val="28943050"/>
    <w:rsid w:val="289C04E1"/>
    <w:rsid w:val="290B2005"/>
    <w:rsid w:val="29451AFF"/>
    <w:rsid w:val="2A000FF6"/>
    <w:rsid w:val="2A760DFA"/>
    <w:rsid w:val="2A84453B"/>
    <w:rsid w:val="2B755D34"/>
    <w:rsid w:val="2C45327A"/>
    <w:rsid w:val="2D9B0395"/>
    <w:rsid w:val="2DB560F7"/>
    <w:rsid w:val="2EE90060"/>
    <w:rsid w:val="2F717CC3"/>
    <w:rsid w:val="2FF147AE"/>
    <w:rsid w:val="30CB2DC6"/>
    <w:rsid w:val="315A7DA6"/>
    <w:rsid w:val="316467D0"/>
    <w:rsid w:val="316F0199"/>
    <w:rsid w:val="32105849"/>
    <w:rsid w:val="32CE1057"/>
    <w:rsid w:val="32D25898"/>
    <w:rsid w:val="3436410D"/>
    <w:rsid w:val="35092F1D"/>
    <w:rsid w:val="37B451B3"/>
    <w:rsid w:val="38336ABA"/>
    <w:rsid w:val="385201EA"/>
    <w:rsid w:val="386F48F8"/>
    <w:rsid w:val="38F023FD"/>
    <w:rsid w:val="39A64BEE"/>
    <w:rsid w:val="39C279FF"/>
    <w:rsid w:val="3A940892"/>
    <w:rsid w:val="3B0C0B24"/>
    <w:rsid w:val="3B3E03EF"/>
    <w:rsid w:val="3CA30366"/>
    <w:rsid w:val="3CCD0CAE"/>
    <w:rsid w:val="3D5B25C5"/>
    <w:rsid w:val="3D75042F"/>
    <w:rsid w:val="3DD60F75"/>
    <w:rsid w:val="3ECD1840"/>
    <w:rsid w:val="3F57452E"/>
    <w:rsid w:val="40156F1D"/>
    <w:rsid w:val="40260D9A"/>
    <w:rsid w:val="403241A0"/>
    <w:rsid w:val="40CF0629"/>
    <w:rsid w:val="42B4262A"/>
    <w:rsid w:val="4341765D"/>
    <w:rsid w:val="435643E8"/>
    <w:rsid w:val="44390E11"/>
    <w:rsid w:val="446D5FD0"/>
    <w:rsid w:val="44773174"/>
    <w:rsid w:val="4521341D"/>
    <w:rsid w:val="454E5344"/>
    <w:rsid w:val="45C62A64"/>
    <w:rsid w:val="45D038A7"/>
    <w:rsid w:val="464E52CF"/>
    <w:rsid w:val="46883E7A"/>
    <w:rsid w:val="477112D5"/>
    <w:rsid w:val="48867B25"/>
    <w:rsid w:val="49573EA6"/>
    <w:rsid w:val="4A0364AB"/>
    <w:rsid w:val="4A1E4E60"/>
    <w:rsid w:val="4A456472"/>
    <w:rsid w:val="4B2C486F"/>
    <w:rsid w:val="4B70010B"/>
    <w:rsid w:val="4D2D5FEC"/>
    <w:rsid w:val="4D373617"/>
    <w:rsid w:val="4D390641"/>
    <w:rsid w:val="4D913927"/>
    <w:rsid w:val="4F075432"/>
    <w:rsid w:val="4F9A19C9"/>
    <w:rsid w:val="4FCD042A"/>
    <w:rsid w:val="5020386D"/>
    <w:rsid w:val="51DE384D"/>
    <w:rsid w:val="523078FF"/>
    <w:rsid w:val="524B3888"/>
    <w:rsid w:val="53135358"/>
    <w:rsid w:val="53AB2BBA"/>
    <w:rsid w:val="53B8104D"/>
    <w:rsid w:val="5479383E"/>
    <w:rsid w:val="54A82D56"/>
    <w:rsid w:val="550E1689"/>
    <w:rsid w:val="55592A2E"/>
    <w:rsid w:val="557650C0"/>
    <w:rsid w:val="55EF0375"/>
    <w:rsid w:val="57A37640"/>
    <w:rsid w:val="57D71C89"/>
    <w:rsid w:val="5830787C"/>
    <w:rsid w:val="58976AE2"/>
    <w:rsid w:val="58B20847"/>
    <w:rsid w:val="58CC50F9"/>
    <w:rsid w:val="59494DBB"/>
    <w:rsid w:val="5974114A"/>
    <w:rsid w:val="59C47AF6"/>
    <w:rsid w:val="5A2E5F69"/>
    <w:rsid w:val="5A7D47FA"/>
    <w:rsid w:val="5A7E69C2"/>
    <w:rsid w:val="5A880B35"/>
    <w:rsid w:val="5ABE7670"/>
    <w:rsid w:val="5B044F1C"/>
    <w:rsid w:val="5B063E82"/>
    <w:rsid w:val="5B6B078B"/>
    <w:rsid w:val="5B9352A3"/>
    <w:rsid w:val="5C406A59"/>
    <w:rsid w:val="5C5564F6"/>
    <w:rsid w:val="5CA821AF"/>
    <w:rsid w:val="5CF54B1C"/>
    <w:rsid w:val="5CFD774B"/>
    <w:rsid w:val="5D606378"/>
    <w:rsid w:val="5DD30932"/>
    <w:rsid w:val="5E6A41E7"/>
    <w:rsid w:val="5E8A72F1"/>
    <w:rsid w:val="5EC97700"/>
    <w:rsid w:val="5ED63E38"/>
    <w:rsid w:val="5F511798"/>
    <w:rsid w:val="605508EB"/>
    <w:rsid w:val="606A7CF7"/>
    <w:rsid w:val="60DF1D6B"/>
    <w:rsid w:val="61442D37"/>
    <w:rsid w:val="61E42219"/>
    <w:rsid w:val="622C18D2"/>
    <w:rsid w:val="629D3C8C"/>
    <w:rsid w:val="62D4038F"/>
    <w:rsid w:val="62ED6C54"/>
    <w:rsid w:val="63452D69"/>
    <w:rsid w:val="63D14186"/>
    <w:rsid w:val="64C6383A"/>
    <w:rsid w:val="66B405E1"/>
    <w:rsid w:val="66D07C96"/>
    <w:rsid w:val="67167DD8"/>
    <w:rsid w:val="68D81FCE"/>
    <w:rsid w:val="6A162576"/>
    <w:rsid w:val="6AC8114F"/>
    <w:rsid w:val="6AE532FB"/>
    <w:rsid w:val="6B6F7B1C"/>
    <w:rsid w:val="6BB1326C"/>
    <w:rsid w:val="6C305B70"/>
    <w:rsid w:val="6C3173D8"/>
    <w:rsid w:val="6C551725"/>
    <w:rsid w:val="6C5E7632"/>
    <w:rsid w:val="6D507167"/>
    <w:rsid w:val="6DF51921"/>
    <w:rsid w:val="6E26400D"/>
    <w:rsid w:val="6F03756C"/>
    <w:rsid w:val="7028738F"/>
    <w:rsid w:val="70E178AF"/>
    <w:rsid w:val="71463740"/>
    <w:rsid w:val="71C27420"/>
    <w:rsid w:val="71EA721B"/>
    <w:rsid w:val="727C6A8F"/>
    <w:rsid w:val="72822E9E"/>
    <w:rsid w:val="735C74F7"/>
    <w:rsid w:val="73AE3BFE"/>
    <w:rsid w:val="73D97371"/>
    <w:rsid w:val="74F03DC3"/>
    <w:rsid w:val="75461336"/>
    <w:rsid w:val="75CD2729"/>
    <w:rsid w:val="76A00491"/>
    <w:rsid w:val="76DB5A4A"/>
    <w:rsid w:val="77751833"/>
    <w:rsid w:val="781768E8"/>
    <w:rsid w:val="789264F5"/>
    <w:rsid w:val="78A70169"/>
    <w:rsid w:val="790510B3"/>
    <w:rsid w:val="795945F2"/>
    <w:rsid w:val="796B4646"/>
    <w:rsid w:val="79D12542"/>
    <w:rsid w:val="7AD754F1"/>
    <w:rsid w:val="7B0410CD"/>
    <w:rsid w:val="7B4D7C8A"/>
    <w:rsid w:val="7B5B603A"/>
    <w:rsid w:val="7C8010E1"/>
    <w:rsid w:val="7CB15279"/>
    <w:rsid w:val="7CEB1895"/>
    <w:rsid w:val="7D521FCF"/>
    <w:rsid w:val="7E9C7095"/>
    <w:rsid w:val="7EC04829"/>
    <w:rsid w:val="7EC47165"/>
    <w:rsid w:val="7FF42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1043" w:firstLineChars="200"/>
      <w:jc w:val="both"/>
    </w:pPr>
    <w:rPr>
      <w:rFonts w:ascii="Times New Roman" w:hAnsi="Times New Roman" w:eastAsia="宋体" w:cs="Times New Roman"/>
      <w:sz w:val="24"/>
      <w:lang w:val="en-US" w:eastAsia="zh-CN" w:bidi="ar-SA"/>
    </w:rPr>
  </w:style>
  <w:style w:type="paragraph" w:styleId="2">
    <w:name w:val="heading 1"/>
    <w:basedOn w:val="1"/>
    <w:next w:val="1"/>
    <w:qFormat/>
    <w:uiPriority w:val="0"/>
    <w:pPr>
      <w:numPr>
        <w:ilvl w:val="0"/>
        <w:numId w:val="1"/>
      </w:numPr>
      <w:ind w:left="432" w:hanging="432" w:firstLineChars="0"/>
      <w:jc w:val="center"/>
      <w:outlineLvl w:val="0"/>
    </w:pPr>
    <w:rPr>
      <w:rFonts w:ascii="Times New Roman" w:hAnsi="Times New Roman" w:eastAsia="宋体"/>
      <w:b/>
      <w:bCs/>
      <w:sz w:val="32"/>
      <w:szCs w:val="32"/>
      <w:lang w:eastAsia="en-US"/>
    </w:rPr>
  </w:style>
  <w:style w:type="paragraph" w:styleId="3">
    <w:name w:val="heading 2"/>
    <w:basedOn w:val="1"/>
    <w:next w:val="1"/>
    <w:link w:val="32"/>
    <w:unhideWhenUsed/>
    <w:qFormat/>
    <w:uiPriority w:val="0"/>
    <w:pPr>
      <w:numPr>
        <w:ilvl w:val="1"/>
        <w:numId w:val="1"/>
      </w:numPr>
      <w:spacing w:line="360" w:lineRule="auto"/>
      <w:ind w:left="0" w:firstLine="0" w:firstLineChars="0"/>
      <w:jc w:val="left"/>
      <w:outlineLvl w:val="1"/>
    </w:pPr>
    <w:rPr>
      <w:rFonts w:ascii="Times New Roman" w:hAnsi="Times New Roman" w:eastAsia="宋体"/>
      <w:b/>
      <w:bCs/>
      <w:sz w:val="28"/>
      <w:szCs w:val="28"/>
    </w:rPr>
  </w:style>
  <w:style w:type="paragraph" w:styleId="4">
    <w:name w:val="heading 3"/>
    <w:basedOn w:val="1"/>
    <w:next w:val="1"/>
    <w:link w:val="34"/>
    <w:unhideWhenUsed/>
    <w:qFormat/>
    <w:uiPriority w:val="0"/>
    <w:pPr>
      <w:numPr>
        <w:ilvl w:val="2"/>
        <w:numId w:val="1"/>
      </w:numPr>
      <w:ind w:left="0" w:firstLine="0" w:firstLineChars="0"/>
      <w:outlineLvl w:val="2"/>
    </w:pPr>
    <w:rPr>
      <w:rFonts w:ascii="Times New Roman" w:hAnsi="Times New Roman" w:eastAsia="宋体"/>
      <w:b/>
      <w:bCs/>
      <w:szCs w:val="24"/>
      <w:lang w:eastAsia="en-US"/>
    </w:rPr>
  </w:style>
  <w:style w:type="paragraph" w:styleId="5">
    <w:name w:val="heading 4"/>
    <w:basedOn w:val="1"/>
    <w:next w:val="1"/>
    <w:unhideWhenUsed/>
    <w:qFormat/>
    <w:uiPriority w:val="0"/>
    <w:pPr>
      <w:keepNext w:val="0"/>
      <w:keepLines w:val="0"/>
      <w:numPr>
        <w:ilvl w:val="3"/>
        <w:numId w:val="1"/>
      </w:numPr>
      <w:adjustRightInd w:val="0"/>
      <w:snapToGrid w:val="0"/>
      <w:spacing w:beforeAutospacing="0" w:afterLines="0" w:afterAutospacing="0" w:line="360" w:lineRule="auto"/>
      <w:ind w:left="0" w:firstLine="0" w:firstLineChars="0"/>
      <w:outlineLvl w:val="3"/>
    </w:pPr>
    <w:rPr>
      <w:rFonts w:ascii="Times New Roman" w:hAnsi="Times New Roman" w:eastAsia="宋体"/>
      <w:b/>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2" w:hanging="1152"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4" w:hanging="1584" w:firstLineChars="0"/>
      <w:outlineLvl w:val="8"/>
    </w:pPr>
    <w:rPr>
      <w:rFonts w:ascii="Arial" w:hAnsi="Arial" w:eastAsia="黑体"/>
      <w:sz w:val="21"/>
    </w:rPr>
  </w:style>
  <w:style w:type="character" w:default="1" w:styleId="26">
    <w:name w:val="Default Paragraph Font"/>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11">
    <w:name w:val="caption"/>
    <w:basedOn w:val="1"/>
    <w:next w:val="1"/>
    <w:unhideWhenUsed/>
    <w:qFormat/>
    <w:uiPriority w:val="35"/>
    <w:pPr>
      <w:spacing w:line="360" w:lineRule="auto"/>
      <w:ind w:firstLine="0" w:firstLineChars="0"/>
      <w:jc w:val="center"/>
    </w:pPr>
    <w:rPr>
      <w:rFonts w:ascii="Times New Roman" w:hAnsi="Times New Roman" w:eastAsia="宋体" w:cstheme="majorBidi"/>
      <w:b/>
      <w:sz w:val="21"/>
    </w:rPr>
  </w:style>
  <w:style w:type="paragraph" w:styleId="12">
    <w:name w:val="annotation text"/>
    <w:basedOn w:val="1"/>
    <w:qFormat/>
    <w:uiPriority w:val="0"/>
    <w:pPr>
      <w:jc w:val="left"/>
    </w:pPr>
  </w:style>
  <w:style w:type="paragraph" w:styleId="13">
    <w:name w:val="Body Text"/>
    <w:basedOn w:val="1"/>
    <w:next w:val="14"/>
    <w:qFormat/>
    <w:uiPriority w:val="1"/>
    <w:pPr>
      <w:spacing w:line="360" w:lineRule="auto"/>
      <w:ind w:left="0"/>
      <w:jc w:val="left"/>
    </w:pPr>
    <w:rPr>
      <w:rFonts w:ascii="宋体" w:hAnsi="宋体" w:eastAsia="宋体"/>
      <w:kern w:val="0"/>
      <w:sz w:val="24"/>
      <w:szCs w:val="24"/>
      <w:lang w:eastAsia="en-US"/>
    </w:rPr>
  </w:style>
  <w:style w:type="paragraph" w:styleId="14">
    <w:name w:val="Body Text 2"/>
    <w:basedOn w:val="1"/>
    <w:unhideWhenUsed/>
    <w:qFormat/>
    <w:uiPriority w:val="0"/>
    <w:pPr>
      <w:widowControl w:val="0"/>
      <w:spacing w:after="120" w:line="480" w:lineRule="exact"/>
      <w:ind w:left="420" w:leftChars="200" w:firstLine="480" w:firstLineChars="200"/>
    </w:pPr>
    <w:rPr>
      <w:szCs w:val="20"/>
    </w:rPr>
  </w:style>
  <w:style w:type="paragraph" w:styleId="15">
    <w:name w:val="Body Text Indent"/>
    <w:basedOn w:val="1"/>
    <w:next w:val="16"/>
    <w:qFormat/>
    <w:uiPriority w:val="0"/>
    <w:pPr>
      <w:ind w:firstLine="480" w:firstLineChars="200"/>
    </w:pPr>
    <w:rPr>
      <w:sz w:val="24"/>
    </w:rPr>
  </w:style>
  <w:style w:type="paragraph" w:styleId="16">
    <w:name w:val="Body Text Indent 2"/>
    <w:basedOn w:val="1"/>
    <w:qFormat/>
    <w:uiPriority w:val="0"/>
    <w:pPr>
      <w:ind w:firstLine="564"/>
    </w:pPr>
    <w:rPr>
      <w:rFonts w:ascii="华文中宋" w:hAnsi="华文中宋" w:eastAsia="华文中宋"/>
      <w:kern w:val="28"/>
      <w:sz w:val="28"/>
      <w:szCs w:val="20"/>
    </w:rPr>
  </w:style>
  <w:style w:type="paragraph" w:styleId="17">
    <w:name w:val="toc 3"/>
    <w:basedOn w:val="1"/>
    <w:next w:val="1"/>
    <w:qFormat/>
    <w:uiPriority w:val="0"/>
    <w:pPr>
      <w:ind w:left="840" w:leftChars="400"/>
    </w:p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toc 2"/>
    <w:basedOn w:val="1"/>
    <w:next w:val="1"/>
    <w:qFormat/>
    <w:uiPriority w:val="0"/>
    <w:pPr>
      <w:ind w:left="420" w:leftChars="200"/>
    </w:pPr>
  </w:style>
  <w:style w:type="paragraph" w:styleId="2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3">
    <w:name w:val="Body Text First Indent 2"/>
    <w:basedOn w:val="15"/>
    <w:next w:val="15"/>
    <w:qFormat/>
    <w:uiPriority w:val="0"/>
    <w:pPr>
      <w:ind w:firstLine="420" w:firstLineChars="200"/>
    </w:pPr>
    <w:rPr>
      <w:rFonts w:ascii="Times New Roman" w:hAnsi="Times New Roman" w:eastAsia="宋体"/>
    </w:r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Hyperlink"/>
    <w:basedOn w:val="26"/>
    <w:qFormat/>
    <w:uiPriority w:val="0"/>
    <w:rPr>
      <w:color w:val="0000FF"/>
      <w:u w:val="single"/>
    </w:rPr>
  </w:style>
  <w:style w:type="paragraph" w:customStyle="1" w:styleId="29">
    <w:name w:val="xl27"/>
    <w:basedOn w:val="1"/>
    <w:next w:val="30"/>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rPr>
  </w:style>
  <w:style w:type="paragraph" w:customStyle="1" w:styleId="30">
    <w:name w:val="A正文"/>
    <w:basedOn w:val="1"/>
    <w:qFormat/>
    <w:uiPriority w:val="0"/>
    <w:pPr>
      <w:widowControl/>
      <w:ind w:firstLine="480"/>
      <w:jc w:val="left"/>
    </w:pPr>
    <w:rPr>
      <w:rFonts w:ascii="宋体" w:hAnsi="宋体"/>
      <w:kern w:val="0"/>
      <w:szCs w:val="22"/>
    </w:rPr>
  </w:style>
  <w:style w:type="paragraph" w:customStyle="1" w:styleId="31">
    <w:name w:val="表格居中"/>
    <w:qFormat/>
    <w:uiPriority w:val="0"/>
    <w:pPr>
      <w:spacing w:line="240" w:lineRule="auto"/>
      <w:ind w:firstLine="0" w:firstLineChars="0"/>
      <w:jc w:val="center"/>
    </w:pPr>
    <w:rPr>
      <w:rFonts w:ascii="Times New Roman" w:hAnsi="Times New Roman" w:eastAsia="宋体" w:cs="Times New Roman"/>
      <w:bCs/>
      <w:sz w:val="21"/>
      <w:szCs w:val="21"/>
    </w:rPr>
  </w:style>
  <w:style w:type="character" w:customStyle="1" w:styleId="32">
    <w:name w:val="标题 2 Char"/>
    <w:link w:val="3"/>
    <w:qFormat/>
    <w:uiPriority w:val="0"/>
    <w:rPr>
      <w:rFonts w:ascii="Times New Roman" w:hAnsi="Times New Roman" w:eastAsia="宋体" w:cs="Times New Roman"/>
      <w:b/>
      <w:bCs/>
      <w:sz w:val="28"/>
      <w:szCs w:val="28"/>
    </w:rPr>
  </w:style>
  <w:style w:type="table" w:customStyle="1" w:styleId="33">
    <w:name w:val="Table Normal"/>
    <w:semiHidden/>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34">
    <w:name w:val="标题 3 Char"/>
    <w:link w:val="4"/>
    <w:qFormat/>
    <w:uiPriority w:val="0"/>
    <w:rPr>
      <w:rFonts w:ascii="Times New Roman" w:hAnsi="Times New Roman" w:eastAsia="宋体"/>
      <w:b/>
      <w:bCs/>
      <w:szCs w:val="24"/>
      <w:lang w:eastAsia="en-US"/>
    </w:rPr>
  </w:style>
  <w:style w:type="paragraph" w:customStyle="1" w:styleId="35">
    <w:name w:val="图表 标题"/>
    <w:basedOn w:val="1"/>
    <w:qFormat/>
    <w:uiPriority w:val="0"/>
    <w:pPr>
      <w:spacing w:before="50" w:beforeLines="50" w:line="360" w:lineRule="auto"/>
      <w:ind w:firstLine="0" w:firstLineChars="0"/>
      <w:jc w:val="center"/>
    </w:pPr>
    <w:rPr>
      <w:b/>
      <w:sz w:val="21"/>
      <w:szCs w:val="21"/>
    </w:rPr>
  </w:style>
  <w:style w:type="paragraph" w:customStyle="1" w:styleId="36">
    <w:name w:val="表格"/>
    <w:basedOn w:val="1"/>
    <w:next w:val="1"/>
    <w:qFormat/>
    <w:uiPriority w:val="0"/>
    <w:pPr>
      <w:adjustRightInd w:val="0"/>
      <w:snapToGrid w:val="0"/>
      <w:spacing w:line="240" w:lineRule="auto"/>
      <w:ind w:firstLine="0" w:firstLineChars="0"/>
      <w:jc w:val="center"/>
    </w:pPr>
    <w:rPr>
      <w:kern w:val="0"/>
      <w:sz w:val="21"/>
      <w:szCs w:val="21"/>
    </w:rPr>
  </w:style>
  <w:style w:type="table" w:customStyle="1" w:styleId="37">
    <w:name w:val="TableGrid"/>
    <w:qFormat/>
    <w:uiPriority w:val="0"/>
    <w:rPr>
      <w:rFonts w:asciiTheme="minorHAnsi" w:hAnsiTheme="minorHAnsi" w:eastAsiaTheme="minorEastAsia" w:cstheme="minorBidi"/>
      <w:kern w:val="2"/>
      <w:sz w:val="21"/>
      <w:szCs w:val="22"/>
    </w:rPr>
    <w:tblPr>
      <w:tblCellMar>
        <w:top w:w="0" w:type="dxa"/>
        <w:left w:w="0" w:type="dxa"/>
        <w:bottom w:w="0" w:type="dxa"/>
        <w:right w:w="0" w:type="dxa"/>
      </w:tblCellMar>
    </w:tblPr>
  </w:style>
  <w:style w:type="table" w:customStyle="1" w:styleId="38">
    <w:name w:val="Table Normal1"/>
    <w:basedOn w:val="24"/>
    <w:qFormat/>
    <w:uiPriority w:val="0"/>
    <w:pPr>
      <w:widowControl w:val="0"/>
      <w:autoSpaceDE w:val="0"/>
      <w:autoSpaceDN w:val="0"/>
    </w:pPr>
    <w:rPr>
      <w:rFonts w:eastAsia="Times New Roman"/>
      <w:sz w:val="22"/>
      <w:szCs w:val="22"/>
      <w:lang w:eastAsia="en-US"/>
    </w:rPr>
    <w:tblPr>
      <w:tblCellMar>
        <w:left w:w="0" w:type="dxa"/>
        <w:right w:w="0" w:type="dxa"/>
      </w:tblCellMar>
    </w:tblPr>
  </w:style>
  <w:style w:type="table" w:customStyle="1" w:styleId="39">
    <w:name w:val="网格型1"/>
    <w:basedOn w:val="24"/>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
    <w:name w:val="Table Normal2"/>
    <w:basedOn w:val="24"/>
    <w:qFormat/>
    <w:uiPriority w:val="0"/>
    <w:pPr>
      <w:widowControl w:val="0"/>
      <w:autoSpaceDE w:val="0"/>
      <w:autoSpaceDN w:val="0"/>
    </w:pPr>
    <w:rPr>
      <w:rFonts w:eastAsia="Times New Roman"/>
      <w:sz w:val="22"/>
      <w:szCs w:val="22"/>
      <w:lang w:eastAsia="en-US"/>
    </w:rPr>
    <w:tblPr>
      <w:tblCellMar>
        <w:left w:w="0" w:type="dxa"/>
        <w:right w:w="0" w:type="dxa"/>
      </w:tblCellMar>
    </w:tblPr>
  </w:style>
  <w:style w:type="table" w:customStyle="1" w:styleId="41">
    <w:name w:val="Table Normal3"/>
    <w:basedOn w:val="24"/>
    <w:qFormat/>
    <w:uiPriority w:val="0"/>
    <w:pPr>
      <w:widowControl w:val="0"/>
      <w:autoSpaceDE w:val="0"/>
      <w:autoSpaceDN w:val="0"/>
    </w:pPr>
    <w:rPr>
      <w:rFonts w:eastAsia="Times New Roman"/>
      <w:sz w:val="22"/>
      <w:szCs w:val="22"/>
      <w:lang w:eastAsia="en-US"/>
    </w:rPr>
    <w:tblPr>
      <w:tblCellMar>
        <w:left w:w="0" w:type="dxa"/>
        <w:right w:w="0" w:type="dxa"/>
      </w:tblCellMar>
    </w:tblPr>
  </w:style>
  <w:style w:type="character" w:customStyle="1" w:styleId="42">
    <w:name w:val="font31"/>
    <w:basedOn w:val="26"/>
    <w:qFormat/>
    <w:uiPriority w:val="0"/>
    <w:rPr>
      <w:rFonts w:ascii="宋体" w:hAnsi="宋体" w:eastAsia="宋体" w:cs="宋体"/>
      <w:b/>
      <w:bCs/>
      <w:color w:val="000000"/>
      <w:sz w:val="20"/>
      <w:szCs w:val="20"/>
      <w:u w:val="none"/>
    </w:rPr>
  </w:style>
  <w:style w:type="character" w:customStyle="1" w:styleId="43">
    <w:name w:val="font41"/>
    <w:basedOn w:val="26"/>
    <w:qFormat/>
    <w:uiPriority w:val="0"/>
    <w:rPr>
      <w:rFonts w:ascii="宋体" w:hAnsi="宋体" w:eastAsia="宋体" w:cs="宋体"/>
      <w:color w:val="000000"/>
      <w:sz w:val="20"/>
      <w:szCs w:val="20"/>
      <w:u w:val="none"/>
    </w:rPr>
  </w:style>
  <w:style w:type="character" w:customStyle="1" w:styleId="44">
    <w:name w:val="font51"/>
    <w:basedOn w:val="26"/>
    <w:qFormat/>
    <w:uiPriority w:val="0"/>
    <w:rPr>
      <w:rFonts w:ascii="宋体" w:hAnsi="宋体" w:eastAsia="宋体" w:cs="宋体"/>
      <w:color w:val="000000"/>
      <w:sz w:val="16"/>
      <w:szCs w:val="16"/>
      <w:u w:val="none"/>
    </w:rPr>
  </w:style>
  <w:style w:type="character" w:customStyle="1" w:styleId="45">
    <w:name w:val="font61"/>
    <w:basedOn w:val="26"/>
    <w:qFormat/>
    <w:uiPriority w:val="0"/>
    <w:rPr>
      <w:rFonts w:ascii="宋体" w:hAnsi="宋体" w:eastAsia="宋体" w:cs="宋体"/>
      <w:b/>
      <w:bCs/>
      <w:color w:val="000000"/>
      <w:sz w:val="16"/>
      <w:szCs w:val="16"/>
      <w:u w:val="none"/>
    </w:rPr>
  </w:style>
  <w:style w:type="paragraph" w:customStyle="1" w:styleId="46">
    <w:name w:val="表头"/>
    <w:basedOn w:val="2"/>
    <w:qFormat/>
    <w:uiPriority w:val="0"/>
    <w:pPr>
      <w:keepNext w:val="0"/>
      <w:keepLines w:val="0"/>
      <w:adjustRightInd w:val="0"/>
      <w:snapToGrid w:val="0"/>
      <w:spacing w:beforeLines="50" w:line="240" w:lineRule="auto"/>
      <w:ind w:firstLine="0" w:firstLineChars="0"/>
      <w:outlineLvl w:val="9"/>
    </w:pPr>
    <w:rPr>
      <w:rFonts w:ascii="宋体" w:hAnsi="宋体" w:eastAsia="宋体" w:cs="宋体"/>
      <w:bCs w:val="0"/>
      <w:smallCaps/>
      <w:spacing w:val="5"/>
      <w:kern w:val="0"/>
      <w:sz w:val="28"/>
      <w:szCs w:val="28"/>
    </w:rPr>
  </w:style>
  <w:style w:type="paragraph" w:customStyle="1" w:styleId="47">
    <w:name w:val="报告正文"/>
    <w:basedOn w:val="1"/>
    <w:qFormat/>
    <w:uiPriority w:val="0"/>
    <w:pPr>
      <w:ind w:firstLine="560"/>
    </w:pPr>
    <w:rPr>
      <w:rFonts w:ascii="宋体" w:hAnsi="宋体"/>
      <w:color w:val="000000"/>
      <w:szCs w:val="28"/>
    </w:rPr>
  </w:style>
  <w:style w:type="paragraph" w:customStyle="1" w:styleId="48">
    <w:name w:val="Table Text"/>
    <w:basedOn w:val="1"/>
    <w:semiHidden/>
    <w:qFormat/>
    <w:uiPriority w:val="0"/>
    <w:rPr>
      <w:rFonts w:ascii="Arial" w:hAnsi="Arial" w:eastAsia="Arial" w:cs="Arial"/>
      <w:sz w:val="21"/>
      <w:szCs w:val="21"/>
      <w:lang w:val="en-US" w:eastAsia="en-US" w:bidi="ar-SA"/>
    </w:rPr>
  </w:style>
  <w:style w:type="character" w:customStyle="1" w:styleId="49">
    <w:name w:val="font71"/>
    <w:basedOn w:val="26"/>
    <w:qFormat/>
    <w:uiPriority w:val="0"/>
    <w:rPr>
      <w:rFonts w:ascii="宋体" w:hAnsi="宋体" w:eastAsia="宋体" w:cs="宋体"/>
      <w:color w:val="000000"/>
      <w:sz w:val="18"/>
      <w:szCs w:val="18"/>
      <w:u w:val="none"/>
    </w:rPr>
  </w:style>
  <w:style w:type="character" w:customStyle="1" w:styleId="50">
    <w:name w:val="font81"/>
    <w:basedOn w:val="26"/>
    <w:qFormat/>
    <w:uiPriority w:val="0"/>
    <w:rPr>
      <w:rFonts w:hint="default" w:ascii="Arial" w:hAnsi="Arial" w:cs="Arial"/>
      <w:color w:val="000000"/>
      <w:sz w:val="20"/>
      <w:szCs w:val="20"/>
      <w:u w:val="single"/>
    </w:rPr>
  </w:style>
  <w:style w:type="character" w:customStyle="1" w:styleId="51">
    <w:name w:val="font91"/>
    <w:basedOn w:val="26"/>
    <w:qFormat/>
    <w:uiPriority w:val="0"/>
    <w:rPr>
      <w:rFonts w:ascii="宋体" w:hAnsi="宋体" w:eastAsia="宋体" w:cs="宋体"/>
      <w:color w:val="000000"/>
      <w:sz w:val="16"/>
      <w:szCs w:val="16"/>
      <w:u w:val="none"/>
    </w:rPr>
  </w:style>
  <w:style w:type="paragraph" w:customStyle="1" w:styleId="52">
    <w:name w:val="正文1"/>
    <w:basedOn w:val="1"/>
    <w:qFormat/>
    <w:uiPriority w:val="0"/>
    <w:pPr>
      <w:snapToGrid w:val="0"/>
      <w:spacing w:line="360" w:lineRule="auto"/>
      <w:ind w:firstLine="480" w:firstLineChars="200"/>
    </w:pPr>
    <w:rPr>
      <w:rFonts w:hint="eastAsia" w:ascii="宋体" w:hAnsi="宋体"/>
      <w:sz w:val="24"/>
      <w:szCs w:val="20"/>
    </w:rPr>
  </w:style>
  <w:style w:type="paragraph" w:customStyle="1" w:styleId="53">
    <w:name w:val="正文格式111"/>
    <w:basedOn w:val="1"/>
    <w:qFormat/>
    <w:uiPriority w:val="0"/>
    <w:pPr>
      <w:snapToGrid w:val="0"/>
      <w:spacing w:line="300" w:lineRule="auto"/>
      <w:ind w:firstLine="480" w:firstLineChars="200"/>
    </w:pPr>
    <w:rPr>
      <w:rFonts w:hint="eastAsia" w:ascii="宋体" w:hAnsi="宋体"/>
      <w:sz w:val="24"/>
    </w:rPr>
  </w:style>
  <w:style w:type="paragraph" w:customStyle="1" w:styleId="54">
    <w:name w:val="Default"/>
    <w:basedOn w:val="55"/>
    <w:unhideWhenUsed/>
    <w:qFormat/>
    <w:uiPriority w:val="99"/>
    <w:pPr>
      <w:widowControl w:val="0"/>
      <w:autoSpaceDE w:val="0"/>
      <w:autoSpaceDN w:val="0"/>
      <w:adjustRightInd w:val="0"/>
    </w:pPr>
    <w:rPr>
      <w:rFonts w:hint="eastAsia" w:ascii="宋体" w:hAnsi="宋体" w:eastAsia="宋体" w:cs="Times New Roman"/>
      <w:color w:val="000000"/>
      <w:sz w:val="24"/>
      <w:szCs w:val="22"/>
      <w:lang w:val="en-US" w:eastAsia="zh-CN" w:bidi="ar-SA"/>
    </w:rPr>
  </w:style>
  <w:style w:type="paragraph" w:customStyle="1" w:styleId="55">
    <w:name w:val="标题2"/>
    <w:basedOn w:val="1"/>
    <w:qFormat/>
    <w:uiPriority w:val="99"/>
    <w:pPr>
      <w:spacing w:line="360" w:lineRule="auto"/>
      <w:ind w:firstLine="0" w:firstLineChars="0"/>
      <w:jc w:val="left"/>
    </w:pPr>
    <w:rPr>
      <w:rFonts w:ascii="Times New Roman" w:hAnsi="Times New Roman" w:eastAsia="宋体"/>
      <w:b/>
      <w:sz w:val="28"/>
    </w:rPr>
  </w:style>
  <w:style w:type="character" w:customStyle="1" w:styleId="56">
    <w:name w:val="font21"/>
    <w:basedOn w:val="26"/>
    <w:qFormat/>
    <w:uiPriority w:val="0"/>
    <w:rPr>
      <w:rFonts w:hint="default" w:ascii="Times New Roman" w:hAnsi="Times New Roman" w:cs="Times New Roman"/>
      <w:color w:val="000000"/>
      <w:sz w:val="24"/>
      <w:szCs w:val="24"/>
      <w:u w:val="none"/>
    </w:rPr>
  </w:style>
  <w:style w:type="character" w:customStyle="1" w:styleId="57">
    <w:name w:val="font11"/>
    <w:basedOn w:val="26"/>
    <w:qFormat/>
    <w:uiPriority w:val="0"/>
    <w:rPr>
      <w:rFonts w:hint="eastAsia" w:ascii="宋体" w:hAnsi="宋体" w:eastAsia="宋体" w:cs="宋体"/>
      <w:color w:val="000000"/>
      <w:sz w:val="24"/>
      <w:szCs w:val="24"/>
      <w:u w:val="none"/>
    </w:rPr>
  </w:style>
  <w:style w:type="paragraph" w:customStyle="1" w:styleId="58">
    <w:name w:val="华盛江泉正文"/>
    <w:basedOn w:val="1"/>
    <w:autoRedefine/>
    <w:qFormat/>
    <w:uiPriority w:val="0"/>
    <w:pPr>
      <w:adjustRightInd w:val="0"/>
      <w:snapToGrid w:val="0"/>
      <w:spacing w:line="360" w:lineRule="auto"/>
      <w:ind w:firstLine="200" w:firstLineChars="200"/>
    </w:pPr>
    <w:rPr>
      <w:rFonts w:ascii="Times New Roman" w:hAnsi="Times New Roman" w:eastAsia="仿宋_GB2312" w:cs="Times New Roman"/>
      <w:sz w:val="24"/>
      <w:szCs w:val="21"/>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numbering" Target="numbering.xml"/><Relationship Id="rId90" Type="http://schemas.openxmlformats.org/officeDocument/2006/relationships/customXml" Target="../customXml/item1.xml"/><Relationship Id="rId9" Type="http://schemas.openxmlformats.org/officeDocument/2006/relationships/footer" Target="footer3.xml"/><Relationship Id="rId89" Type="http://schemas.openxmlformats.org/officeDocument/2006/relationships/image" Target="media/image65.png"/><Relationship Id="rId88" Type="http://schemas.openxmlformats.org/officeDocument/2006/relationships/image" Target="media/image64.png"/><Relationship Id="rId87" Type="http://schemas.openxmlformats.org/officeDocument/2006/relationships/image" Target="media/image63.png"/><Relationship Id="rId86" Type="http://schemas.openxmlformats.org/officeDocument/2006/relationships/image" Target="media/image62.png"/><Relationship Id="rId85" Type="http://schemas.openxmlformats.org/officeDocument/2006/relationships/image" Target="media/image61.png"/><Relationship Id="rId84" Type="http://schemas.openxmlformats.org/officeDocument/2006/relationships/image" Target="media/image60.jpeg"/><Relationship Id="rId83" Type="http://schemas.openxmlformats.org/officeDocument/2006/relationships/image" Target="media/image59.jpeg"/><Relationship Id="rId82" Type="http://schemas.openxmlformats.org/officeDocument/2006/relationships/image" Target="media/image58.jpeg"/><Relationship Id="rId81" Type="http://schemas.openxmlformats.org/officeDocument/2006/relationships/image" Target="media/image57.jpeg"/><Relationship Id="rId80" Type="http://schemas.openxmlformats.org/officeDocument/2006/relationships/image" Target="media/image56.jpeg"/><Relationship Id="rId8" Type="http://schemas.openxmlformats.org/officeDocument/2006/relationships/footer" Target="footer2.xml"/><Relationship Id="rId79" Type="http://schemas.openxmlformats.org/officeDocument/2006/relationships/image" Target="media/image55.jpeg"/><Relationship Id="rId78" Type="http://schemas.openxmlformats.org/officeDocument/2006/relationships/image" Target="media/image54.jpeg"/><Relationship Id="rId77" Type="http://schemas.openxmlformats.org/officeDocument/2006/relationships/image" Target="media/image53.jpeg"/><Relationship Id="rId76" Type="http://schemas.openxmlformats.org/officeDocument/2006/relationships/image" Target="media/image52.png"/><Relationship Id="rId75" Type="http://schemas.openxmlformats.org/officeDocument/2006/relationships/image" Target="media/image51.png"/><Relationship Id="rId74" Type="http://schemas.openxmlformats.org/officeDocument/2006/relationships/chart" Target="charts/chart3.xml"/><Relationship Id="rId73" Type="http://schemas.openxmlformats.org/officeDocument/2006/relationships/chart" Target="charts/chart2.xml"/><Relationship Id="rId72" Type="http://schemas.openxmlformats.org/officeDocument/2006/relationships/image" Target="media/image50.png"/><Relationship Id="rId71" Type="http://schemas.openxmlformats.org/officeDocument/2006/relationships/image" Target="media/image49.png"/><Relationship Id="rId70" Type="http://schemas.openxmlformats.org/officeDocument/2006/relationships/image" Target="media/image48.png"/><Relationship Id="rId7" Type="http://schemas.openxmlformats.org/officeDocument/2006/relationships/header" Target="header2.xml"/><Relationship Id="rId69" Type="http://schemas.openxmlformats.org/officeDocument/2006/relationships/image" Target="media/image47.png"/><Relationship Id="rId68" Type="http://schemas.openxmlformats.org/officeDocument/2006/relationships/image" Target="media/image46.png"/><Relationship Id="rId67" Type="http://schemas.openxmlformats.org/officeDocument/2006/relationships/image" Target="media/image45.png"/><Relationship Id="rId66" Type="http://schemas.openxmlformats.org/officeDocument/2006/relationships/image" Target="media/image44.png"/><Relationship Id="rId65" Type="http://schemas.openxmlformats.org/officeDocument/2006/relationships/image" Target="media/image43.png"/><Relationship Id="rId64" Type="http://schemas.openxmlformats.org/officeDocument/2006/relationships/image" Target="media/image42.png"/><Relationship Id="rId63" Type="http://schemas.openxmlformats.org/officeDocument/2006/relationships/image" Target="media/image41.png"/><Relationship Id="rId62" Type="http://schemas.openxmlformats.org/officeDocument/2006/relationships/image" Target="media/image40.png"/><Relationship Id="rId61" Type="http://schemas.openxmlformats.org/officeDocument/2006/relationships/image" Target="media/image39.png"/><Relationship Id="rId60" Type="http://schemas.openxmlformats.org/officeDocument/2006/relationships/image" Target="media/image38.png"/><Relationship Id="rId6" Type="http://schemas.openxmlformats.org/officeDocument/2006/relationships/footer" Target="footer1.xml"/><Relationship Id="rId59" Type="http://schemas.openxmlformats.org/officeDocument/2006/relationships/image" Target="media/image37.png"/><Relationship Id="rId58" Type="http://schemas.openxmlformats.org/officeDocument/2006/relationships/image" Target="media/image36.png"/><Relationship Id="rId57" Type="http://schemas.openxmlformats.org/officeDocument/2006/relationships/image" Target="media/image35.png"/><Relationship Id="rId56" Type="http://schemas.openxmlformats.org/officeDocument/2006/relationships/image" Target="media/image34.png"/><Relationship Id="rId55" Type="http://schemas.openxmlformats.org/officeDocument/2006/relationships/image" Target="media/image33.png"/><Relationship Id="rId54" Type="http://schemas.openxmlformats.org/officeDocument/2006/relationships/image" Target="media/image32.png"/><Relationship Id="rId53" Type="http://schemas.openxmlformats.org/officeDocument/2006/relationships/image" Target="media/image31.png"/><Relationship Id="rId52" Type="http://schemas.openxmlformats.org/officeDocument/2006/relationships/image" Target="media/image30.jpeg"/><Relationship Id="rId51" Type="http://schemas.openxmlformats.org/officeDocument/2006/relationships/image" Target="media/image29.png"/><Relationship Id="rId50" Type="http://schemas.openxmlformats.org/officeDocument/2006/relationships/chart" Target="charts/chart1.xml"/><Relationship Id="rId5" Type="http://schemas.openxmlformats.org/officeDocument/2006/relationships/header" Target="header1.xml"/><Relationship Id="rId49" Type="http://schemas.openxmlformats.org/officeDocument/2006/relationships/image" Target="media/image28.wmf"/><Relationship Id="rId48" Type="http://schemas.openxmlformats.org/officeDocument/2006/relationships/image" Target="media/image27.wmf"/><Relationship Id="rId47" Type="http://schemas.openxmlformats.org/officeDocument/2006/relationships/oleObject" Target="embeddings/oleObject8.bin"/><Relationship Id="rId46" Type="http://schemas.openxmlformats.org/officeDocument/2006/relationships/image" Target="media/image26.wmf"/><Relationship Id="rId45" Type="http://schemas.openxmlformats.org/officeDocument/2006/relationships/oleObject" Target="embeddings/oleObject7.bin"/><Relationship Id="rId44" Type="http://schemas.openxmlformats.org/officeDocument/2006/relationships/image" Target="media/image25.wmf"/><Relationship Id="rId43" Type="http://schemas.openxmlformats.org/officeDocument/2006/relationships/oleObject" Target="embeddings/oleObject6.bin"/><Relationship Id="rId42" Type="http://schemas.openxmlformats.org/officeDocument/2006/relationships/image" Target="media/image24.wmf"/><Relationship Id="rId41" Type="http://schemas.openxmlformats.org/officeDocument/2006/relationships/oleObject" Target="embeddings/oleObject5.bin"/><Relationship Id="rId40" Type="http://schemas.openxmlformats.org/officeDocument/2006/relationships/image" Target="media/image23.wmf"/><Relationship Id="rId4" Type="http://schemas.openxmlformats.org/officeDocument/2006/relationships/endnotes" Target="endnotes.xml"/><Relationship Id="rId39" Type="http://schemas.openxmlformats.org/officeDocument/2006/relationships/oleObject" Target="embeddings/oleObject4.bin"/><Relationship Id="rId38" Type="http://schemas.openxmlformats.org/officeDocument/2006/relationships/image" Target="media/image22.wmf"/><Relationship Id="rId37" Type="http://schemas.openxmlformats.org/officeDocument/2006/relationships/oleObject" Target="embeddings/oleObject3.bin"/><Relationship Id="rId36" Type="http://schemas.openxmlformats.org/officeDocument/2006/relationships/image" Target="media/image21.wmf"/><Relationship Id="rId35" Type="http://schemas.openxmlformats.org/officeDocument/2006/relationships/oleObject" Target="embeddings/oleObject2.bin"/><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emf"/><Relationship Id="rId30" Type="http://schemas.openxmlformats.org/officeDocument/2006/relationships/oleObject" Target="embeddings/oleObject1.bin"/><Relationship Id="rId3" Type="http://schemas.openxmlformats.org/officeDocument/2006/relationships/footnotes" Target="footnotes.xml"/><Relationship Id="rId29" Type="http://schemas.openxmlformats.org/officeDocument/2006/relationships/image" Target="media/image16.jpe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BaiduSyncdisk\25&#12289;&#31179;&#28006;&#27827;&#33322;&#36947;&#25972;&#27835;&#24037;&#31243;5&#21495;&#12289;6&#21495;&#25243;&#27877;&#21306;&#25243;&#27877;&#28165;&#38500;&#24674;&#22797;&#39033;&#30446;\&#32467;&#26524;&#22270;\&#38754;&#31215;&#32479;&#35745;.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BaiduSyncdisk\25&#12289;&#31179;&#28006;&#27827;&#33322;&#36947;&#25972;&#27835;&#24037;&#31243;5&#21495;&#12289;6&#21495;&#25243;&#27877;&#21306;&#25243;&#27877;&#28165;&#38500;&#24674;&#22797;&#39033;&#30446;\&#32467;&#26524;&#22270;\&#38754;&#31215;&#32479;&#35745;.xls"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BaiduSyncdisk\&#39033;&#30446;&#25972;&#29702;\2&#12289;&#31179;&#28006;&#27827;&#33322;&#36947;&#25972;&#27835;&#24037;&#31243;5&#21495;&#12289;6&#21495;&#25243;&#27877;&#21306;&#25243;&#27877;&#28165;&#38500;&#24674;&#22797;&#39033;&#30446;\&#35745;&#31639;&#21046;&#22270;\&#29983;&#24577;&#22270;&#20214;\&#38754;&#31215;&#32479;&#35745;.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[面积统计.xls]Sheet1!$C$15</c:f>
              <c:strCache>
                <c:ptCount val="1"/>
                <c:pt idx="0">
                  <c:v>面积（公顷）</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1"/>
              <c:layout>
                <c:manualLayout>
                  <c:x val="0.0193050193050193"/>
                  <c:y val="-0.00284697508896797"/>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110314396028682"/>
                  <c:y val="-0.0059311981020166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[面积统计.xls]Sheet1!$D$14:$I$14</c:f>
              <c:strCache>
                <c:ptCount val="6"/>
                <c:pt idx="0" c:formatCode="0.00_ ">
                  <c:v>森林生态系统</c:v>
                </c:pt>
                <c:pt idx="1" c:formatCode="0.00_ ">
                  <c:v>灌丛生态系统</c:v>
                </c:pt>
                <c:pt idx="2" c:formatCode="0.00_ ">
                  <c:v>草地生态系统</c:v>
                </c:pt>
                <c:pt idx="3" c:formatCode="0.00_ ">
                  <c:v>农田生态系统</c:v>
                </c:pt>
                <c:pt idx="4" c:formatCode="0.00_ ">
                  <c:v>湿地生态系统</c:v>
                </c:pt>
                <c:pt idx="5" c:formatCode="0.00_ ">
                  <c:v>城镇生态系统</c:v>
                </c:pt>
              </c:strCache>
            </c:strRef>
          </c:cat>
          <c:val>
            <c:numRef>
              <c:f>[面积统计.xls]Sheet1!$D$15:$I$15</c:f>
              <c:numCache>
                <c:formatCode>0.00_ </c:formatCode>
                <c:ptCount val="6"/>
                <c:pt idx="0">
                  <c:v>902.214589</c:v>
                </c:pt>
                <c:pt idx="1">
                  <c:v>45.087719</c:v>
                </c:pt>
                <c:pt idx="2">
                  <c:v>62.17411</c:v>
                </c:pt>
                <c:pt idx="3">
                  <c:v>409.897808</c:v>
                </c:pt>
                <c:pt idx="4">
                  <c:v>429.399874</c:v>
                </c:pt>
                <c:pt idx="5">
                  <c:v>150.978392</c:v>
                </c:pt>
              </c:numCache>
            </c:numRef>
          </c:val>
        </c:ser>
        <c:ser>
          <c:idx val="1"/>
          <c:order val="1"/>
          <c:tx>
            <c:strRef>
              <c:f>[面积统计.xls]Sheet1!$C$16</c:f>
              <c:strCache>
                <c:ptCount val="1"/>
                <c:pt idx="0">
                  <c:v>占比（%）</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[面积统计.xls]Sheet1!$D$14:$I$14</c:f>
              <c:strCache>
                <c:ptCount val="6"/>
                <c:pt idx="0" c:formatCode="0.00_ ">
                  <c:v>森林生态系统</c:v>
                </c:pt>
                <c:pt idx="1" c:formatCode="0.00_ ">
                  <c:v>灌丛生态系统</c:v>
                </c:pt>
                <c:pt idx="2" c:formatCode="0.00_ ">
                  <c:v>草地生态系统</c:v>
                </c:pt>
                <c:pt idx="3" c:formatCode="0.00_ ">
                  <c:v>农田生态系统</c:v>
                </c:pt>
                <c:pt idx="4" c:formatCode="0.00_ ">
                  <c:v>湿地生态系统</c:v>
                </c:pt>
                <c:pt idx="5" c:formatCode="0.00_ ">
                  <c:v>城镇生态系统</c:v>
                </c:pt>
              </c:strCache>
            </c:strRef>
          </c:cat>
          <c:val>
            <c:numRef>
              <c:f>[面积统计.xls]Sheet1!$D$16:$I$16</c:f>
              <c:numCache>
                <c:formatCode>0.00_ </c:formatCode>
                <c:ptCount val="6"/>
                <c:pt idx="0">
                  <c:v>45.1163689961245</c:v>
                </c:pt>
                <c:pt idx="1">
                  <c:v>2.25466778347293</c:v>
                </c:pt>
                <c:pt idx="2">
                  <c:v>3.1090941367671</c:v>
                </c:pt>
                <c:pt idx="3">
                  <c:v>20.4974525815727</c:v>
                </c:pt>
                <c:pt idx="4">
                  <c:v>21.4726777847231</c:v>
                </c:pt>
                <c:pt idx="5">
                  <c:v>7.54986333291661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d6273d0-8f03-4e0d-a5b8-dd87d3474c4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[面积统计.xls]Sheet1!$C$9</c:f>
              <c:strCache>
                <c:ptCount val="1"/>
                <c:pt idx="0">
                  <c:v>面积（公顷）</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1"/>
              <c:layout>
                <c:manualLayout>
                  <c:x val="0.00826810715466872"/>
                  <c:y val="-0.011575802837938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165362143093374"/>
                  <c:y val="0.011575802837938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f>[面积统计.xls]Sheet1!$D$8:$I$8</c:f>
              <c:strCache>
                <c:ptCount val="6"/>
                <c:pt idx="0" c:formatCode="0.00_ ">
                  <c:v>乔木林</c:v>
                </c:pt>
                <c:pt idx="1" c:formatCode="0.00_ ">
                  <c:v>竹林</c:v>
                </c:pt>
                <c:pt idx="2" c:formatCode="0.00_ ">
                  <c:v>灌丛</c:v>
                </c:pt>
                <c:pt idx="3" c:formatCode="0.00_ ">
                  <c:v>草丛</c:v>
                </c:pt>
                <c:pt idx="4" c:formatCode="0.00_ ">
                  <c:v>农作物</c:v>
                </c:pt>
                <c:pt idx="5" c:formatCode="0.00_ ">
                  <c:v>其他</c:v>
                </c:pt>
              </c:strCache>
            </c:strRef>
          </c:cat>
          <c:val>
            <c:numRef>
              <c:f>[面积统计.xls]Sheet1!$D$9:$I$9</c:f>
              <c:numCache>
                <c:formatCode>0.00_ </c:formatCode>
                <c:ptCount val="6"/>
                <c:pt idx="0">
                  <c:v>852.170346</c:v>
                </c:pt>
                <c:pt idx="1">
                  <c:v>36.39428</c:v>
                </c:pt>
                <c:pt idx="2">
                  <c:v>44.972672</c:v>
                </c:pt>
                <c:pt idx="3">
                  <c:v>64.022046</c:v>
                </c:pt>
                <c:pt idx="4">
                  <c:v>402.817885</c:v>
                </c:pt>
                <c:pt idx="5">
                  <c:v>599.375263</c:v>
                </c:pt>
              </c:numCache>
            </c:numRef>
          </c:val>
        </c:ser>
        <c:ser>
          <c:idx val="1"/>
          <c:order val="1"/>
          <c:tx>
            <c:strRef>
              <c:f>[面积统计.xls]Sheet1!$C$10</c:f>
              <c:strCache>
                <c:ptCount val="1"/>
                <c:pt idx="0">
                  <c:v>占比（%）</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[面积统计.xls]Sheet1!$D$8:$I$8</c:f>
              <c:strCache>
                <c:ptCount val="6"/>
                <c:pt idx="0" c:formatCode="0.00_ ">
                  <c:v>乔木林</c:v>
                </c:pt>
                <c:pt idx="1" c:formatCode="0.00_ ">
                  <c:v>竹林</c:v>
                </c:pt>
                <c:pt idx="2" c:formatCode="0.00_ ">
                  <c:v>灌丛</c:v>
                </c:pt>
                <c:pt idx="3" c:formatCode="0.00_ ">
                  <c:v>草丛</c:v>
                </c:pt>
                <c:pt idx="4" c:formatCode="0.00_ ">
                  <c:v>农作物</c:v>
                </c:pt>
                <c:pt idx="5" c:formatCode="0.00_ ">
                  <c:v>其他</c:v>
                </c:pt>
              </c:strCache>
            </c:strRef>
          </c:cat>
          <c:val>
            <c:numRef>
              <c:f>[面积统计.xls]Sheet1!$D$10:$I$10</c:f>
              <c:numCache>
                <c:formatCode>0.00_ </c:formatCode>
                <c:ptCount val="6"/>
                <c:pt idx="0">
                  <c:v>42.6138440305038</c:v>
                </c:pt>
                <c:pt idx="1">
                  <c:v>1.81994149268659</c:v>
                </c:pt>
                <c:pt idx="2">
                  <c:v>2.24891471433929</c:v>
                </c:pt>
                <c:pt idx="3">
                  <c:v>3.20150248781098</c:v>
                </c:pt>
                <c:pt idx="4">
                  <c:v>20.1434121765221</c:v>
                </c:pt>
                <c:pt idx="5">
                  <c:v>29.9725097137142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aba7054-680b-4c34-8def-06e57ea1c5b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[面积统计.xls]Sheet1!$C$21</c:f>
              <c:strCache>
                <c:ptCount val="1"/>
                <c:pt idx="0">
                  <c:v>面积（公顷）</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[面积统计.xls]Sheet1!$D$20:$H$20</c:f>
              <c:strCache>
                <c:ptCount val="5"/>
                <c:pt idx="0">
                  <c:v>低覆盖度</c:v>
                </c:pt>
                <c:pt idx="1">
                  <c:v>中低覆盖度</c:v>
                </c:pt>
                <c:pt idx="2">
                  <c:v>中覆盖度</c:v>
                </c:pt>
                <c:pt idx="3">
                  <c:v>中高覆盖度</c:v>
                </c:pt>
                <c:pt idx="4">
                  <c:v>高度覆盖度</c:v>
                </c:pt>
              </c:strCache>
            </c:strRef>
          </c:cat>
          <c:val>
            <c:numRef>
              <c:f>[面积统计.xls]Sheet1!$D$21:$H$21</c:f>
              <c:numCache>
                <c:formatCode>0.00_ </c:formatCode>
                <c:ptCount val="5"/>
                <c:pt idx="0">
                  <c:v>203.14</c:v>
                </c:pt>
                <c:pt idx="1">
                  <c:v>268.37</c:v>
                </c:pt>
                <c:pt idx="2">
                  <c:v>339.3405</c:v>
                </c:pt>
                <c:pt idx="3">
                  <c:v>308.79</c:v>
                </c:pt>
                <c:pt idx="4">
                  <c:v>880.11</c:v>
                </c:pt>
              </c:numCache>
            </c:numRef>
          </c:val>
        </c:ser>
        <c:ser>
          <c:idx val="1"/>
          <c:order val="1"/>
          <c:tx>
            <c:strRef>
              <c:f>[面积统计.xls]Sheet1!$C$22</c:f>
              <c:strCache>
                <c:ptCount val="1"/>
                <c:pt idx="0">
                  <c:v>占比（%）</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[面积统计.xls]Sheet1!$D$20:$H$20</c:f>
              <c:strCache>
                <c:ptCount val="5"/>
                <c:pt idx="0">
                  <c:v>低覆盖度</c:v>
                </c:pt>
                <c:pt idx="1">
                  <c:v>中低覆盖度</c:v>
                </c:pt>
                <c:pt idx="2">
                  <c:v>中覆盖度</c:v>
                </c:pt>
                <c:pt idx="3">
                  <c:v>中高覆盖度</c:v>
                </c:pt>
                <c:pt idx="4">
                  <c:v>高度覆盖度</c:v>
                </c:pt>
              </c:strCache>
            </c:strRef>
          </c:cat>
          <c:val>
            <c:numRef>
              <c:f>[面积统计.xls]Sheet1!$D$22:$H$22</c:f>
              <c:numCache>
                <c:formatCode>0.00_ </c:formatCode>
                <c:ptCount val="5"/>
                <c:pt idx="0">
                  <c:v>10.158269783723</c:v>
                </c:pt>
                <c:pt idx="1">
                  <c:v>13.4201775221903</c:v>
                </c:pt>
                <c:pt idx="2">
                  <c:v>16.9691461432679</c:v>
                </c:pt>
                <c:pt idx="3">
                  <c:v>15.4414301787723</c:v>
                </c:pt>
                <c:pt idx="4">
                  <c:v>44.0110013751719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ae7a4f3-0edc-45df-8a67-dcd90d0b846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155</Pages>
  <Words>8509</Words>
  <Characters>9945</Characters>
  <Lines>0</Lines>
  <Paragraphs>0</Paragraphs>
  <TotalTime>2</TotalTime>
  <ScaleCrop>false</ScaleCrop>
  <LinksUpToDate>false</LinksUpToDate>
  <CharactersWithSpaces>10851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2022-04-01T11:38:00Z</dcterms:created>
  <dc:creator>cline</dc:creator>
  <cp:lastModifiedBy>小猛</cp:lastModifiedBy>
  <dcterms:modified xsi:type="dcterms:W3CDTF">2025-04-27T11:37:37Z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25AB4EAD53984591958E23F8201080DF_13</vt:lpwstr>
  </property>
  <property fmtid="{D5CDD505-2E9C-101B-9397-08002B2CF9AE}" pid="4" name="KSOTemplateDocerSaveRecord">
    <vt:lpwstr>eyJoZGlkIjoiM2VjNmZjNTVhZGUzMmNjYzhlMDQ4M2JjYWViYmRkNzIiLCJ1c2VySWQiOiI3MzgzMzc1MTEifQ==</vt:lpwstr>
  </property>
</Properties>
</file>