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8931"/>
        </w:tabs>
        <w:autoSpaceDE w:val="0"/>
        <w:spacing w:line="560" w:lineRule="exact"/>
        <w:ind w:right="-86" w:rightChars="-27"/>
        <w:jc w:val="center"/>
        <w:rPr>
          <w:rFonts w:hint="eastAsia" w:ascii="方正小标宋简体" w:hAnsi="方正小标宋简体" w:eastAsia="方正小标宋简体"/>
          <w:color w:val="000000"/>
          <w:kern w:val="0"/>
          <w:sz w:val="44"/>
          <w:szCs w:val="44"/>
          <w:lang w:bidi="ar"/>
        </w:rPr>
      </w:pPr>
      <w:bookmarkStart w:id="0" w:name="_GoBack"/>
      <w:bookmarkEnd w:id="0"/>
      <w:r>
        <w:rPr>
          <w:rFonts w:hint="eastAsia" w:ascii="方正小标宋简体" w:hAnsi="方正小标宋简体" w:eastAsia="方正小标宋简体"/>
          <w:color w:val="000000"/>
          <w:kern w:val="0"/>
          <w:sz w:val="44"/>
          <w:szCs w:val="44"/>
          <w:lang w:bidi="ar"/>
        </w:rPr>
        <w:t>池州市</w:t>
      </w:r>
      <w:r>
        <w:rPr>
          <w:rFonts w:hint="eastAsia" w:ascii="方正小标宋简体" w:hAnsi="方正小标宋简体" w:eastAsia="方正小标宋简体"/>
          <w:color w:val="000000"/>
          <w:kern w:val="0"/>
          <w:sz w:val="44"/>
          <w:szCs w:val="44"/>
          <w:lang w:val="en-US" w:eastAsia="zh-CN" w:bidi="ar"/>
        </w:rPr>
        <w:t>生态环境局</w:t>
      </w:r>
      <w:r>
        <w:rPr>
          <w:rFonts w:hint="eastAsia" w:ascii="方正小标宋简体" w:hAnsi="方正小标宋简体" w:eastAsia="方正小标宋简体"/>
          <w:color w:val="000000"/>
          <w:kern w:val="0"/>
          <w:sz w:val="44"/>
          <w:szCs w:val="44"/>
          <w:lang w:bidi="ar"/>
        </w:rPr>
        <w:t>行政权力中介服务（保留）</w:t>
      </w:r>
    </w:p>
    <w:p>
      <w:pPr>
        <w:widowControl/>
        <w:tabs>
          <w:tab w:val="left" w:pos="8931"/>
        </w:tabs>
        <w:autoSpaceDE w:val="0"/>
        <w:spacing w:line="560" w:lineRule="exact"/>
        <w:ind w:right="-86" w:rightChars="-27"/>
        <w:jc w:val="center"/>
        <w:rPr>
          <w:rFonts w:hint="eastAsia" w:ascii="方正小标宋简体" w:hAnsi="方正小标宋简体" w:eastAsia="方正小标宋简体"/>
          <w:color w:val="000000"/>
          <w:kern w:val="0"/>
          <w:sz w:val="44"/>
          <w:szCs w:val="44"/>
          <w:lang w:bidi="ar"/>
        </w:rPr>
      </w:pPr>
      <w:r>
        <w:rPr>
          <w:rFonts w:hint="eastAsia" w:ascii="方正小标宋简体" w:hAnsi="方正小标宋简体" w:eastAsia="方正小标宋简体"/>
          <w:color w:val="000000"/>
          <w:kern w:val="0"/>
          <w:sz w:val="44"/>
          <w:szCs w:val="44"/>
          <w:lang w:bidi="ar"/>
        </w:rPr>
        <w:t>事项清单目录（20</w:t>
      </w:r>
      <w:r>
        <w:rPr>
          <w:rFonts w:hint="eastAsia" w:ascii="方正小标宋简体" w:hAnsi="方正小标宋简体" w:eastAsia="方正小标宋简体"/>
          <w:color w:val="000000"/>
          <w:kern w:val="0"/>
          <w:sz w:val="44"/>
          <w:szCs w:val="44"/>
          <w:lang w:val="en-US" w:eastAsia="zh-CN" w:bidi="ar"/>
        </w:rPr>
        <w:t>21</w:t>
      </w:r>
      <w:r>
        <w:rPr>
          <w:rFonts w:hint="eastAsia" w:ascii="方正小标宋简体" w:hAnsi="方正小标宋简体" w:eastAsia="方正小标宋简体"/>
          <w:color w:val="000000"/>
          <w:kern w:val="0"/>
          <w:sz w:val="44"/>
          <w:szCs w:val="44"/>
          <w:lang w:bidi="ar"/>
        </w:rPr>
        <w:t>年本）</w:t>
      </w:r>
    </w:p>
    <w:tbl>
      <w:tblPr>
        <w:tblStyle w:val="12"/>
        <w:tblW w:w="14127" w:type="dxa"/>
        <w:jc w:val="center"/>
        <w:tblInd w:w="0" w:type="dxa"/>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
      <w:tblGrid>
        <w:gridCol w:w="253"/>
        <w:gridCol w:w="495"/>
        <w:gridCol w:w="4519"/>
        <w:gridCol w:w="1063"/>
        <w:gridCol w:w="1079"/>
        <w:gridCol w:w="2244"/>
        <w:gridCol w:w="1"/>
        <w:gridCol w:w="656"/>
        <w:gridCol w:w="1"/>
        <w:gridCol w:w="508"/>
        <w:gridCol w:w="1"/>
        <w:gridCol w:w="505"/>
        <w:gridCol w:w="1"/>
        <w:gridCol w:w="505"/>
        <w:gridCol w:w="1"/>
        <w:gridCol w:w="603"/>
        <w:gridCol w:w="618"/>
        <w:gridCol w:w="579"/>
        <w:gridCol w:w="495"/>
      </w:tblGrid>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397" w:hRule="atLeast"/>
          <w:tblHeader/>
          <w:jc w:val="center"/>
        </w:trPr>
        <w:tc>
          <w:tcPr>
            <w:tcW w:w="253" w:type="dxa"/>
            <w:vMerge w:val="restart"/>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序号</w:t>
            </w:r>
          </w:p>
        </w:tc>
        <w:tc>
          <w:tcPr>
            <w:tcW w:w="495" w:type="dxa"/>
            <w:vMerge w:val="restart"/>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kern w:val="0"/>
                <w:sz w:val="18"/>
                <w:szCs w:val="18"/>
                <w:lang w:val="en-US" w:eastAsia="zh-CN" w:bidi="ar"/>
              </w:rPr>
            </w:pPr>
            <w:r>
              <w:rPr>
                <w:rFonts w:hint="eastAsia" w:ascii="黑体" w:hAnsi="黑体" w:eastAsia="黑体" w:cs="黑体"/>
                <w:i w:val="0"/>
                <w:caps w:val="0"/>
                <w:color w:val="auto"/>
                <w:spacing w:val="0"/>
                <w:kern w:val="0"/>
                <w:sz w:val="18"/>
                <w:szCs w:val="18"/>
                <w:lang w:val="en-US" w:eastAsia="zh-CN" w:bidi="ar"/>
              </w:rPr>
              <w:t>中介服务事项</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名称</w:t>
            </w:r>
          </w:p>
        </w:tc>
        <w:tc>
          <w:tcPr>
            <w:tcW w:w="4519" w:type="dxa"/>
            <w:vMerge w:val="restart"/>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设定依据</w:t>
            </w:r>
          </w:p>
        </w:tc>
        <w:tc>
          <w:tcPr>
            <w:tcW w:w="1063" w:type="dxa"/>
            <w:vMerge w:val="restart"/>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kern w:val="0"/>
                <w:sz w:val="18"/>
                <w:szCs w:val="18"/>
                <w:lang w:val="en-US" w:eastAsia="zh-CN" w:bidi="ar"/>
              </w:rPr>
            </w:pPr>
            <w:r>
              <w:rPr>
                <w:rFonts w:hint="eastAsia" w:ascii="黑体" w:hAnsi="黑体" w:eastAsia="黑体" w:cs="黑体"/>
                <w:i w:val="0"/>
                <w:caps w:val="0"/>
                <w:color w:val="auto"/>
                <w:spacing w:val="0"/>
                <w:kern w:val="0"/>
                <w:sz w:val="18"/>
                <w:szCs w:val="18"/>
                <w:lang w:val="en-US" w:eastAsia="zh-CN" w:bidi="ar"/>
              </w:rPr>
              <w:t>对应行政权力名称及项目</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编码</w:t>
            </w:r>
          </w:p>
        </w:tc>
        <w:tc>
          <w:tcPr>
            <w:tcW w:w="3324" w:type="dxa"/>
            <w:gridSpan w:val="3"/>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实施机构</w:t>
            </w:r>
          </w:p>
        </w:tc>
        <w:tc>
          <w:tcPr>
            <w:tcW w:w="657"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lang w:val="en-US" w:eastAsia="zh-CN"/>
              </w:rPr>
            </w:pPr>
            <w:r>
              <w:rPr>
                <w:rFonts w:hint="eastAsia" w:ascii="黑体" w:hAnsi="黑体" w:eastAsia="黑体" w:cs="黑体"/>
                <w:i w:val="0"/>
                <w:caps w:val="0"/>
                <w:color w:val="auto"/>
                <w:spacing w:val="0"/>
                <w:sz w:val="18"/>
                <w:szCs w:val="18"/>
                <w:lang w:val="en-US" w:eastAsia="zh-CN"/>
              </w:rPr>
              <w:t>申报</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default" w:ascii="黑体" w:hAnsi="黑体" w:eastAsia="黑体" w:cs="黑体"/>
                <w:i w:val="0"/>
                <w:caps w:val="0"/>
                <w:color w:val="auto"/>
                <w:spacing w:val="0"/>
                <w:sz w:val="18"/>
                <w:szCs w:val="18"/>
                <w:lang w:val="en-US" w:eastAsia="zh-CN"/>
              </w:rPr>
            </w:pPr>
            <w:r>
              <w:rPr>
                <w:rFonts w:hint="eastAsia" w:ascii="黑体" w:hAnsi="黑体" w:eastAsia="黑体" w:cs="黑体"/>
                <w:i w:val="0"/>
                <w:caps w:val="0"/>
                <w:color w:val="auto"/>
                <w:spacing w:val="0"/>
                <w:sz w:val="18"/>
                <w:szCs w:val="18"/>
                <w:lang w:val="en-US" w:eastAsia="zh-CN"/>
              </w:rPr>
              <w:t>条件</w:t>
            </w:r>
          </w:p>
        </w:tc>
        <w:tc>
          <w:tcPr>
            <w:tcW w:w="509"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default" w:ascii="黑体" w:hAnsi="黑体" w:eastAsia="黑体" w:cs="黑体"/>
                <w:i w:val="0"/>
                <w:caps w:val="0"/>
                <w:color w:val="auto"/>
                <w:spacing w:val="0"/>
                <w:sz w:val="18"/>
                <w:szCs w:val="18"/>
                <w:lang w:val="en-US" w:eastAsia="zh-CN"/>
              </w:rPr>
            </w:pPr>
            <w:r>
              <w:rPr>
                <w:rFonts w:hint="eastAsia" w:ascii="黑体" w:hAnsi="黑体" w:eastAsia="黑体" w:cs="黑体"/>
                <w:i w:val="0"/>
                <w:caps w:val="0"/>
                <w:color w:val="auto"/>
                <w:spacing w:val="0"/>
                <w:sz w:val="18"/>
                <w:szCs w:val="18"/>
                <w:lang w:val="en-US" w:eastAsia="zh-CN"/>
              </w:rPr>
              <w:t>工作流程</w:t>
            </w:r>
          </w:p>
        </w:tc>
        <w:tc>
          <w:tcPr>
            <w:tcW w:w="506"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lang w:val="en-US" w:eastAsia="zh-CN"/>
              </w:rPr>
            </w:pPr>
            <w:r>
              <w:rPr>
                <w:rFonts w:hint="eastAsia" w:ascii="黑体" w:hAnsi="黑体" w:eastAsia="黑体" w:cs="黑体"/>
                <w:i w:val="0"/>
                <w:caps w:val="0"/>
                <w:color w:val="auto"/>
                <w:spacing w:val="0"/>
                <w:kern w:val="0"/>
                <w:sz w:val="18"/>
                <w:szCs w:val="18"/>
                <w:lang w:val="en-US" w:eastAsia="zh-CN" w:bidi="ar"/>
              </w:rPr>
              <w:t>收费标准</w:t>
            </w:r>
          </w:p>
        </w:tc>
        <w:tc>
          <w:tcPr>
            <w:tcW w:w="506"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kern w:val="0"/>
                <w:sz w:val="18"/>
                <w:szCs w:val="18"/>
                <w:lang w:val="en-US" w:eastAsia="zh-CN" w:bidi="ar"/>
              </w:rPr>
            </w:pP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default" w:ascii="黑体" w:hAnsi="黑体" w:eastAsia="黑体" w:cs="黑体"/>
                <w:i w:val="0"/>
                <w:caps w:val="0"/>
                <w:color w:val="auto"/>
                <w:spacing w:val="0"/>
                <w:sz w:val="18"/>
                <w:szCs w:val="18"/>
                <w:lang w:val="en-US" w:eastAsia="zh-CN"/>
              </w:rPr>
            </w:pPr>
            <w:r>
              <w:rPr>
                <w:rFonts w:hint="eastAsia" w:ascii="黑体" w:hAnsi="黑体" w:eastAsia="黑体" w:cs="黑体"/>
                <w:i w:val="0"/>
                <w:caps w:val="0"/>
                <w:color w:val="auto"/>
                <w:spacing w:val="0"/>
                <w:sz w:val="18"/>
                <w:szCs w:val="18"/>
                <w:lang w:val="en-US" w:eastAsia="zh-CN"/>
              </w:rPr>
              <w:t>办理时限</w:t>
            </w:r>
          </w:p>
        </w:tc>
        <w:tc>
          <w:tcPr>
            <w:tcW w:w="1800" w:type="dxa"/>
            <w:gridSpan w:val="3"/>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kern w:val="0"/>
                <w:sz w:val="18"/>
                <w:szCs w:val="18"/>
                <w:lang w:val="en-US" w:eastAsia="zh-CN" w:bidi="ar"/>
              </w:rPr>
            </w:pPr>
            <w:r>
              <w:rPr>
                <w:rFonts w:hint="eastAsia" w:ascii="黑体" w:hAnsi="宋体" w:eastAsia="黑体" w:cs="黑体"/>
                <w:i w:val="0"/>
                <w:color w:val="000000"/>
                <w:kern w:val="0"/>
                <w:sz w:val="18"/>
                <w:szCs w:val="18"/>
                <w:u w:val="none"/>
                <w:lang w:val="en-US" w:eastAsia="zh-CN" w:bidi="ar"/>
              </w:rPr>
              <w:t>中介机构</w:t>
            </w:r>
          </w:p>
        </w:tc>
        <w:tc>
          <w:tcPr>
            <w:tcW w:w="495"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备注</w:t>
            </w: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397" w:hRule="atLeast"/>
          <w:tblHeader/>
          <w:jc w:val="center"/>
        </w:trPr>
        <w:tc>
          <w:tcPr>
            <w:tcW w:w="253" w:type="dxa"/>
            <w:vMerge w:val="continue"/>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495" w:type="dxa"/>
            <w:vMerge w:val="continue"/>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4519" w:type="dxa"/>
            <w:vMerge w:val="continue"/>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1063" w:type="dxa"/>
            <w:vMerge w:val="continue"/>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10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资质条件</w:t>
            </w:r>
          </w:p>
        </w:tc>
        <w:tc>
          <w:tcPr>
            <w:tcW w:w="2244"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黑体" w:hAnsi="黑体" w:eastAsia="黑体" w:cs="黑体"/>
                <w:i w:val="0"/>
                <w:caps w:val="0"/>
                <w:color w:val="auto"/>
                <w:spacing w:val="0"/>
                <w:sz w:val="18"/>
                <w:szCs w:val="18"/>
              </w:rPr>
            </w:pPr>
            <w:r>
              <w:rPr>
                <w:rFonts w:hint="eastAsia" w:ascii="黑体" w:hAnsi="黑体" w:eastAsia="黑体" w:cs="黑体"/>
                <w:i w:val="0"/>
                <w:caps w:val="0"/>
                <w:color w:val="auto"/>
                <w:spacing w:val="0"/>
                <w:kern w:val="0"/>
                <w:sz w:val="18"/>
                <w:szCs w:val="18"/>
                <w:lang w:val="en-US" w:eastAsia="zh-CN" w:bidi="ar"/>
              </w:rPr>
              <w:t>资质依据</w:t>
            </w:r>
          </w:p>
        </w:tc>
        <w:tc>
          <w:tcPr>
            <w:tcW w:w="657"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509"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506"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506"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18"/>
                <w:szCs w:val="18"/>
                <w:u w:val="none"/>
                <w:lang w:val="en-US" w:eastAsia="zh-CN" w:bidi="ar"/>
              </w:rPr>
            </w:pPr>
            <w:r>
              <w:rPr>
                <w:rFonts w:hint="eastAsia" w:ascii="黑体" w:hAnsi="宋体" w:eastAsia="黑体" w:cs="黑体"/>
                <w:i w:val="0"/>
                <w:color w:val="000000"/>
                <w:kern w:val="0"/>
                <w:sz w:val="18"/>
                <w:szCs w:val="18"/>
                <w:u w:val="none"/>
                <w:lang w:val="en-US" w:eastAsia="zh-CN" w:bidi="ar"/>
              </w:rPr>
              <w:t>机构</w:t>
            </w:r>
          </w:p>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黑体" w:hAnsi="黑体" w:eastAsia="黑体" w:cs="黑体"/>
                <w:i w:val="0"/>
                <w:caps w:val="0"/>
                <w:color w:val="auto"/>
                <w:spacing w:val="0"/>
                <w:sz w:val="18"/>
                <w:szCs w:val="18"/>
              </w:rPr>
            </w:pPr>
            <w:r>
              <w:rPr>
                <w:rFonts w:hint="eastAsia" w:ascii="黑体" w:hAnsi="宋体" w:eastAsia="黑体" w:cs="黑体"/>
                <w:i w:val="0"/>
                <w:color w:val="000000"/>
                <w:kern w:val="0"/>
                <w:sz w:val="18"/>
                <w:szCs w:val="18"/>
                <w:u w:val="none"/>
                <w:lang w:val="en-US" w:eastAsia="zh-CN" w:bidi="ar"/>
              </w:rPr>
              <w:t>名称</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18"/>
                <w:szCs w:val="18"/>
                <w:u w:val="none"/>
                <w:lang w:val="en-US" w:eastAsia="zh-CN" w:bidi="ar"/>
              </w:rPr>
            </w:pPr>
            <w:r>
              <w:rPr>
                <w:rFonts w:hint="eastAsia" w:ascii="黑体" w:hAnsi="宋体" w:eastAsia="黑体" w:cs="黑体"/>
                <w:i w:val="0"/>
                <w:color w:val="000000"/>
                <w:kern w:val="0"/>
                <w:sz w:val="18"/>
                <w:szCs w:val="18"/>
                <w:u w:val="none"/>
                <w:lang w:val="en-US" w:eastAsia="zh-CN" w:bidi="ar"/>
              </w:rPr>
              <w:t>机构</w:t>
            </w:r>
          </w:p>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黑体" w:hAnsi="黑体" w:eastAsia="黑体" w:cs="黑体"/>
                <w:i w:val="0"/>
                <w:caps w:val="0"/>
                <w:color w:val="auto"/>
                <w:spacing w:val="0"/>
                <w:sz w:val="18"/>
                <w:szCs w:val="18"/>
              </w:rPr>
            </w:pPr>
            <w:r>
              <w:rPr>
                <w:rFonts w:hint="eastAsia" w:ascii="黑体" w:hAnsi="宋体" w:eastAsia="黑体" w:cs="黑体"/>
                <w:i w:val="0"/>
                <w:color w:val="000000"/>
                <w:kern w:val="0"/>
                <w:sz w:val="18"/>
                <w:szCs w:val="18"/>
                <w:u w:val="none"/>
                <w:lang w:val="en-US" w:eastAsia="zh-CN" w:bidi="ar"/>
              </w:rPr>
              <w:t>地址</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18"/>
                <w:szCs w:val="18"/>
                <w:u w:val="none"/>
                <w:lang w:val="en-US" w:eastAsia="zh-CN" w:bidi="ar"/>
              </w:rPr>
            </w:pPr>
            <w:r>
              <w:rPr>
                <w:rFonts w:hint="eastAsia" w:ascii="黑体" w:hAnsi="宋体" w:eastAsia="黑体" w:cs="黑体"/>
                <w:i w:val="0"/>
                <w:color w:val="000000"/>
                <w:kern w:val="0"/>
                <w:sz w:val="18"/>
                <w:szCs w:val="18"/>
                <w:u w:val="none"/>
                <w:lang w:val="en-US" w:eastAsia="zh-CN" w:bidi="ar"/>
              </w:rPr>
              <w:t>联系</w:t>
            </w:r>
          </w:p>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黑体" w:hAnsi="黑体" w:eastAsia="黑体" w:cs="黑体"/>
                <w:i w:val="0"/>
                <w:caps w:val="0"/>
                <w:color w:val="auto"/>
                <w:spacing w:val="0"/>
                <w:sz w:val="18"/>
                <w:szCs w:val="18"/>
              </w:rPr>
            </w:pPr>
            <w:r>
              <w:rPr>
                <w:rFonts w:hint="eastAsia" w:ascii="黑体" w:hAnsi="宋体" w:eastAsia="黑体" w:cs="黑体"/>
                <w:i w:val="0"/>
                <w:color w:val="000000"/>
                <w:kern w:val="0"/>
                <w:sz w:val="18"/>
                <w:szCs w:val="18"/>
                <w:u w:val="none"/>
                <w:lang w:val="en-US" w:eastAsia="zh-CN" w:bidi="ar"/>
              </w:rPr>
              <w:t>电话</w:t>
            </w:r>
          </w:p>
        </w:tc>
        <w:tc>
          <w:tcPr>
            <w:tcW w:w="495"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黑体" w:hAnsi="黑体" w:eastAsia="黑体" w:cs="黑体"/>
                <w:i w:val="0"/>
                <w:caps w:val="0"/>
                <w:color w:val="auto"/>
                <w:spacing w:val="0"/>
                <w:sz w:val="18"/>
                <w:szCs w:val="18"/>
              </w:rPr>
            </w:pP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1918" w:hRule="atLeast"/>
          <w:jc w:val="center"/>
        </w:trPr>
        <w:tc>
          <w:tcPr>
            <w:tcW w:w="253"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kern w:val="0"/>
                <w:sz w:val="18"/>
                <w:szCs w:val="18"/>
                <w:lang w:val="en-US" w:eastAsia="zh-CN" w:bidi="ar"/>
              </w:rPr>
              <w:t>1</w:t>
            </w:r>
          </w:p>
        </w:tc>
        <w:tc>
          <w:tcPr>
            <w:tcW w:w="495"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kern w:val="0"/>
                <w:sz w:val="18"/>
                <w:szCs w:val="18"/>
                <w:lang w:val="en-US" w:eastAsia="zh-CN" w:bidi="ar"/>
              </w:rPr>
              <w:t>建设项目环境影响报告书（表）编制</w:t>
            </w:r>
          </w:p>
        </w:tc>
        <w:tc>
          <w:tcPr>
            <w:tcW w:w="4519"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1.《中华人民共和国环境保护法》第十九条：第十九条编制有关开发利用规划，建设对环境有影响的项目，应当依法进行环境影响评价。</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2.《中华人民共和国环境影响评价法》第十九条　建设单位可以委托技术单位对其建设项目开展环境影响评价，编制建设项目环境影响报告书、环境影响报告表；建设单位具备环境影响评价技术能力的，可以自行对其建设项目开展环境影响评价，编制建设项目环境影响报告书、环境影响报告表。</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3.《建设项目环境保护管理条例》第七条　国家根据建设项目对环境的影响程度，按照下列规定对建设项目的环境保护实行分类管理：</w:t>
            </w:r>
            <w:r>
              <w:rPr>
                <w:rFonts w:hint="eastAsia" w:asciiTheme="minorEastAsia" w:hAnsiTheme="minorEastAsia" w:eastAsiaTheme="minorEastAsia" w:cstheme="minorEastAsia"/>
                <w:i w:val="0"/>
                <w:caps w:val="0"/>
                <w:color w:val="auto"/>
                <w:spacing w:val="0"/>
                <w:kern w:val="0"/>
                <w:sz w:val="18"/>
                <w:szCs w:val="18"/>
                <w:lang w:val="en-US" w:eastAsia="zh-CN" w:bidi="ar"/>
              </w:rPr>
              <w:br w:type="textWrapping"/>
            </w:r>
            <w:r>
              <w:rPr>
                <w:rFonts w:hint="eastAsia" w:asciiTheme="minorEastAsia" w:hAnsiTheme="minorEastAsia" w:eastAsiaTheme="minorEastAsia" w:cstheme="minorEastAsia"/>
                <w:i w:val="0"/>
                <w:caps w:val="0"/>
                <w:color w:val="auto"/>
                <w:spacing w:val="0"/>
                <w:kern w:val="0"/>
                <w:sz w:val="18"/>
                <w:szCs w:val="18"/>
                <w:lang w:val="en-US" w:eastAsia="zh-CN" w:bidi="ar"/>
              </w:rPr>
              <w:t>（一）建设项目对环境可能造成重大影响的，应当编制环境影响报告书，对建设项目产生的污染和对环境的影响进行全面、详细的评价；</w:t>
            </w:r>
            <w:r>
              <w:rPr>
                <w:rFonts w:hint="eastAsia" w:asciiTheme="minorEastAsia" w:hAnsiTheme="minorEastAsia" w:eastAsiaTheme="minorEastAsia" w:cstheme="minorEastAsia"/>
                <w:i w:val="0"/>
                <w:caps w:val="0"/>
                <w:color w:val="auto"/>
                <w:spacing w:val="0"/>
                <w:kern w:val="0"/>
                <w:sz w:val="18"/>
                <w:szCs w:val="18"/>
                <w:lang w:val="en-US" w:eastAsia="zh-CN" w:bidi="ar"/>
              </w:rPr>
              <w:br w:type="textWrapping"/>
            </w:r>
            <w:r>
              <w:rPr>
                <w:rFonts w:hint="eastAsia" w:asciiTheme="minorEastAsia" w:hAnsiTheme="minorEastAsia" w:eastAsiaTheme="minorEastAsia" w:cstheme="minorEastAsia"/>
                <w:i w:val="0"/>
                <w:caps w:val="0"/>
                <w:color w:val="auto"/>
                <w:spacing w:val="0"/>
                <w:kern w:val="0"/>
                <w:sz w:val="18"/>
                <w:szCs w:val="18"/>
                <w:lang w:val="en-US" w:eastAsia="zh-CN" w:bidi="ar"/>
              </w:rPr>
              <w:t>（二）建设项目对环境可能造成轻度影响的，应当编制环境影响报告表，对建设项目产生的污染和对环境的影响进行分析或者专项评价；</w:t>
            </w:r>
            <w:r>
              <w:rPr>
                <w:rFonts w:hint="eastAsia" w:asciiTheme="minorEastAsia" w:hAnsiTheme="minorEastAsia" w:eastAsiaTheme="minorEastAsia" w:cstheme="minorEastAsia"/>
                <w:i w:val="0"/>
                <w:caps w:val="0"/>
                <w:color w:val="auto"/>
                <w:spacing w:val="0"/>
                <w:kern w:val="0"/>
                <w:sz w:val="18"/>
                <w:szCs w:val="18"/>
                <w:lang w:val="en-US" w:eastAsia="zh-CN" w:bidi="ar"/>
              </w:rPr>
              <w:br w:type="textWrapping"/>
            </w:r>
            <w:r>
              <w:rPr>
                <w:rFonts w:hint="eastAsia" w:asciiTheme="minorEastAsia" w:hAnsiTheme="minorEastAsia" w:eastAsiaTheme="minorEastAsia" w:cstheme="minorEastAsia"/>
                <w:i w:val="0"/>
                <w:caps w:val="0"/>
                <w:color w:val="auto"/>
                <w:spacing w:val="0"/>
                <w:kern w:val="0"/>
                <w:sz w:val="18"/>
                <w:szCs w:val="18"/>
                <w:lang w:val="en-US" w:eastAsia="zh-CN" w:bidi="ar"/>
              </w:rPr>
              <w:t>（三）建设项目对环境影响很小，不需要进行环境影响评价的，应当填报环境影响登记表。</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4.《中华人民共和国放射性污染防治法》第二十九条</w:t>
            </w:r>
          </w:p>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生产、销售、使用放射性同位素和加速器、中子发生器以及含放射源的射线装置的单位，应当在申请领取许可证前编制环境影响评价文件，报省、自治区、直辖市人民政府环境保护行政主管部门审查批准；未经批准，有关部门不得颁发许可证。</w:t>
            </w:r>
          </w:p>
        </w:tc>
        <w:tc>
          <w:tcPr>
            <w:tcW w:w="1063"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kern w:val="0"/>
                <w:sz w:val="18"/>
                <w:szCs w:val="18"/>
                <w:lang w:val="en-US" w:eastAsia="zh-CN" w:bidi="ar"/>
              </w:rPr>
              <w:t>建设项目环境影响报告书、报告表审批</w:t>
            </w:r>
          </w:p>
        </w:tc>
        <w:tc>
          <w:tcPr>
            <w:tcW w:w="1079"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kern w:val="0"/>
                <w:sz w:val="18"/>
                <w:szCs w:val="18"/>
                <w:lang w:val="en-US" w:eastAsia="zh-CN" w:bidi="ar"/>
              </w:rPr>
              <w:t>根据《建设项目环境影响报告书（表）编制监督管理办法》第二条 建设单位可以委托技术单位对其建设项目开展环境影响评价，编制环境影响报告书（表）；建设单位具备环境影响评价技术能力的，可以自行对其建设项目开展环境影响评价，编制环境影响报告书（表）。</w:t>
            </w:r>
          </w:p>
        </w:tc>
        <w:tc>
          <w:tcPr>
            <w:tcW w:w="2244"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kern w:val="0"/>
                <w:sz w:val="18"/>
                <w:szCs w:val="18"/>
                <w:lang w:val="en-US" w:eastAsia="zh-CN" w:bidi="ar"/>
              </w:rPr>
              <w:t>《建设项目环境影响报告书（表）编制监督管理办法》</w:t>
            </w:r>
          </w:p>
        </w:tc>
        <w:tc>
          <w:tcPr>
            <w:tcW w:w="657"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default" w:asciiTheme="minorEastAsia" w:hAnsiTheme="minorEastAsia" w:eastAsiaTheme="minorEastAsia" w:cstheme="minorEastAsia"/>
                <w:i w:val="0"/>
                <w:caps w:val="0"/>
                <w:color w:val="auto"/>
                <w:spacing w:val="0"/>
                <w:sz w:val="18"/>
                <w:szCs w:val="18"/>
                <w:lang w:val="en-US" w:eastAsia="zh-CN"/>
              </w:rPr>
            </w:pPr>
            <w:r>
              <w:rPr>
                <w:rFonts w:hint="default" w:asciiTheme="minorEastAsia" w:hAnsiTheme="minorEastAsia" w:eastAsiaTheme="minorEastAsia" w:cstheme="minorEastAsia"/>
                <w:i w:val="0"/>
                <w:caps w:val="0"/>
                <w:color w:val="auto"/>
                <w:spacing w:val="0"/>
                <w:sz w:val="18"/>
                <w:szCs w:val="18"/>
                <w:lang w:val="en-US" w:eastAsia="zh-CN"/>
              </w:rPr>
              <w:t>具有相应资质的</w:t>
            </w:r>
            <w:r>
              <w:rPr>
                <w:rFonts w:hint="eastAsia" w:asciiTheme="minorEastAsia" w:hAnsiTheme="minorEastAsia" w:eastAsiaTheme="minorEastAsia" w:cstheme="minorEastAsia"/>
                <w:i w:val="0"/>
                <w:caps w:val="0"/>
                <w:color w:val="auto"/>
                <w:spacing w:val="0"/>
                <w:sz w:val="18"/>
                <w:szCs w:val="18"/>
                <w:lang w:val="en-US" w:eastAsia="zh-CN"/>
              </w:rPr>
              <w:t>环评</w:t>
            </w:r>
            <w:r>
              <w:rPr>
                <w:rFonts w:hint="default" w:asciiTheme="minorEastAsia" w:hAnsiTheme="minorEastAsia" w:eastAsiaTheme="minorEastAsia" w:cstheme="minorEastAsia"/>
                <w:i w:val="0"/>
                <w:caps w:val="0"/>
                <w:color w:val="auto"/>
                <w:spacing w:val="0"/>
                <w:sz w:val="18"/>
                <w:szCs w:val="18"/>
                <w:lang w:val="en-US" w:eastAsia="zh-CN"/>
              </w:rPr>
              <w:t>咨询机构</w:t>
            </w:r>
          </w:p>
        </w:tc>
        <w:tc>
          <w:tcPr>
            <w:tcW w:w="509"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sz w:val="18"/>
                <w:szCs w:val="18"/>
                <w:lang w:val="en-US" w:eastAsia="zh-CN"/>
              </w:rPr>
              <w:t>1.项目经主管部门立项；2.接受委托的环评咨询机构出具环评报告</w:t>
            </w:r>
          </w:p>
        </w:tc>
        <w:tc>
          <w:tcPr>
            <w:tcW w:w="506"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sz w:val="18"/>
                <w:szCs w:val="18"/>
              </w:rPr>
              <w:t>市场询价</w:t>
            </w:r>
          </w:p>
        </w:tc>
        <w:tc>
          <w:tcPr>
            <w:tcW w:w="506"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default" w:asciiTheme="minorEastAsia" w:hAnsiTheme="minorEastAsia" w:eastAsiaTheme="minorEastAsia" w:cstheme="minorEastAsia"/>
                <w:i w:val="0"/>
                <w:caps w:val="0"/>
                <w:color w:val="auto"/>
                <w:spacing w:val="0"/>
                <w:sz w:val="18"/>
                <w:szCs w:val="18"/>
                <w:lang w:val="en-US"/>
              </w:rPr>
            </w:pPr>
            <w:r>
              <w:rPr>
                <w:rFonts w:hint="eastAsia" w:asciiTheme="minorEastAsia" w:hAnsiTheme="minorEastAsia" w:eastAsiaTheme="minorEastAsia" w:cstheme="minorEastAsia"/>
                <w:i w:val="0"/>
                <w:caps w:val="0"/>
                <w:color w:val="auto"/>
                <w:spacing w:val="0"/>
                <w:sz w:val="18"/>
                <w:szCs w:val="18"/>
                <w:lang w:val="en-US" w:eastAsia="zh-CN"/>
              </w:rPr>
              <w:t>除项目情况复杂的，环评报告编制时限不超过60天</w:t>
            </w: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安徽皖欣环境科技有限公司</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安徽省合肥市经济技术开发区九龙路168号合肥创新中心3幢</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18256084490</w:t>
            </w:r>
          </w:p>
        </w:tc>
        <w:tc>
          <w:tcPr>
            <w:tcW w:w="495"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kinsoku/>
              <w:wordWrap/>
              <w:overflowPunct w:val="0"/>
              <w:topLinePunct w:val="0"/>
              <w:autoSpaceDE/>
              <w:autoSpaceDN/>
              <w:bidi w:val="0"/>
              <w:adjustRightInd/>
              <w:snapToGrid/>
              <w:spacing w:after="0" w:line="240" w:lineRule="exact"/>
              <w:jc w:val="center"/>
              <w:textAlignment w:val="auto"/>
              <w:rPr>
                <w:rFonts w:hint="eastAsia" w:asciiTheme="minorEastAsia" w:hAnsiTheme="minorEastAsia" w:eastAsiaTheme="minorEastAsia" w:cstheme="minorEastAsia"/>
                <w:i w:val="0"/>
                <w:caps w:val="0"/>
                <w:color w:val="auto"/>
                <w:spacing w:val="0"/>
                <w:sz w:val="18"/>
                <w:szCs w:val="18"/>
              </w:rPr>
            </w:pPr>
            <w:r>
              <w:rPr>
                <w:rFonts w:hint="eastAsia" w:asciiTheme="minorEastAsia" w:hAnsiTheme="minorEastAsia" w:eastAsiaTheme="minorEastAsia" w:cstheme="minorEastAsia"/>
                <w:i w:val="0"/>
                <w:caps w:val="0"/>
                <w:color w:val="auto"/>
                <w:spacing w:val="0"/>
                <w:sz w:val="18"/>
                <w:szCs w:val="18"/>
              </w:rPr>
              <w:t>所列3家中介公司仅供参考，实际工作不指定具体中介公司，凡符合资质条件的均可。</w:t>
            </w: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1918" w:hRule="atLeast"/>
          <w:jc w:val="center"/>
        </w:trPr>
        <w:tc>
          <w:tcPr>
            <w:tcW w:w="253"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495"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4519"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1063"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1079"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2244"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657"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509"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506"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506"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pP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安徽禾美环保集团有限公司</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安徽省合肥市高新区</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18255377790</w:t>
            </w:r>
          </w:p>
        </w:tc>
        <w:tc>
          <w:tcPr>
            <w:tcW w:w="495"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1918" w:hRule="atLeast"/>
          <w:jc w:val="center"/>
        </w:trPr>
        <w:tc>
          <w:tcPr>
            <w:tcW w:w="253"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495"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4519"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1063"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1079"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2244"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657"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509"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506"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506"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安徽环合环保科技有限公司</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安徽省合肥市瑶海区胜利路与临泉路交口中环国际大厦</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13956076035</w:t>
            </w:r>
          </w:p>
        </w:tc>
        <w:tc>
          <w:tcPr>
            <w:tcW w:w="495"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1363" w:hRule="atLeast"/>
          <w:jc w:val="center"/>
        </w:trPr>
        <w:tc>
          <w:tcPr>
            <w:tcW w:w="253"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2</w:t>
            </w:r>
          </w:p>
        </w:tc>
        <w:tc>
          <w:tcPr>
            <w:tcW w:w="495"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辐射工作场所监测、个人剂量监测</w:t>
            </w:r>
          </w:p>
        </w:tc>
        <w:tc>
          <w:tcPr>
            <w:tcW w:w="4519"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《放射性同位素与射线装置安全和防护条例》第二十七条　生产、销售、使用放射性同位素和射线装置的单位，应当对本单位的放射性同位素、射线装置的安全和防护工作负责，并依法对其造成的放射性危害承担责任。</w:t>
            </w:r>
            <w:r>
              <w:rPr>
                <w:rFonts w:hint="eastAsia" w:asciiTheme="minorEastAsia" w:hAnsiTheme="minorEastAsia" w:eastAsiaTheme="minorEastAsia" w:cstheme="minorEastAsia"/>
                <w:i w:val="0"/>
                <w:caps w:val="0"/>
                <w:color w:val="auto"/>
                <w:spacing w:val="0"/>
                <w:kern w:val="0"/>
                <w:sz w:val="18"/>
                <w:szCs w:val="18"/>
                <w:lang w:val="en-US" w:eastAsia="zh-CN" w:bidi="ar"/>
              </w:rPr>
              <w:br w:type="textWrapping"/>
            </w:r>
            <w:r>
              <w:rPr>
                <w:rFonts w:hint="eastAsia" w:asciiTheme="minorEastAsia" w:hAnsiTheme="minorEastAsia" w:eastAsiaTheme="minorEastAsia" w:cstheme="minorEastAsia"/>
                <w:i w:val="0"/>
                <w:caps w:val="0"/>
                <w:color w:val="auto"/>
                <w:spacing w:val="0"/>
                <w:kern w:val="0"/>
                <w:sz w:val="18"/>
                <w:szCs w:val="18"/>
                <w:lang w:val="en-US" w:eastAsia="zh-CN" w:bidi="ar"/>
              </w:rPr>
              <w:t>《中华人民共和国放射性污染防治法》第四十九条第一项：违反本法规定，有下列行为之一的，由县级以上人民政府环境保护行政主管部门或者其他有关部门依据职权责令限期改正，可以处二万元以下罚款：（一）不按照规定报告有关环境监测结果的。</w:t>
            </w:r>
          </w:p>
        </w:tc>
        <w:tc>
          <w:tcPr>
            <w:tcW w:w="1063"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辐射安全许可</w:t>
            </w:r>
          </w:p>
        </w:tc>
        <w:tc>
          <w:tcPr>
            <w:tcW w:w="1079"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省级人民政府环境保护主管部门认定的环境监测机构进行监测</w:t>
            </w:r>
          </w:p>
        </w:tc>
        <w:tc>
          <w:tcPr>
            <w:tcW w:w="2244"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《中华人民共和国放射性污染防治法》第十四条 国家对从事放射性污染防治的专业人员实行资格管理制度；对从事放射性污染监测工作的机构实行资质管理制度。</w:t>
            </w:r>
            <w:r>
              <w:rPr>
                <w:rFonts w:hint="eastAsia" w:asciiTheme="minorEastAsia" w:hAnsiTheme="minorEastAsia" w:eastAsiaTheme="minorEastAsia" w:cstheme="minorEastAsia"/>
                <w:i w:val="0"/>
                <w:caps w:val="0"/>
                <w:color w:val="auto"/>
                <w:spacing w:val="0"/>
                <w:kern w:val="0"/>
                <w:sz w:val="18"/>
                <w:szCs w:val="18"/>
                <w:lang w:val="en-US" w:eastAsia="zh-CN" w:bidi="ar"/>
              </w:rPr>
              <w:br w:type="textWrapping"/>
            </w:r>
            <w:r>
              <w:rPr>
                <w:rFonts w:hint="eastAsia" w:asciiTheme="minorEastAsia" w:hAnsiTheme="minorEastAsia" w:eastAsiaTheme="minorEastAsia" w:cstheme="minorEastAsia"/>
                <w:i w:val="0"/>
                <w:caps w:val="0"/>
                <w:color w:val="auto"/>
                <w:spacing w:val="0"/>
                <w:kern w:val="0"/>
                <w:sz w:val="18"/>
                <w:szCs w:val="18"/>
                <w:lang w:val="en-US" w:eastAsia="zh-CN" w:bidi="ar"/>
              </w:rPr>
              <w:t>《放射性同位素与射线装置安全和防护管理办法》第九条　生产、销售、使用放射性同位素与射线装置的单位，应当按照国家环境监测规范，对相关场所进行辐射监测，并对监测数据的真实性、可靠性负责；不具备自行监测能力的，可以委托经省级人民政府环境保护主管部门认定的环境监测机构进行监测。</w:t>
            </w:r>
          </w:p>
        </w:tc>
        <w:tc>
          <w:tcPr>
            <w:tcW w:w="657"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具有相应资质的监测机构。</w:t>
            </w:r>
          </w:p>
        </w:tc>
        <w:tc>
          <w:tcPr>
            <w:tcW w:w="509"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right="0" w:rightChars="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1.确定需要监测的辐射工作人员；2.接受委托的监测机构出具监测报告</w:t>
            </w:r>
          </w:p>
        </w:tc>
        <w:tc>
          <w:tcPr>
            <w:tcW w:w="506"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sz w:val="18"/>
                <w:szCs w:val="18"/>
              </w:rPr>
              <w:t>市场询价</w:t>
            </w:r>
          </w:p>
        </w:tc>
        <w:tc>
          <w:tcPr>
            <w:tcW w:w="506" w:type="dxa"/>
            <w:gridSpan w:val="2"/>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leftChars="0" w:right="0" w:rightChars="0" w:firstLine="0" w:firstLineChars="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辐射工作场所监测每年1至少监测1次、个人剂量监测每90天监测1次</w:t>
            </w: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江苏核众环境监测技术有限公司</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江苏省南京市建邺区庐山路168号</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025-86573519</w:t>
            </w:r>
          </w:p>
        </w:tc>
        <w:tc>
          <w:tcPr>
            <w:tcW w:w="495" w:type="dxa"/>
            <w:vMerge w:val="restart"/>
            <w:tcBorders>
              <w:top w:val="single" w:color="000000" w:sz="2" w:space="0"/>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both"/>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所列3家中介公司仅供参考，实际工作不指定具体中介公司，凡符合资质条件的均可。</w:t>
            </w: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1363" w:hRule="atLeast"/>
          <w:jc w:val="center"/>
        </w:trPr>
        <w:tc>
          <w:tcPr>
            <w:tcW w:w="253"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495"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4519"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1063"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1079"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2244"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657"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509"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506"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506" w:type="dxa"/>
            <w:gridSpan w:val="2"/>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pP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江苏省苏核辐射科技有限责任公司</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江苏省南京市建邺区云龙山路75号</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025-52372600</w:t>
            </w:r>
          </w:p>
        </w:tc>
        <w:tc>
          <w:tcPr>
            <w:tcW w:w="495" w:type="dxa"/>
            <w:vMerge w:val="continue"/>
            <w:tcBorders>
              <w:left w:val="single" w:color="000000" w:sz="2"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r>
      <w:tr>
        <w:tblPrEx>
          <w:tblBorders>
            <w:top w:val="single" w:color="000000" w:sz="6" w:space="0"/>
            <w:left w:val="single" w:color="000000" w:sz="6" w:space="0"/>
            <w:bottom w:val="single" w:color="000000" w:sz="2" w:space="0"/>
            <w:right w:val="single" w:color="000000" w:sz="2" w:space="0"/>
            <w:insideH w:val="none" w:color="auto" w:sz="0" w:space="0"/>
            <w:insideV w:val="none" w:color="auto" w:sz="0" w:space="0"/>
          </w:tblBorders>
          <w:shd w:val="clear" w:color="auto" w:fill="FFFFFF"/>
          <w:tblLayout w:type="fixed"/>
          <w:tblCellMar>
            <w:top w:w="0" w:type="dxa"/>
            <w:left w:w="28" w:type="dxa"/>
            <w:bottom w:w="0" w:type="dxa"/>
            <w:right w:w="28" w:type="dxa"/>
          </w:tblCellMar>
        </w:tblPrEx>
        <w:trPr>
          <w:trHeight w:val="1363" w:hRule="atLeast"/>
          <w:jc w:val="center"/>
        </w:trPr>
        <w:tc>
          <w:tcPr>
            <w:tcW w:w="253"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495"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4519"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1063"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1079"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2244"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657"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509"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506"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506" w:type="dxa"/>
            <w:gridSpan w:val="2"/>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c>
          <w:tcPr>
            <w:tcW w:w="604" w:type="dxa"/>
            <w:gridSpan w:val="2"/>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合肥鑫鼎环保科技有限责任公司</w:t>
            </w:r>
          </w:p>
        </w:tc>
        <w:tc>
          <w:tcPr>
            <w:tcW w:w="618"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安徽省合肥市高新区玉兰大道777号双赢大厦805室</w:t>
            </w:r>
          </w:p>
        </w:tc>
        <w:tc>
          <w:tcPr>
            <w:tcW w:w="579" w:type="dxa"/>
            <w:tcBorders>
              <w:top w:val="single" w:color="000000" w:sz="2" w:space="0"/>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Theme="minorEastAsia" w:hAnsiTheme="minorEastAsia" w:eastAsiaTheme="minorEastAsia" w:cstheme="minorEastAsia"/>
                <w:i w:val="0"/>
                <w:caps w:val="0"/>
                <w:color w:val="auto"/>
                <w:spacing w:val="0"/>
                <w:kern w:val="0"/>
                <w:sz w:val="18"/>
                <w:szCs w:val="18"/>
                <w:lang w:val="en-US" w:eastAsia="zh-CN" w:bidi="ar"/>
              </w:rPr>
            </w:pPr>
            <w:r>
              <w:rPr>
                <w:rFonts w:hint="eastAsia" w:asciiTheme="minorEastAsia" w:hAnsiTheme="minorEastAsia" w:eastAsiaTheme="minorEastAsia" w:cstheme="minorEastAsia"/>
                <w:i w:val="0"/>
                <w:caps w:val="0"/>
                <w:color w:val="auto"/>
                <w:spacing w:val="0"/>
                <w:kern w:val="0"/>
                <w:sz w:val="18"/>
                <w:szCs w:val="18"/>
                <w:lang w:val="en-US" w:eastAsia="zh-CN" w:bidi="ar"/>
              </w:rPr>
              <w:t>0551-65894657</w:t>
            </w:r>
          </w:p>
        </w:tc>
        <w:tc>
          <w:tcPr>
            <w:tcW w:w="495" w:type="dxa"/>
            <w:vMerge w:val="continue"/>
            <w:tcBorders>
              <w:left w:val="single" w:color="000000" w:sz="2" w:space="0"/>
              <w:bottom w:val="single" w:color="000000" w:sz="6" w:space="0"/>
              <w:right w:val="single" w:color="000000" w:sz="6" w:space="0"/>
            </w:tcBorders>
            <w:shd w:val="clear" w:color="auto" w:fill="FFFFFF"/>
            <w:tcMar>
              <w:top w:w="0" w:type="dxa"/>
              <w:left w:w="0" w:type="dxa"/>
              <w:bottom w:w="0" w:type="dxa"/>
              <w:right w:w="0" w:type="dxa"/>
            </w:tcMar>
            <w:vAlign w:val="center"/>
          </w:tcPr>
          <w:p>
            <w:pPr>
              <w:keepNext w:val="0"/>
              <w:keepLines w:val="0"/>
              <w:pageBreakBefore w:val="0"/>
              <w:widowControl w:val="0"/>
              <w:suppressLineNumbers w:val="0"/>
              <w:kinsoku/>
              <w:wordWrap/>
              <w:overflowPunct w:val="0"/>
              <w:topLinePunct w:val="0"/>
              <w:autoSpaceDE/>
              <w:autoSpaceDN/>
              <w:bidi w:val="0"/>
              <w:adjustRightInd/>
              <w:snapToGrid/>
              <w:spacing w:before="0" w:beforeAutospacing="0" w:afterAutospacing="0" w:line="240" w:lineRule="exact"/>
              <w:ind w:left="0" w:right="0" w:firstLine="0"/>
              <w:jc w:val="center"/>
              <w:textAlignment w:val="auto"/>
              <w:rPr>
                <w:rFonts w:hint="eastAsia" w:asciiTheme="minorEastAsia" w:hAnsiTheme="minorEastAsia" w:eastAsiaTheme="minorEastAsia" w:cstheme="minorEastAsia"/>
                <w:i w:val="0"/>
                <w:caps w:val="0"/>
                <w:color w:val="auto"/>
                <w:spacing w:val="0"/>
                <w:kern w:val="0"/>
                <w:sz w:val="18"/>
                <w:szCs w:val="18"/>
                <w:lang w:val="en-US" w:eastAsia="zh-CN" w:bidi="ar"/>
              </w:rPr>
            </w:pPr>
          </w:p>
        </w:tc>
      </w:tr>
    </w:tbl>
    <w:p>
      <w:pPr>
        <w:widowControl/>
        <w:tabs>
          <w:tab w:val="left" w:pos="8931"/>
        </w:tabs>
        <w:autoSpaceDE w:val="0"/>
        <w:spacing w:line="560" w:lineRule="exact"/>
        <w:ind w:right="-86" w:rightChars="-27"/>
        <w:jc w:val="center"/>
        <w:rPr>
          <w:rFonts w:hint="eastAsia" w:ascii="方正小标宋简体" w:hAnsi="方正小标宋简体" w:eastAsia="方正小标宋简体"/>
          <w:color w:val="000000"/>
          <w:kern w:val="0"/>
          <w:sz w:val="44"/>
          <w:szCs w:val="44"/>
          <w:lang w:bidi="ar"/>
        </w:rPr>
      </w:pPr>
    </w:p>
    <w:p/>
    <w:sectPr>
      <w:pgSz w:w="16838" w:h="11906" w:orient="landscape"/>
      <w:pgMar w:top="1803" w:right="1440" w:bottom="1701" w:left="1440" w:header="851" w:footer="992"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CF6F50"/>
    <w:rsid w:val="0095102E"/>
    <w:rsid w:val="03693364"/>
    <w:rsid w:val="15EF0D6A"/>
    <w:rsid w:val="1CC23608"/>
    <w:rsid w:val="1F765054"/>
    <w:rsid w:val="22E73B92"/>
    <w:rsid w:val="23CF6F50"/>
    <w:rsid w:val="31CE2A2B"/>
    <w:rsid w:val="36370A80"/>
    <w:rsid w:val="3F4E6AA1"/>
    <w:rsid w:val="3F5A60DC"/>
    <w:rsid w:val="427D48F6"/>
    <w:rsid w:val="44970ECE"/>
    <w:rsid w:val="472E2C70"/>
    <w:rsid w:val="47C5430F"/>
    <w:rsid w:val="497E6E6B"/>
    <w:rsid w:val="4CCE18FD"/>
    <w:rsid w:val="4D971761"/>
    <w:rsid w:val="54FF7792"/>
    <w:rsid w:val="5831420A"/>
    <w:rsid w:val="594F5E65"/>
    <w:rsid w:val="5BB016FB"/>
    <w:rsid w:val="6CF1157E"/>
    <w:rsid w:val="6E6E09AD"/>
    <w:rsid w:val="6F7B3381"/>
    <w:rsid w:val="704C650F"/>
    <w:rsid w:val="71B672BF"/>
    <w:rsid w:val="76D702AA"/>
    <w:rsid w:val="7E3A01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3">
    <w:name w:val="Default Paragraph Font"/>
    <w:semiHidden/>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4">
    <w:name w:val="Strong"/>
    <w:basedOn w:val="3"/>
    <w:qFormat/>
    <w:uiPriority w:val="0"/>
    <w:rPr>
      <w:b/>
    </w:rPr>
  </w:style>
  <w:style w:type="character" w:styleId="5">
    <w:name w:val="FollowedHyperlink"/>
    <w:basedOn w:val="3"/>
    <w:qFormat/>
    <w:uiPriority w:val="0"/>
    <w:rPr>
      <w:color w:val="000000"/>
      <w:u w:val="none"/>
    </w:rPr>
  </w:style>
  <w:style w:type="character" w:styleId="6">
    <w:name w:val="HTML Definition"/>
    <w:basedOn w:val="3"/>
    <w:qFormat/>
    <w:uiPriority w:val="0"/>
    <w:rPr>
      <w:i/>
    </w:rPr>
  </w:style>
  <w:style w:type="character" w:styleId="7">
    <w:name w:val="HTML Acronym"/>
    <w:basedOn w:val="3"/>
    <w:qFormat/>
    <w:uiPriority w:val="0"/>
  </w:style>
  <w:style w:type="character" w:styleId="8">
    <w:name w:val="Hyperlink"/>
    <w:basedOn w:val="3"/>
    <w:qFormat/>
    <w:uiPriority w:val="0"/>
    <w:rPr>
      <w:color w:val="000000"/>
      <w:u w:val="none"/>
    </w:rPr>
  </w:style>
  <w:style w:type="character" w:styleId="9">
    <w:name w:val="HTML Code"/>
    <w:basedOn w:val="3"/>
    <w:qFormat/>
    <w:uiPriority w:val="0"/>
    <w:rPr>
      <w:rFonts w:hint="default" w:ascii="monospace" w:hAnsi="monospace" w:eastAsia="monospace" w:cs="monospace"/>
      <w:sz w:val="21"/>
      <w:szCs w:val="21"/>
    </w:rPr>
  </w:style>
  <w:style w:type="character" w:styleId="10">
    <w:name w:val="HTML Keyboard"/>
    <w:basedOn w:val="3"/>
    <w:qFormat/>
    <w:uiPriority w:val="0"/>
    <w:rPr>
      <w:rFonts w:hint="default" w:ascii="monospace" w:hAnsi="monospace" w:eastAsia="monospace" w:cs="monospace"/>
      <w:sz w:val="21"/>
      <w:szCs w:val="21"/>
    </w:rPr>
  </w:style>
  <w:style w:type="character" w:styleId="11">
    <w:name w:val="HTML Sample"/>
    <w:basedOn w:val="3"/>
    <w:qFormat/>
    <w:uiPriority w:val="0"/>
    <w:rPr>
      <w:rFonts w:ascii="monospace" w:hAnsi="monospace" w:eastAsia="monospace" w:cs="monospace"/>
      <w:sz w:val="21"/>
      <w:szCs w:val="21"/>
    </w:rPr>
  </w:style>
  <w:style w:type="character" w:customStyle="1" w:styleId="13">
    <w:name w:val="c2"/>
    <w:basedOn w:val="3"/>
    <w:qFormat/>
    <w:uiPriority w:val="0"/>
  </w:style>
  <w:style w:type="character" w:customStyle="1" w:styleId="14">
    <w:name w:val="msg-box"/>
    <w:basedOn w:val="3"/>
    <w:qFormat/>
    <w:uiPriority w:val="0"/>
  </w:style>
  <w:style w:type="character" w:customStyle="1" w:styleId="15">
    <w:name w:val="tmpztreemove_arrow"/>
    <w:basedOn w:val="3"/>
    <w:qFormat/>
    <w:uiPriority w:val="0"/>
  </w:style>
  <w:style w:type="character" w:customStyle="1" w:styleId="16">
    <w:name w:val="button"/>
    <w:basedOn w:val="3"/>
    <w:qFormat/>
    <w:uiPriority w:val="0"/>
  </w:style>
  <w:style w:type="character" w:customStyle="1" w:styleId="17">
    <w:name w:val="c3"/>
    <w:basedOn w:val="3"/>
    <w:qFormat/>
    <w:uiPriority w:val="0"/>
  </w:style>
  <w:style w:type="character" w:customStyle="1" w:styleId="18">
    <w:name w:val="c1"/>
    <w:basedOn w:val="3"/>
    <w:qFormat/>
    <w:uiPriority w:val="0"/>
  </w:style>
  <w:style w:type="character" w:customStyle="1" w:styleId="19">
    <w:name w:val="ico16"/>
    <w:basedOn w:val="3"/>
    <w:qFormat/>
    <w:uiPriority w:val="0"/>
  </w:style>
  <w:style w:type="character" w:customStyle="1" w:styleId="20">
    <w:name w:val="ico17"/>
    <w:basedOn w:val="3"/>
    <w:qFormat/>
    <w:uiPriority w:val="0"/>
  </w:style>
  <w:style w:type="character" w:customStyle="1" w:styleId="21">
    <w:name w:val="ico18"/>
    <w:basedOn w:val="3"/>
    <w:qFormat/>
    <w:uiPriority w:val="0"/>
  </w:style>
  <w:style w:type="character" w:customStyle="1" w:styleId="22">
    <w:name w:val="ico19"/>
    <w:basedOn w:val="3"/>
    <w:qFormat/>
    <w:uiPriority w:val="0"/>
  </w:style>
  <w:style w:type="character" w:customStyle="1" w:styleId="23">
    <w:name w:val="ico20"/>
    <w:basedOn w:val="3"/>
    <w:qFormat/>
    <w:uiPriority w:val="0"/>
  </w:style>
  <w:style w:type="character" w:customStyle="1" w:styleId="24">
    <w:name w:val="ico21"/>
    <w:basedOn w:val="3"/>
    <w:qFormat/>
    <w:uiPriority w:val="0"/>
  </w:style>
  <w:style w:type="character" w:customStyle="1" w:styleId="25">
    <w:name w:val="ico"/>
    <w:basedOn w:val="3"/>
    <w:qFormat/>
    <w:uiPriority w:val="0"/>
  </w:style>
  <w:style w:type="character" w:customStyle="1" w:styleId="26">
    <w:name w:val="ico1"/>
    <w:basedOn w:val="3"/>
    <w:qFormat/>
    <w:uiPriority w:val="0"/>
  </w:style>
  <w:style w:type="character" w:customStyle="1" w:styleId="27">
    <w:name w:val="ico2"/>
    <w:basedOn w:val="3"/>
    <w:qFormat/>
    <w:uiPriority w:val="0"/>
  </w:style>
  <w:style w:type="character" w:customStyle="1" w:styleId="28">
    <w:name w:val="ico3"/>
    <w:basedOn w:val="3"/>
    <w:qFormat/>
    <w:uiPriority w:val="0"/>
  </w:style>
  <w:style w:type="character" w:customStyle="1" w:styleId="29">
    <w:name w:val="ico4"/>
    <w:basedOn w:val="3"/>
    <w:qFormat/>
    <w:uiPriority w:val="0"/>
  </w:style>
  <w:style w:type="character" w:customStyle="1" w:styleId="30">
    <w:name w:val="ico5"/>
    <w:basedOn w:val="3"/>
    <w:qFormat/>
    <w:uiPriority w:val="0"/>
  </w:style>
  <w:style w:type="character" w:customStyle="1" w:styleId="31">
    <w:name w:val="msg-box6"/>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2021-06-10T01:31:00Z</dcterms:created>
  <dc:creator>千年老妖1426650031</dc:creator>
  <cp:lastModifiedBy>gyb1</cp:lastModifiedBy>
  <dcterms:modified xsi:type="dcterms:W3CDTF">2022-07-01T08:18:11Z</dcterms:modified>
  <dc:title>池州市生态环境局行政权力中介服务（保留）</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